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黑体" w:eastAsia="黑体"/>
          <w:sz w:val="32"/>
          <w:szCs w:val="32"/>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ind w:firstLine="2650" w:firstLineChars="600"/>
        <w:jc w:val="both"/>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lang w:eastAsia="zh-CN"/>
        </w:rPr>
        <w:t>阎良区</w:t>
      </w:r>
      <w:r>
        <w:rPr>
          <w:rStyle w:val="9"/>
          <w:rFonts w:hint="eastAsia" w:ascii="方正小标宋简体" w:hAnsi="方正小标宋简体" w:eastAsia="方正小标宋简体" w:cs="方正小标宋简体"/>
          <w:sz w:val="44"/>
          <w:szCs w:val="44"/>
          <w:lang w:val="en-US" w:eastAsia="zh-CN"/>
        </w:rPr>
        <w:t>工业总公司</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lang w:val="en-US" w:eastAsia="zh-CN"/>
        </w:rPr>
        <w:t xml:space="preserve">  </w:t>
      </w: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val="en-US"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ascii="宋体" w:hAnsi="宋体" w:cs="宋体"/>
          <w:b/>
          <w:bCs/>
          <w:sz w:val="32"/>
          <w:szCs w:val="32"/>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val="en-US" w:eastAsia="zh-CN"/>
        </w:rPr>
        <w:t>罗延平已审签</w:t>
      </w:r>
      <w:bookmarkStart w:id="0" w:name="_GoBack"/>
      <w:bookmarkEnd w:id="0"/>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hint="eastAsia" w:ascii="黑体" w:hAnsi="宋体" w:eastAsia="黑体"/>
          <w:color w:val="000000"/>
          <w:kern w:val="0"/>
          <w:szCs w:val="32"/>
        </w:rPr>
      </w:pP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outlineLvl w:val="9"/>
        <w:rPr>
          <w:rFonts w:ascii="黑体" w:hAnsi="宋体" w:eastAsia="黑体"/>
          <w:color w:val="000000"/>
          <w:kern w:val="0"/>
          <w:sz w:val="44"/>
          <w:szCs w:val="44"/>
        </w:rPr>
      </w:pP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pStyle w:val="4"/>
        <w:numPr>
          <w:ilvl w:val="0"/>
          <w:numId w:val="0"/>
        </w:num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阎良区</w:t>
      </w:r>
      <w:r>
        <w:rPr>
          <w:rFonts w:hint="eastAsia" w:ascii="仿宋_GB2312" w:hAnsi="仿宋_GB2312" w:eastAsia="仿宋_GB2312" w:cs="仿宋_GB2312"/>
          <w:sz w:val="32"/>
          <w:szCs w:val="32"/>
          <w:lang w:val="en-US" w:eastAsia="zh-CN"/>
        </w:rPr>
        <w:t>工业总公司为阎良区政府直属企业。负责下属企业安全生产，职工下岗培训，再就业安排，落实国家有关政策，维护安定团结，完成区政府交办的临时任务。</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内设机构</w:t>
      </w:r>
    </w:p>
    <w:p>
      <w:pPr>
        <w:spacing w:line="560" w:lineRule="exact"/>
        <w:ind w:firstLine="640" w:firstLineChars="200"/>
        <w:rPr>
          <w:rFonts w:ascii="仿宋" w:hAnsi="仿宋" w:eastAsia="仿宋_GB2312" w:cs="华文仿宋"/>
          <w:sz w:val="32"/>
          <w:szCs w:val="32"/>
        </w:rPr>
      </w:pPr>
      <w:r>
        <w:rPr>
          <w:rFonts w:hint="eastAsia" w:ascii="仿宋" w:hAnsi="仿宋" w:eastAsia="仿宋_GB2312" w:cs="华文仿宋"/>
          <w:sz w:val="32"/>
          <w:szCs w:val="32"/>
        </w:rPr>
        <w:t>从决算单位构成看，</w:t>
      </w:r>
      <w:r>
        <w:rPr>
          <w:rFonts w:hint="eastAsia" w:ascii="仿宋" w:hAnsi="仿宋" w:eastAsia="仿宋_GB2312" w:cs="华文仿宋"/>
          <w:sz w:val="32"/>
          <w:szCs w:val="32"/>
          <w:lang w:val="en-US" w:eastAsia="zh-CN"/>
        </w:rPr>
        <w:t>工业总公司的部门决算属于本部门本级决算，无二级单位。工业总公司</w:t>
      </w:r>
      <w:r>
        <w:rPr>
          <w:rFonts w:hint="eastAsia" w:ascii="仿宋" w:hAnsi="仿宋" w:eastAsia="仿宋_GB2312" w:cs="华文仿宋"/>
          <w:sz w:val="32"/>
          <w:szCs w:val="32"/>
        </w:rPr>
        <w:t>下设办公室、</w:t>
      </w:r>
      <w:r>
        <w:rPr>
          <w:rFonts w:hint="eastAsia" w:ascii="仿宋" w:hAnsi="仿宋" w:eastAsia="仿宋_GB2312" w:cs="华文仿宋"/>
          <w:sz w:val="32"/>
          <w:szCs w:val="32"/>
          <w:lang w:val="en-US" w:eastAsia="zh-CN"/>
        </w:rPr>
        <w:t>综合科两</w:t>
      </w:r>
      <w:r>
        <w:rPr>
          <w:rFonts w:hint="eastAsia" w:ascii="仿宋" w:hAnsi="仿宋" w:eastAsia="仿宋_GB2312" w:cs="华文仿宋"/>
          <w:sz w:val="32"/>
          <w:szCs w:val="32"/>
        </w:rPr>
        <w:t>个科室</w:t>
      </w:r>
      <w:r>
        <w:rPr>
          <w:rFonts w:hint="eastAsia" w:ascii="仿宋" w:hAnsi="仿宋" w:eastAsia="仿宋_GB2312" w:cs="华文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rPr>
      </w:pPr>
      <w:r>
        <w:rPr>
          <w:rFonts w:hint="eastAsia" w:ascii="黑体" w:hAnsi="宋体" w:eastAsia="黑体"/>
          <w:color w:val="000000"/>
          <w:kern w:val="0"/>
          <w:sz w:val="32"/>
          <w:szCs w:val="32"/>
          <w:lang w:val="en-US" w:eastAsia="zh-CN" w:bidi="ar"/>
        </w:rPr>
        <w:t xml:space="preserve">     </w:t>
      </w: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个，包括本级</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西安市阎良区工业总公司</w:t>
            </w:r>
            <w:r>
              <w:rPr>
                <w:rFonts w:hint="eastAsia" w:ascii="仿宋_GB2312" w:hAnsi="仿宋_GB2312" w:eastAsia="仿宋_GB2312" w:cs="仿宋_GB2312"/>
                <w:sz w:val="32"/>
                <w:szCs w:val="32"/>
              </w:rPr>
              <w:t>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278" w:type="dxa"/>
            <w:vAlign w:val="center"/>
          </w:tcPr>
          <w:p>
            <w:pPr>
              <w:jc w:val="both"/>
              <w:rPr>
                <w:rFonts w:ascii="仿宋_GB2312" w:hAnsi="仿宋_GB2312" w:eastAsia="仿宋_GB2312" w:cs="仿宋_GB2312"/>
                <w:sz w:val="32"/>
                <w:szCs w:val="32"/>
              </w:rPr>
            </w:pP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截止2019年底，本部门人员编制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587875" cy="2758440"/>
            <wp:effectExtent l="0" t="0" r="14605"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4587875" cy="27584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5997"/>
        <w:gridCol w:w="903"/>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5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5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5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5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5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5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5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59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90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5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r>
              <w:rPr>
                <w:rFonts w:hint="eastAsia" w:ascii="宋体" w:hAnsi="宋体" w:cs="宋体"/>
                <w:color w:val="000000"/>
                <w:kern w:val="0"/>
                <w:sz w:val="15"/>
                <w:szCs w:val="15"/>
                <w:lang w:val="en-US" w:eastAsia="zh-CN"/>
              </w:rPr>
              <w:t>无</w:t>
            </w:r>
            <w:r>
              <w:rPr>
                <w:rFonts w:hint="eastAsia" w:ascii="宋体" w:hAnsi="宋体" w:cs="宋体"/>
                <w:color w:val="000000"/>
                <w:kern w:val="0"/>
                <w:sz w:val="15"/>
                <w:szCs w:val="15"/>
              </w:rPr>
              <w:t>政府性基金预算财政拨款</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西安市阎良区工业总公司</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1.39</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326.92</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333.43</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333.43</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西安市阎良区工业总公司</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行政事业单位离退休</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 xml:space="preserve">  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 xml:space="preserve">  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资源勘探信息等支出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326.93</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326.93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支持中小企业发展和管理支出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326.93</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326.93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2150801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 xml:space="preserve">  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2150802</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 xml:space="preserve">  一般行政管理事务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13"/>
                <w:szCs w:val="13"/>
              </w:rPr>
            </w:pPr>
            <w:r>
              <w:rPr>
                <w:rFonts w:hint="eastAsia" w:ascii="宋体" w:hAnsi="宋体" w:eastAsia="宋体" w:cs="宋体"/>
                <w:i w:val="0"/>
                <w:color w:val="000000"/>
                <w:kern w:val="0"/>
                <w:sz w:val="13"/>
                <w:szCs w:val="13"/>
                <w:u w:val="none"/>
                <w:lang w:val="en-US" w:eastAsia="zh-CN" w:bidi="ar"/>
              </w:rPr>
              <w:t xml:space="preserve">  其他支持中小企业发展和管理支出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224.57</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224.57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西安市阎良区工业总公司</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103.06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230.37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资源勘探信息等支出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326.93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230.37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支持中小企业发展和管理支出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326.93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230.37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 xml:space="preserve">  其他支持中小企业发展和管理支出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224.57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224.57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西安市阎良区工业总公司</w:t>
      </w:r>
      <w:r>
        <w:rPr>
          <w:rFonts w:hint="eastAsia" w:ascii="宋体" w:hAnsi="宋体" w:eastAsia="宋体" w:cs="宋体"/>
          <w:b/>
          <w:bCs/>
          <w:sz w:val="21"/>
          <w:szCs w:val="21"/>
        </w:rPr>
        <w:t xml:space="preserve">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1.39</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1.39</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326.92</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326.92</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sz w:val="21"/>
                <w:szCs w:val="21"/>
                <w:lang w:val="en-US" w:eastAsia="zh-CN"/>
              </w:rPr>
              <w:t>0.00</w:t>
            </w:r>
          </w:p>
        </w:tc>
        <w:tc>
          <w:tcPr>
            <w:tcW w:w="1102"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984" w:type="dxa"/>
            <w:tcBorders>
              <w:top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val="en-US" w:eastAsia="zh-CN"/>
        </w:rPr>
        <w:t>西安市阎良区工业总公司</w:t>
      </w:r>
      <w:r>
        <w:rPr>
          <w:rFonts w:hint="eastAsia" w:ascii="宋体" w:hAnsi="宋体" w:eastAsia="宋体" w:cs="宋体"/>
          <w:b/>
          <w:bCs/>
          <w:sz w:val="21"/>
          <w:szCs w:val="21"/>
        </w:rPr>
        <w:t xml:space="preserve">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333.43</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333.43</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 xml:space="preserve">          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 xml:space="preserve">          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333.43</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333.43</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333.43</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西安市阎良区工业总公司</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333.43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103.06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91.46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230.37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资源勘探信息等支出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326.93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84.96</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11.60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230.37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326.93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84.96</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11.60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230.37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96.56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84.96</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11.60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2150899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其他支持中小企业发展和管理支出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224.57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224.57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西安市阎良区工业总公司</w:t>
      </w:r>
      <w:r>
        <w:rPr>
          <w:rFonts w:hint="eastAsia" w:ascii="宋体" w:hAnsi="宋体" w:eastAsia="宋体" w:cs="宋体"/>
          <w:b/>
          <w:bCs/>
          <w:sz w:val="21"/>
          <w:szCs w:val="21"/>
        </w:rPr>
        <w:t xml:space="preserve">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103.06</w:t>
            </w:r>
          </w:p>
        </w:tc>
        <w:tc>
          <w:tcPr>
            <w:tcW w:w="1437"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91.46</w:t>
            </w:r>
          </w:p>
        </w:tc>
        <w:tc>
          <w:tcPr>
            <w:tcW w:w="1363"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11.60</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91.47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91.46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41.04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41.04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24.64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24.64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13.58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13.58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5.11</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5.71</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11.60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11.60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6.52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6.52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0.58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0.58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0.20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4.30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4.30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sz w:val="21"/>
                <w:szCs w:val="21"/>
              </w:rPr>
            </w:pPr>
            <w:r>
              <w:rPr>
                <w:rFonts w:hint="eastAsia" w:ascii="宋体" w:hAnsi="宋体" w:eastAsia="宋体" w:cs="宋体"/>
                <w:b w:val="0"/>
                <w:bCs/>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0.08</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西安市阎良区工业总公司</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snapToGrid w:val="0"/>
        <w:spacing w:line="520" w:lineRule="exac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2019年度本年收入合计333.43万元，较上年增加200.59万元，主要原因是项目收入增加。</w:t>
      </w:r>
    </w:p>
    <w:p>
      <w:pPr>
        <w:snapToGrid w:val="0"/>
        <w:spacing w:line="520" w:lineRule="exact"/>
        <w:ind w:firstLine="640" w:firstLineChars="200"/>
        <w:rPr>
          <w:rFonts w:hint="eastAsia" w:ascii="仿宋_GB2312" w:hAnsi="仿宋" w:eastAsia="仿宋_GB2312"/>
          <w:sz w:val="32"/>
          <w:szCs w:val="32"/>
          <w:lang w:val="en-US" w:eastAsia="zh-CN"/>
        </w:rPr>
      </w:pPr>
      <w:r>
        <w:drawing>
          <wp:anchor distT="0" distB="0" distL="114300" distR="114300" simplePos="0" relativeHeight="251658240" behindDoc="1" locked="0" layoutInCell="1" allowOverlap="1">
            <wp:simplePos x="0" y="0"/>
            <wp:positionH relativeFrom="column">
              <wp:posOffset>1340485</wp:posOffset>
            </wp:positionH>
            <wp:positionV relativeFrom="paragraph">
              <wp:posOffset>154305</wp:posOffset>
            </wp:positionV>
            <wp:extent cx="2430780" cy="2818130"/>
            <wp:effectExtent l="4445" t="4445" r="18415" b="12065"/>
            <wp:wrapNone/>
            <wp:docPr id="102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2019年度本年支出合计333.43万元，比上年增加200.59万元，主要原因是项目支出增加。</w:t>
      </w:r>
    </w:p>
    <w:p>
      <w:pPr>
        <w:snapToGrid w:val="0"/>
        <w:spacing w:line="520" w:lineRule="exact"/>
        <w:ind w:firstLine="640" w:firstLineChars="200"/>
        <w:rPr>
          <w:rFonts w:hint="eastAsia" w:ascii="仿宋_GB2312" w:hAnsi="仿宋" w:eastAsia="仿宋_GB2312"/>
          <w:sz w:val="32"/>
          <w:szCs w:val="32"/>
          <w:lang w:val="en-US" w:eastAsia="zh-CN"/>
        </w:rPr>
      </w:pPr>
      <w:r>
        <w:drawing>
          <wp:anchor distT="0" distB="0" distL="114300" distR="114300" simplePos="0" relativeHeight="251659264" behindDoc="1" locked="0" layoutInCell="1" allowOverlap="1">
            <wp:simplePos x="0" y="0"/>
            <wp:positionH relativeFrom="column">
              <wp:posOffset>1286510</wp:posOffset>
            </wp:positionH>
            <wp:positionV relativeFrom="paragraph">
              <wp:posOffset>181610</wp:posOffset>
            </wp:positionV>
            <wp:extent cx="2950210" cy="2943225"/>
            <wp:effectExtent l="4445" t="4445" r="17145" b="8890"/>
            <wp:wrapNone/>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ind w:firstLine="640" w:firstLineChars="200"/>
        <w:rPr>
          <w:rFonts w:hint="eastAsia" w:ascii="仿宋_GB2312" w:hAnsi="仿宋" w:eastAsia="仿宋_GB2312"/>
          <w:sz w:val="32"/>
          <w:szCs w:val="32"/>
          <w:lang w:val="en-US" w:eastAsia="zh-CN"/>
        </w:rPr>
      </w:pPr>
    </w:p>
    <w:p>
      <w:pPr>
        <w:snapToGrid w:val="0"/>
        <w:spacing w:line="520" w:lineRule="exact"/>
        <w:rPr>
          <w:rFonts w:hint="eastAsia" w:ascii="黑体" w:hAnsi="黑体" w:eastAsia="黑体"/>
          <w:color w:val="000000"/>
          <w:kern w:val="0"/>
          <w:sz w:val="32"/>
          <w:szCs w:val="32"/>
          <w:lang w:val="en-US" w:eastAsia="zh-CN" w:bidi="ar"/>
        </w:rPr>
      </w:pPr>
      <w:r>
        <w:rPr>
          <w:rFonts w:hint="eastAsia" w:ascii="黑体" w:hAnsi="黑体" w:eastAsia="黑体"/>
          <w:color w:val="000000"/>
          <w:kern w:val="0"/>
          <w:sz w:val="32"/>
          <w:szCs w:val="32"/>
          <w:lang w:val="en-US" w:eastAsia="zh-CN" w:bidi="ar"/>
        </w:rPr>
        <w:t xml:space="preserve">  </w:t>
      </w:r>
    </w:p>
    <w:p>
      <w:pPr>
        <w:snapToGrid w:val="0"/>
        <w:spacing w:line="520" w:lineRule="exact"/>
        <w:rPr>
          <w:rFonts w:ascii="黑体" w:hAnsi="黑体" w:eastAsia="黑体"/>
          <w:color w:val="000000"/>
          <w:kern w:val="0"/>
          <w:sz w:val="32"/>
          <w:szCs w:val="32"/>
          <w:lang w:bidi="ar"/>
        </w:rPr>
      </w:pPr>
      <w:r>
        <w:rPr>
          <w:rFonts w:hint="eastAsia" w:ascii="黑体" w:hAnsi="黑体" w:eastAsia="黑体"/>
          <w:color w:val="000000"/>
          <w:kern w:val="0"/>
          <w:sz w:val="32"/>
          <w:szCs w:val="32"/>
          <w:lang w:val="en-US" w:eastAsia="zh-CN" w:bidi="ar"/>
        </w:rPr>
        <w:t xml:space="preserve">    </w:t>
      </w: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333.43</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333.43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宋体" w:eastAsia="仿宋_GB2312" w:cs="仿宋_GB2312"/>
          <w:color w:val="000000"/>
          <w:kern w:val="0"/>
          <w:sz w:val="32"/>
          <w:szCs w:val="32"/>
          <w:lang w:bidi="ar"/>
        </w:rPr>
      </w:pPr>
      <w:r>
        <w:drawing>
          <wp:anchor distT="0" distB="0" distL="114300" distR="114300" simplePos="0" relativeHeight="251660288" behindDoc="1" locked="0" layoutInCell="1" allowOverlap="1">
            <wp:simplePos x="0" y="0"/>
            <wp:positionH relativeFrom="column">
              <wp:posOffset>586105</wp:posOffset>
            </wp:positionH>
            <wp:positionV relativeFrom="paragraph">
              <wp:posOffset>169545</wp:posOffset>
            </wp:positionV>
            <wp:extent cx="3964940" cy="1763395"/>
            <wp:effectExtent l="4445" t="4445" r="8255" b="1524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333.43</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103.06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31</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230.37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69</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黑体" w:hAnsi="黑体" w:eastAsia="黑体"/>
          <w:color w:val="000000"/>
          <w:kern w:val="0"/>
          <w:sz w:val="32"/>
          <w:szCs w:val="32"/>
          <w:lang w:bidi="ar"/>
        </w:rPr>
      </w:pPr>
      <w:r>
        <w:drawing>
          <wp:anchor distT="0" distB="0" distL="114300" distR="114300" simplePos="0" relativeHeight="251661312" behindDoc="1" locked="0" layoutInCell="1" allowOverlap="1">
            <wp:simplePos x="0" y="0"/>
            <wp:positionH relativeFrom="column">
              <wp:posOffset>517525</wp:posOffset>
            </wp:positionH>
            <wp:positionV relativeFrom="paragraph">
              <wp:posOffset>146685</wp:posOffset>
            </wp:positionV>
            <wp:extent cx="4831080" cy="1637665"/>
            <wp:effectExtent l="4445" t="4445" r="10795" b="1905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snapToGrid w:val="0"/>
        <w:spacing w:line="520" w:lineRule="exac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lang w:val="en-US" w:eastAsia="zh-CN"/>
        </w:rPr>
        <w:t>本年</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合计333.43万元，较</w:t>
      </w:r>
      <w:r>
        <w:rPr>
          <w:rFonts w:hint="eastAsia" w:ascii="仿宋_GB2312" w:hAnsi="仿宋" w:eastAsia="仿宋_GB2312"/>
          <w:sz w:val="32"/>
          <w:szCs w:val="32"/>
        </w:rPr>
        <w:t>上年增</w:t>
      </w:r>
      <w:r>
        <w:rPr>
          <w:rFonts w:hint="eastAsia" w:ascii="仿宋_GB2312" w:hAnsi="仿宋" w:eastAsia="仿宋_GB2312"/>
          <w:sz w:val="32"/>
          <w:szCs w:val="32"/>
          <w:lang w:val="en-US" w:eastAsia="zh-CN"/>
        </w:rPr>
        <w:t>加200.59万元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同比增长151%，主要原因是项目收入增加。</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lang w:val="en-US" w:eastAsia="zh-CN"/>
        </w:rPr>
        <w:t>本年</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合计333.43万元，</w:t>
      </w:r>
      <w:r>
        <w:rPr>
          <w:rFonts w:hint="eastAsia" w:ascii="仿宋_GB2312" w:hAnsi="仿宋" w:eastAsia="仿宋_GB2312"/>
          <w:sz w:val="32"/>
          <w:szCs w:val="32"/>
        </w:rPr>
        <w:t>比上年增</w:t>
      </w:r>
      <w:r>
        <w:rPr>
          <w:rFonts w:hint="eastAsia" w:ascii="仿宋_GB2312" w:hAnsi="仿宋" w:eastAsia="仿宋_GB2312"/>
          <w:sz w:val="32"/>
          <w:szCs w:val="32"/>
          <w:lang w:val="en-US" w:eastAsia="zh-CN"/>
        </w:rPr>
        <w:t>加200.59万元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同比增长151%，主要原因是项目支出增加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r>
        <w:drawing>
          <wp:anchor distT="0" distB="0" distL="114300" distR="114300" simplePos="0" relativeHeight="251662336" behindDoc="1" locked="0" layoutInCell="1" allowOverlap="1">
            <wp:simplePos x="0" y="0"/>
            <wp:positionH relativeFrom="column">
              <wp:posOffset>357505</wp:posOffset>
            </wp:positionH>
            <wp:positionV relativeFrom="paragraph">
              <wp:posOffset>245745</wp:posOffset>
            </wp:positionV>
            <wp:extent cx="4442460" cy="2133600"/>
            <wp:effectExtent l="4445" t="4445" r="18415" b="10795"/>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333.43</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200.59</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151</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宋体" w:eastAsia="仿宋_GB2312" w:cs="仿宋_GB2312"/>
          <w:color w:val="000000"/>
          <w:kern w:val="0"/>
          <w:sz w:val="32"/>
          <w:szCs w:val="32"/>
          <w:lang w:val="en-US" w:eastAsia="zh-CN" w:bidi="ar"/>
        </w:rPr>
        <w:t>项目支出增加</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r>
        <w:drawing>
          <wp:anchor distT="0" distB="0" distL="114300" distR="114300" simplePos="0" relativeHeight="251663360" behindDoc="1" locked="0" layoutInCell="1" allowOverlap="1">
            <wp:simplePos x="0" y="0"/>
            <wp:positionH relativeFrom="column">
              <wp:posOffset>4445</wp:posOffset>
            </wp:positionH>
            <wp:positionV relativeFrom="paragraph">
              <wp:posOffset>-2469515</wp:posOffset>
            </wp:positionV>
            <wp:extent cx="4572000" cy="2743200"/>
            <wp:effectExtent l="4445" t="4445" r="10795" b="10795"/>
            <wp:wrapNone/>
            <wp:docPr id="10"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pPr>
      <w:r>
        <w:rPr>
          <w:rFonts w:hint="eastAsia" w:ascii="仿宋_GB2312" w:hAnsi="宋体" w:eastAsia="仿宋_GB2312" w:cs="仿宋_GB2312"/>
          <w:color w:val="000000"/>
          <w:kern w:val="0"/>
          <w:sz w:val="32"/>
          <w:szCs w:val="32"/>
          <w:lang w:val="en-US" w:eastAsia="zh-CN" w:bidi="ar"/>
        </w:rPr>
        <w:t xml:space="preserve">    </w:t>
      </w: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80.96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333.43</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411.84</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 xml:space="preserve">1.一般公共服务支出（类）财政事务（款）行政运行（项）。 </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71.96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103.06</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其中：人员经费91.46万元；公用经费11.60万元。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134</w:t>
      </w:r>
      <w:r>
        <w:rPr>
          <w:rFonts w:ascii="仿宋_GB2312" w:hAnsi="宋体" w:eastAsia="仿宋_GB2312" w:cs="仿宋_GB2312"/>
          <w:color w:val="000000"/>
          <w:kern w:val="0"/>
          <w:sz w:val="32"/>
          <w:szCs w:val="32"/>
          <w:lang w:bidi="ar"/>
        </w:rPr>
        <w:t>%。决算数大于预算数的主要原因是</w:t>
      </w:r>
      <w:r>
        <w:rPr>
          <w:rFonts w:hint="eastAsia" w:ascii="仿宋_GB2312" w:hAnsi="宋体" w:eastAsia="仿宋_GB2312" w:cs="仿宋_GB2312"/>
          <w:color w:val="000000"/>
          <w:kern w:val="0"/>
          <w:sz w:val="32"/>
          <w:szCs w:val="32"/>
          <w:lang w:val="en-US" w:eastAsia="zh-CN" w:bidi="ar"/>
        </w:rPr>
        <w:t>公用经费增加。</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一般行政管理事务5.80万元，主要反映机关业务费用支出。</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其他支持中小企业发展和管理支出224.57万元，主要是维稳、慰问困难职工及部分退役军人生活费发放。</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仿宋_GB2312" w:hAnsi="仿宋" w:eastAsia="仿宋_GB2312"/>
          <w:sz w:val="32"/>
          <w:szCs w:val="32"/>
        </w:rPr>
      </w:pPr>
      <w:r>
        <w:rPr>
          <w:rFonts w:hint="eastAsia" w:ascii="黑体" w:hAnsi="黑体" w:eastAsia="黑体"/>
          <w:color w:val="000000"/>
          <w:kern w:val="0"/>
          <w:sz w:val="32"/>
          <w:szCs w:val="32"/>
          <w:lang w:val="en-US" w:eastAsia="zh-CN" w:bidi="ar"/>
        </w:rPr>
        <w:t xml:space="preserve">    </w:t>
      </w: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103.06</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91.46</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11.60</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b/>
          <w:bCs/>
          <w:color w:val="000000"/>
          <w:kern w:val="0"/>
          <w:sz w:val="32"/>
          <w:szCs w:val="32"/>
          <w:lang w:val="en-US" w:eastAsia="zh-CN" w:bidi="ar"/>
        </w:rPr>
        <w:t>91.46</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基本工资</w:t>
      </w:r>
      <w:r>
        <w:rPr>
          <w:rFonts w:hint="eastAsia" w:ascii="仿宋_GB2312" w:hAnsi="宋体" w:eastAsia="仿宋_GB2312" w:cs="仿宋_GB2312"/>
          <w:color w:val="000000"/>
          <w:kern w:val="0"/>
          <w:sz w:val="32"/>
          <w:szCs w:val="32"/>
          <w:lang w:val="en-US" w:eastAsia="zh-CN" w:bidi="ar"/>
        </w:rPr>
        <w:t>41.04</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津贴补贴24.64万元，奖金13.58万元机关事业单位基本养老保险缴费5.11万元，基本医疗保险缴费1.39万元，住房公积金5.71万元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b/>
          <w:bCs/>
          <w:color w:val="000000"/>
          <w:kern w:val="0"/>
          <w:sz w:val="32"/>
          <w:szCs w:val="32"/>
          <w:lang w:val="en-US" w:eastAsia="zh-CN" w:bidi="ar"/>
        </w:rPr>
        <w:t>11.60</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办公费</w:t>
      </w:r>
      <w:r>
        <w:rPr>
          <w:rFonts w:hint="eastAsia" w:ascii="仿宋_GB2312" w:hAnsi="宋体" w:eastAsia="仿宋_GB2312" w:cs="仿宋_GB2312"/>
          <w:color w:val="000000"/>
          <w:kern w:val="0"/>
          <w:sz w:val="32"/>
          <w:szCs w:val="32"/>
          <w:lang w:val="en-US" w:eastAsia="zh-CN" w:bidi="ar"/>
        </w:rPr>
        <w:t>6.52</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印刷费0.58万元，邮电费0.20万元，其他交通费用4.30万元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（文字说明）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0.30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0.30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节约经费</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pPr>
      <w:r>
        <w:rPr>
          <w:rFonts w:hint="eastAsia" w:ascii="仿宋_GB2312" w:hAnsi="宋体" w:eastAsia="仿宋_GB2312" w:cs="仿宋_GB2312"/>
          <w:color w:val="000000"/>
          <w:kern w:val="0"/>
          <w:sz w:val="32"/>
          <w:szCs w:val="32"/>
          <w:lang w:val="en-US" w:eastAsia="zh-CN" w:bidi="ar"/>
        </w:rPr>
        <w:t xml:space="preserve">    </w:t>
      </w: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val="en-US" w:eastAsia="zh-CN" w:bidi="ar"/>
        </w:rPr>
        <w:t>同</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相同</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0.30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hint="eastAsia" w:ascii="仿宋_GB2312" w:hAnsi="仿宋_GB2312" w:eastAsia="仿宋_GB2312" w:cs="仿宋_GB2312"/>
          <w:sz w:val="32"/>
          <w:szCs w:val="32"/>
          <w:lang w:eastAsia="zh-CN"/>
        </w:rPr>
        <w:t>）</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color w:val="000000"/>
          <w:kern w:val="0"/>
          <w:sz w:val="31"/>
          <w:szCs w:val="31"/>
          <w:lang w:val="en-US" w:eastAsia="zh-CN" w:bidi="ar"/>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lang w:val="en-US" w:eastAsia="zh-CN"/>
        </w:rPr>
        <w:t>本部门机关</w:t>
      </w:r>
      <w:r>
        <w:rPr>
          <w:rFonts w:hint="eastAsia" w:ascii="仿宋_GB2312" w:hAnsi="仿宋_GB2312" w:eastAsia="仿宋_GB2312" w:cs="仿宋_GB2312"/>
          <w:sz w:val="32"/>
          <w:szCs w:val="32"/>
        </w:rPr>
        <w:t>整体进行了绩效自评，涉及资金</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（分项目进行自评综述）</w:t>
      </w:r>
      <w:r>
        <w:rPr>
          <w:rFonts w:ascii="仿宋_GB2312" w:hAnsi="仿宋_GB2312" w:eastAsia="仿宋_GB2312" w:cs="仿宋_GB2312"/>
          <w:color w:val="000000"/>
          <w:kern w:val="0"/>
          <w:sz w:val="31"/>
          <w:szCs w:val="31"/>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维稳经费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 xml:space="preserve">万元，执行数 </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通过项目实施，保障了工业系统下岗、困难、退休人员的稳定。</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慰问困难职工</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bidi="ar"/>
        </w:rPr>
        <w:t xml:space="preserve">万元，执行数 </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w:t>
      </w:r>
      <w:r>
        <w:rPr>
          <w:rFonts w:hint="eastAsia" w:ascii="仿宋_GB2312" w:hAnsi="仿宋_GB2312" w:eastAsia="仿宋_GB2312" w:cs="仿宋_GB2312"/>
          <w:color w:val="000000"/>
          <w:kern w:val="0"/>
          <w:sz w:val="31"/>
          <w:szCs w:val="31"/>
          <w:lang w:val="en-US" w:eastAsia="zh-CN" w:bidi="ar"/>
        </w:rPr>
        <w:t>实施，保障了工业系统下岗职工、困难职工、退休人员春节的慰问，使他们感受到党和政府的温暖</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val="en-US" w:eastAsia="zh-CN" w:bidi="ar"/>
        </w:rPr>
        <w:t>预算分配不均匀，主要实施在第一、四季度。</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val="en-US" w:eastAsia="zh-CN" w:bidi="ar"/>
        </w:rPr>
        <w:t>增加预算，加强财务管理</w:t>
      </w:r>
      <w:r>
        <w:rPr>
          <w:rFonts w:hint="eastAsia" w:ascii="仿宋_GB2312" w:hAnsi="仿宋_GB2312" w:eastAsia="仿宋_GB2312" w:cs="仿宋_GB2312"/>
          <w:color w:val="000000"/>
          <w:kern w:val="0"/>
          <w:sz w:val="31"/>
          <w:szCs w:val="31"/>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部门</w:t>
      </w:r>
      <w:r>
        <w:rPr>
          <w:rFonts w:hint="eastAsia" w:ascii="仿宋_GB2312" w:hAnsi="仿宋_GB2312" w:eastAsia="仿宋_GB2312" w:cs="仿宋_GB2312"/>
          <w:color w:val="000000"/>
          <w:kern w:val="0"/>
          <w:sz w:val="31"/>
          <w:szCs w:val="31"/>
          <w:lang w:val="en-US" w:eastAsia="zh-CN" w:bidi="ar"/>
        </w:rPr>
        <w:t>机关本级</w:t>
      </w:r>
      <w:r>
        <w:rPr>
          <w:rFonts w:hint="eastAsia" w:ascii="仿宋_GB2312" w:hAnsi="仿宋_GB2312" w:eastAsia="仿宋_GB2312" w:cs="仿宋_GB2312"/>
          <w:color w:val="000000"/>
          <w:kern w:val="0"/>
          <w:sz w:val="31"/>
          <w:szCs w:val="31"/>
          <w:lang w:eastAsia="zh-CN" w:bidi="ar"/>
        </w:rPr>
        <w:t>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9</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9</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val="en-US" w:eastAsia="zh-CN" w:bidi="ar"/>
        </w:rPr>
        <w:t>2019年度各项工作能够按时完成，保障机关工作正常进行</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维护了社会稳定，提高困难职工生活水平</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val="en-US" w:eastAsia="zh-CN" w:bidi="ar"/>
        </w:rPr>
        <w:t>我们的工作有不足之处，希望能让更多的职工得到党和政府的温暖</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val="en-US" w:eastAsia="zh-CN" w:bidi="ar"/>
        </w:rPr>
        <w:t>增加经费，合理安排使用</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tbl>
      <w:tblPr>
        <w:tblStyle w:val="6"/>
        <w:tblW w:w="10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0"/>
        <w:gridCol w:w="1088"/>
        <w:gridCol w:w="1061"/>
        <w:gridCol w:w="1989"/>
        <w:gridCol w:w="2002"/>
        <w:gridCol w:w="1349"/>
        <w:gridCol w:w="1349"/>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jc w:val="center"/>
        </w:trPr>
        <w:tc>
          <w:tcPr>
            <w:tcW w:w="10975"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区级预算（项目）绩效目标自评表</w:t>
            </w:r>
            <w:r>
              <w:rPr>
                <w:rFonts w:hint="eastAsia" w:ascii="宋体" w:hAnsi="宋体" w:eastAsia="宋体" w:cs="宋体"/>
                <w:i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0975" w:type="dxa"/>
            <w:gridSpan w:val="8"/>
            <w:tcBorders>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2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8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业务费（含慰问经费）、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2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58001</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西安市阎良区工业总公司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27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27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27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7"/>
                <w:lang w:val="en-US" w:eastAsia="zh-CN" w:bidi="ar"/>
              </w:rPr>
              <w:t xml:space="preserve"> </w:t>
            </w:r>
            <w:r>
              <w:rPr>
                <w:rStyle w:val="18"/>
                <w:lang w:val="en-US" w:eastAsia="zh-CN" w:bidi="ar"/>
              </w:rPr>
              <w:t>其中：市级财政资金</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27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7"/>
                <w:lang w:val="en-US" w:eastAsia="zh-CN" w:bidi="ar"/>
              </w:rPr>
              <w:t xml:space="preserve"> </w:t>
            </w:r>
            <w:r>
              <w:rPr>
                <w:rStyle w:val="18"/>
                <w:lang w:val="en-US" w:eastAsia="zh-CN" w:bidi="ar"/>
              </w:rPr>
              <w:t xml:space="preserve">      区县财政资金</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27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6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保障机关正常运行，更好地服务群众，使职工感受到党和政府的温暖，维护安定团结。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慰问困难职工人数</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9" w:type="dxa"/>
            <w:shd w:val="clear" w:color="auto" w:fill="auto"/>
            <w:vAlign w:val="center"/>
          </w:tcPr>
          <w:p>
            <w:pPr>
              <w:jc w:val="left"/>
              <w:rPr>
                <w:rFonts w:hint="eastAsia" w:ascii="宋体" w:hAnsi="宋体" w:eastAsia="宋体" w:cs="宋体"/>
                <w:i w:val="0"/>
                <w:color w:val="000000"/>
                <w:sz w:val="20"/>
                <w:szCs w:val="20"/>
                <w:u w:val="none"/>
              </w:rPr>
            </w:pPr>
          </w:p>
        </w:tc>
        <w:tc>
          <w:tcPr>
            <w:tcW w:w="2002" w:type="dxa"/>
            <w:shd w:val="clear" w:color="auto" w:fill="auto"/>
            <w:vAlign w:val="center"/>
          </w:tcPr>
          <w:p>
            <w:pPr>
              <w:jc w:val="left"/>
              <w:rPr>
                <w:rFonts w:hint="eastAsia" w:ascii="宋体" w:hAnsi="宋体" w:eastAsia="宋体" w:cs="宋体"/>
                <w:i w:val="0"/>
                <w:color w:val="000000"/>
                <w:sz w:val="20"/>
                <w:szCs w:val="20"/>
                <w:u w:val="none"/>
              </w:rPr>
            </w:pPr>
          </w:p>
        </w:tc>
        <w:tc>
          <w:tcPr>
            <w:tcW w:w="1349" w:type="dxa"/>
            <w:shd w:val="clear" w:color="auto" w:fill="auto"/>
            <w:vAlign w:val="center"/>
          </w:tcPr>
          <w:p>
            <w:pPr>
              <w:rPr>
                <w:rFonts w:hint="eastAsia" w:ascii="宋体" w:hAnsi="宋体" w:eastAsia="宋体" w:cs="宋体"/>
                <w:i w:val="0"/>
                <w:color w:val="000000"/>
                <w:sz w:val="22"/>
                <w:szCs w:val="22"/>
                <w:u w:val="none"/>
              </w:rPr>
            </w:pPr>
          </w:p>
        </w:tc>
        <w:tc>
          <w:tcPr>
            <w:tcW w:w="1349" w:type="dxa"/>
            <w:shd w:val="clear" w:color="auto" w:fill="auto"/>
            <w:vAlign w:val="center"/>
          </w:tcPr>
          <w:p>
            <w:pP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工作开展率</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无差错率</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困难职工慰问</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6"/>
                <w:szCs w:val="16"/>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宋体" w:hAnsi="宋体" w:eastAsia="宋体" w:cs="宋体"/>
                <w:i w:val="0"/>
                <w:color w:val="000000"/>
                <w:sz w:val="16"/>
                <w:szCs w:val="16"/>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慰问率</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大于等于1年</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大于等于1年</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职工满意度</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103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0975"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0975"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0975"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tbl>
      <w:tblPr>
        <w:tblStyle w:val="6"/>
        <w:tblW w:w="109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9"/>
        <w:gridCol w:w="1085"/>
        <w:gridCol w:w="1059"/>
        <w:gridCol w:w="1984"/>
        <w:gridCol w:w="1997"/>
        <w:gridCol w:w="1346"/>
        <w:gridCol w:w="1346"/>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jc w:val="center"/>
        </w:trPr>
        <w:tc>
          <w:tcPr>
            <w:tcW w:w="10978"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区级预算（项目）绩效目标自评表</w:t>
            </w:r>
            <w:r>
              <w:rPr>
                <w:rFonts w:hint="eastAsia" w:ascii="宋体" w:hAnsi="宋体" w:eastAsia="宋体" w:cs="宋体"/>
                <w:i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0978" w:type="dxa"/>
            <w:gridSpan w:val="8"/>
            <w:tcBorders>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8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58001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西安市阎良区工业总公司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27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2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2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2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区县财政资金</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2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6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保障机关正常运行，更好地服务群众，使职工感受到党和政府的温暖，维护安定团结。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c>
          <w:tcPr>
            <w:tcW w:w="4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慰问下岗职工人数</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4" w:type="dxa"/>
            <w:shd w:val="clear" w:color="auto" w:fill="auto"/>
            <w:vAlign w:val="center"/>
          </w:tcPr>
          <w:p>
            <w:pPr>
              <w:jc w:val="left"/>
              <w:rPr>
                <w:rFonts w:hint="eastAsia" w:ascii="宋体" w:hAnsi="宋体" w:eastAsia="宋体" w:cs="宋体"/>
                <w:i w:val="0"/>
                <w:color w:val="000000"/>
                <w:sz w:val="16"/>
                <w:szCs w:val="16"/>
                <w:u w:val="none"/>
              </w:rPr>
            </w:pPr>
          </w:p>
        </w:tc>
        <w:tc>
          <w:tcPr>
            <w:tcW w:w="1997" w:type="dxa"/>
            <w:shd w:val="clear" w:color="auto" w:fill="auto"/>
            <w:vAlign w:val="center"/>
          </w:tcPr>
          <w:p>
            <w:pPr>
              <w:jc w:val="left"/>
              <w:rPr>
                <w:rFonts w:hint="eastAsia" w:ascii="宋体" w:hAnsi="宋体" w:eastAsia="宋体" w:cs="宋体"/>
                <w:i w:val="0"/>
                <w:color w:val="000000"/>
                <w:sz w:val="16"/>
                <w:szCs w:val="16"/>
                <w:u w:val="none"/>
              </w:rPr>
            </w:pPr>
          </w:p>
        </w:tc>
        <w:tc>
          <w:tcPr>
            <w:tcW w:w="1346" w:type="dxa"/>
            <w:shd w:val="clear" w:color="auto" w:fill="auto"/>
            <w:vAlign w:val="center"/>
          </w:tcPr>
          <w:p>
            <w:pPr>
              <w:rPr>
                <w:rFonts w:hint="eastAsia" w:ascii="宋体" w:hAnsi="宋体" w:eastAsia="宋体" w:cs="宋体"/>
                <w:i w:val="0"/>
                <w:color w:val="000000"/>
                <w:sz w:val="22"/>
                <w:szCs w:val="22"/>
                <w:u w:val="none"/>
              </w:rPr>
            </w:pPr>
          </w:p>
        </w:tc>
        <w:tc>
          <w:tcPr>
            <w:tcW w:w="1346" w:type="dxa"/>
            <w:shd w:val="clear" w:color="auto" w:fill="auto"/>
            <w:vAlign w:val="center"/>
          </w:tcPr>
          <w:p>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维稳率</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84" w:type="dxa"/>
            <w:shd w:val="clear" w:color="auto" w:fill="auto"/>
            <w:vAlign w:val="center"/>
          </w:tcPr>
          <w:p>
            <w:pPr>
              <w:jc w:val="left"/>
              <w:rPr>
                <w:rFonts w:hint="eastAsia" w:ascii="宋体" w:hAnsi="宋体" w:eastAsia="宋体" w:cs="宋体"/>
                <w:i w:val="0"/>
                <w:color w:val="000000"/>
                <w:sz w:val="16"/>
                <w:szCs w:val="16"/>
                <w:u w:val="none"/>
              </w:rPr>
            </w:pPr>
          </w:p>
        </w:tc>
        <w:tc>
          <w:tcPr>
            <w:tcW w:w="1997" w:type="dxa"/>
            <w:shd w:val="clear" w:color="auto" w:fill="auto"/>
            <w:vAlign w:val="center"/>
          </w:tcPr>
          <w:p>
            <w:pPr>
              <w:jc w:val="left"/>
              <w:rPr>
                <w:rFonts w:hint="eastAsia" w:ascii="宋体" w:hAnsi="宋体" w:eastAsia="宋体" w:cs="宋体"/>
                <w:i w:val="0"/>
                <w:color w:val="000000"/>
                <w:sz w:val="16"/>
                <w:szCs w:val="16"/>
                <w:u w:val="none"/>
              </w:rPr>
            </w:pPr>
          </w:p>
        </w:tc>
        <w:tc>
          <w:tcPr>
            <w:tcW w:w="1346" w:type="dxa"/>
            <w:shd w:val="clear" w:color="auto" w:fill="auto"/>
            <w:vAlign w:val="center"/>
          </w:tcPr>
          <w:p>
            <w:pPr>
              <w:rPr>
                <w:rFonts w:hint="eastAsia" w:ascii="宋体" w:hAnsi="宋体" w:eastAsia="宋体" w:cs="宋体"/>
                <w:i w:val="0"/>
                <w:color w:val="000000"/>
                <w:sz w:val="22"/>
                <w:szCs w:val="22"/>
                <w:u w:val="none"/>
              </w:rPr>
            </w:pPr>
          </w:p>
        </w:tc>
        <w:tc>
          <w:tcPr>
            <w:tcW w:w="1346" w:type="dxa"/>
            <w:shd w:val="clear" w:color="auto" w:fill="auto"/>
            <w:vAlign w:val="center"/>
          </w:tcPr>
          <w:p>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9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下岗职工补贴</w:t>
            </w:r>
          </w:p>
        </w:tc>
        <w:tc>
          <w:tcPr>
            <w:tcW w:w="1997" w:type="dxa"/>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维稳率</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大于等于5年</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大于等于5年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下岗职工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10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0978"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0978"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0978"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eastAsia="zh-CN"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W w:w="18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3"/>
        <w:gridCol w:w="749"/>
        <w:gridCol w:w="612"/>
        <w:gridCol w:w="403"/>
        <w:gridCol w:w="2130"/>
        <w:gridCol w:w="1851"/>
        <w:gridCol w:w="2577"/>
        <w:gridCol w:w="585"/>
        <w:gridCol w:w="1277"/>
        <w:gridCol w:w="880"/>
        <w:gridCol w:w="1163"/>
        <w:gridCol w:w="703"/>
        <w:gridCol w:w="1865"/>
        <w:gridCol w:w="2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18145" w:type="dxa"/>
            <w:gridSpan w:val="14"/>
            <w:shd w:val="clear" w:color="auto" w:fill="auto"/>
            <w:vAlign w:val="center"/>
          </w:tcPr>
          <w:p>
            <w:pPr>
              <w:keepNext w:val="0"/>
              <w:keepLines w:val="0"/>
              <w:widowControl/>
              <w:suppressLineNumbers w:val="0"/>
              <w:jc w:val="both"/>
              <w:textAlignment w:val="center"/>
              <w:rPr>
                <w:rStyle w:val="19"/>
                <w:lang w:val="en-US" w:eastAsia="zh-CN" w:bidi="ar"/>
              </w:rPr>
            </w:pPr>
          </w:p>
          <w:p>
            <w:pPr>
              <w:keepNext w:val="0"/>
              <w:keepLines w:val="0"/>
              <w:widowControl/>
              <w:suppressLineNumbers w:val="0"/>
              <w:jc w:val="center"/>
              <w:textAlignment w:val="center"/>
              <w:rPr>
                <w:rFonts w:ascii="黑体" w:hAnsi="宋体" w:eastAsia="黑体" w:cs="黑体"/>
                <w:i w:val="0"/>
                <w:color w:val="000000"/>
                <w:sz w:val="40"/>
                <w:szCs w:val="40"/>
                <w:u w:val="none"/>
              </w:rPr>
            </w:pPr>
            <w:r>
              <w:rPr>
                <w:rStyle w:val="19"/>
                <w:lang w:val="en-US" w:eastAsia="zh-CN" w:bidi="ar"/>
              </w:rPr>
              <w:t>部门整体支出绩效自评表</w:t>
            </w:r>
            <w:r>
              <w:rPr>
                <w:rStyle w:val="19"/>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457" w:type="dxa"/>
            <w:gridSpan w:val="5"/>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bidi="ar"/>
              </w:rPr>
              <w:t>填报单位:西安市阎良区工业总公司</w:t>
            </w:r>
          </w:p>
        </w:tc>
        <w:tc>
          <w:tcPr>
            <w:tcW w:w="4428" w:type="dxa"/>
            <w:gridSpan w:val="2"/>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自评得分：95</w:t>
            </w:r>
          </w:p>
        </w:tc>
        <w:tc>
          <w:tcPr>
            <w:tcW w:w="1862" w:type="dxa"/>
            <w:gridSpan w:val="2"/>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80"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163"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3"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（一）简要概述部门职能与职责。</w:t>
            </w:r>
          </w:p>
        </w:tc>
        <w:tc>
          <w:tcPr>
            <w:tcW w:w="136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工业总公司是政府直属企业，负责职工队伍稳定，落实政府对企业和职工的各项政策职能。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（二）简要概述部门支出情况，按活动内容分类。</w:t>
            </w:r>
          </w:p>
        </w:tc>
        <w:tc>
          <w:tcPr>
            <w:tcW w:w="136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2019年度财政拨款支出333.43万元，行政运行103.06万元，一般行政管理事务5.8万元，其他支持中小企业发展和管理支出224.57万元。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136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4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0"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完成率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预算完成率＝100%的，得10分。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预算完成率≥95%的，得9分。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预算完成率在90%（含）和95%之间，得8分。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预算完成率在85%（含）和90%之间，得7分。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预算完成率在80%（含）和85%之间，得6分。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预算完成率在70%（含）和80%之间，得4分。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预算完成率＜70%的，得0分。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86" w:firstLineChars="0"/>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80.96/333.43*100%=411%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80.96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333.43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0"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预算包括一般公共预算与政府性基金预算。</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预算调整率绝对值≤5%，得5分。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333.43/80.96*100%=411%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80.96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333.43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0"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333.43/80.96*100%=411%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80.96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333.43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lang w:val="en-US" w:eastAsia="zh-CN"/>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预算编制准确率（5分）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预算编制准确率≤20%，得5分。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预算编制准确率在20%和40%（含）之间，得3分。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预算编制准确率＞40%，得0分。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0/0*100%=0%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0/0*100%=0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2"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资产管理规范性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1.新增资产配置按预算执行。</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2.资产有偿使用、处置按规定程序审批。</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3.资产收益及时、足额上缴财政。</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全部符合5分，有1项不符扣2分,扣完为止。</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7" w:hRule="atLeast"/>
        </w:trPr>
        <w:tc>
          <w:tcPr>
            <w:tcW w:w="563" w:type="dxa"/>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749"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612"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403"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3981" w:type="dxa"/>
            <w:gridSpan w:val="2"/>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3162" w:type="dxa"/>
            <w:gridSpan w:val="2"/>
            <w:shd w:val="clear" w:color="auto" w:fill="auto"/>
            <w:vAlign w:val="center"/>
          </w:tcPr>
          <w:p>
            <w:pPr>
              <w:rPr>
                <w:rFonts w:hint="eastAsia" w:ascii="楷体_GB2312" w:hAnsi="宋体" w:eastAsia="楷体_GB2312" w:cs="楷体_GB2312"/>
                <w:i w:val="0"/>
                <w:color w:val="000000"/>
                <w:sz w:val="20"/>
                <w:szCs w:val="20"/>
                <w:u w:val="none"/>
              </w:rPr>
            </w:pPr>
          </w:p>
        </w:tc>
        <w:tc>
          <w:tcPr>
            <w:tcW w:w="1277" w:type="dxa"/>
            <w:shd w:val="clear" w:color="auto" w:fill="auto"/>
            <w:vAlign w:val="center"/>
          </w:tcPr>
          <w:p>
            <w:pPr>
              <w:rPr>
                <w:rFonts w:hint="eastAsia" w:ascii="楷体_GB2312" w:hAnsi="宋体" w:eastAsia="楷体_GB2312" w:cs="楷体_GB2312"/>
                <w:i w:val="0"/>
                <w:color w:val="000000"/>
                <w:sz w:val="20"/>
                <w:szCs w:val="20"/>
                <w:u w:val="none"/>
              </w:rPr>
            </w:pPr>
          </w:p>
        </w:tc>
        <w:tc>
          <w:tcPr>
            <w:tcW w:w="880" w:type="dxa"/>
            <w:shd w:val="clear" w:color="auto" w:fill="auto"/>
            <w:vAlign w:val="center"/>
          </w:tcPr>
          <w:p>
            <w:pPr>
              <w:rPr>
                <w:rFonts w:hint="eastAsia" w:ascii="楷体_GB2312" w:hAnsi="宋体" w:eastAsia="楷体_GB2312" w:cs="楷体_GB2312"/>
                <w:i w:val="0"/>
                <w:color w:val="000000"/>
                <w:sz w:val="20"/>
                <w:szCs w:val="20"/>
                <w:u w:val="none"/>
              </w:rPr>
            </w:pPr>
          </w:p>
        </w:tc>
        <w:tc>
          <w:tcPr>
            <w:tcW w:w="1163" w:type="dxa"/>
            <w:shd w:val="clear" w:color="auto" w:fill="auto"/>
            <w:vAlign w:val="center"/>
          </w:tcPr>
          <w:p>
            <w:pPr>
              <w:rPr>
                <w:rFonts w:hint="eastAsia" w:ascii="楷体_GB2312" w:hAnsi="宋体" w:eastAsia="楷体_GB2312" w:cs="楷体_GB2312"/>
                <w:i w:val="0"/>
                <w:color w:val="000000"/>
                <w:sz w:val="20"/>
                <w:szCs w:val="20"/>
                <w:u w:val="none"/>
              </w:rPr>
            </w:pPr>
          </w:p>
        </w:tc>
        <w:tc>
          <w:tcPr>
            <w:tcW w:w="703"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63" w:type="dxa"/>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749"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612"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403"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3981" w:type="dxa"/>
            <w:gridSpan w:val="2"/>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3162" w:type="dxa"/>
            <w:gridSpan w:val="2"/>
            <w:shd w:val="clear" w:color="auto" w:fill="auto"/>
            <w:vAlign w:val="center"/>
          </w:tcPr>
          <w:p>
            <w:pPr>
              <w:rPr>
                <w:rFonts w:hint="eastAsia" w:ascii="楷体_GB2312" w:hAnsi="宋体" w:eastAsia="楷体_GB2312" w:cs="楷体_GB2312"/>
                <w:i w:val="0"/>
                <w:color w:val="000000"/>
                <w:sz w:val="20"/>
                <w:szCs w:val="20"/>
                <w:u w:val="none"/>
              </w:rPr>
            </w:pPr>
          </w:p>
        </w:tc>
        <w:tc>
          <w:tcPr>
            <w:tcW w:w="1277" w:type="dxa"/>
            <w:shd w:val="clear" w:color="auto" w:fill="auto"/>
            <w:vAlign w:val="center"/>
          </w:tcPr>
          <w:p>
            <w:pPr>
              <w:rPr>
                <w:rFonts w:hint="eastAsia" w:ascii="楷体_GB2312" w:hAnsi="宋体" w:eastAsia="楷体_GB2312" w:cs="楷体_GB2312"/>
                <w:i w:val="0"/>
                <w:color w:val="000000"/>
                <w:sz w:val="20"/>
                <w:szCs w:val="20"/>
                <w:u w:val="none"/>
              </w:rPr>
            </w:pPr>
          </w:p>
        </w:tc>
        <w:tc>
          <w:tcPr>
            <w:tcW w:w="880" w:type="dxa"/>
            <w:shd w:val="clear" w:color="auto" w:fill="auto"/>
            <w:vAlign w:val="center"/>
          </w:tcPr>
          <w:p>
            <w:pPr>
              <w:rPr>
                <w:rFonts w:hint="eastAsia" w:ascii="楷体_GB2312" w:hAnsi="宋体" w:eastAsia="楷体_GB2312" w:cs="楷体_GB2312"/>
                <w:i w:val="0"/>
                <w:color w:val="000000"/>
                <w:sz w:val="20"/>
                <w:szCs w:val="20"/>
                <w:u w:val="none"/>
              </w:rPr>
            </w:pPr>
          </w:p>
        </w:tc>
        <w:tc>
          <w:tcPr>
            <w:tcW w:w="1163" w:type="dxa"/>
            <w:shd w:val="clear" w:color="auto" w:fill="auto"/>
            <w:vAlign w:val="center"/>
          </w:tcPr>
          <w:p>
            <w:pPr>
              <w:rPr>
                <w:rFonts w:hint="eastAsia" w:ascii="楷体_GB2312" w:hAnsi="宋体" w:eastAsia="楷体_GB2312" w:cs="楷体_GB2312"/>
                <w:i w:val="0"/>
                <w:color w:val="000000"/>
                <w:sz w:val="20"/>
                <w:szCs w:val="20"/>
                <w:u w:val="none"/>
              </w:rPr>
            </w:pPr>
          </w:p>
        </w:tc>
        <w:tc>
          <w:tcPr>
            <w:tcW w:w="703"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资金使用合规性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2.资金的拨付有完整的审批程序和手续；</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3.重大项目开支经过评估论证；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4.符合部门预算批复的用途；</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5.不存在截留、挤占、挪用、虚列支出等情况。</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84" w:firstLineChars="0"/>
              <w:rPr>
                <w:rFonts w:hint="eastAsia" w:ascii="楷体_GB2312" w:hAnsi="宋体" w:eastAsia="楷体_GB2312" w:cs="楷体_GB2312"/>
                <w:i w:val="0"/>
                <w:color w:val="000000"/>
                <w:sz w:val="20"/>
                <w:szCs w:val="20"/>
                <w:u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效果</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履职尽责（60分）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（40分）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40</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3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40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（20分）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3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trPr>
        <w:tc>
          <w:tcPr>
            <w:tcW w:w="1814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63" w:type="dxa"/>
            <w:shd w:val="clear" w:color="auto" w:fill="auto"/>
            <w:vAlign w:val="center"/>
          </w:tcPr>
          <w:p>
            <w:pPr>
              <w:jc w:val="center"/>
              <w:rPr>
                <w:rFonts w:hint="eastAsia" w:ascii="宋体" w:hAnsi="宋体" w:eastAsia="宋体" w:cs="宋体"/>
                <w:i w:val="0"/>
                <w:color w:val="000000"/>
                <w:sz w:val="22"/>
                <w:szCs w:val="22"/>
                <w:u w:val="none"/>
              </w:rPr>
            </w:pPr>
          </w:p>
        </w:tc>
        <w:tc>
          <w:tcPr>
            <w:tcW w:w="749" w:type="dxa"/>
            <w:shd w:val="clear" w:color="auto" w:fill="auto"/>
            <w:vAlign w:val="center"/>
          </w:tcPr>
          <w:p>
            <w:pPr>
              <w:rPr>
                <w:rFonts w:hint="eastAsia" w:ascii="宋体" w:hAnsi="宋体" w:eastAsia="宋体" w:cs="宋体"/>
                <w:i w:val="0"/>
                <w:color w:val="000000"/>
                <w:sz w:val="22"/>
                <w:szCs w:val="22"/>
                <w:u w:val="none"/>
              </w:rPr>
            </w:pPr>
          </w:p>
        </w:tc>
        <w:tc>
          <w:tcPr>
            <w:tcW w:w="612" w:type="dxa"/>
            <w:shd w:val="clear" w:color="auto" w:fill="auto"/>
            <w:vAlign w:val="center"/>
          </w:tcPr>
          <w:p>
            <w:pPr>
              <w:rPr>
                <w:rFonts w:hint="eastAsia" w:ascii="宋体" w:hAnsi="宋体" w:eastAsia="宋体" w:cs="宋体"/>
                <w:i w:val="0"/>
                <w:color w:val="000000"/>
                <w:sz w:val="22"/>
                <w:szCs w:val="22"/>
                <w:u w:val="none"/>
              </w:rPr>
            </w:pPr>
          </w:p>
        </w:tc>
        <w:tc>
          <w:tcPr>
            <w:tcW w:w="403" w:type="dxa"/>
            <w:shd w:val="clear" w:color="auto" w:fill="auto"/>
            <w:vAlign w:val="center"/>
          </w:tcPr>
          <w:p>
            <w:pPr>
              <w:rPr>
                <w:rFonts w:hint="eastAsia" w:ascii="宋体" w:hAnsi="宋体" w:eastAsia="宋体" w:cs="宋体"/>
                <w:i w:val="0"/>
                <w:color w:val="000000"/>
                <w:sz w:val="22"/>
                <w:szCs w:val="22"/>
                <w:u w:val="none"/>
              </w:rPr>
            </w:pPr>
          </w:p>
        </w:tc>
        <w:tc>
          <w:tcPr>
            <w:tcW w:w="3981" w:type="dxa"/>
            <w:gridSpan w:val="2"/>
            <w:shd w:val="clear" w:color="auto" w:fill="auto"/>
            <w:vAlign w:val="center"/>
          </w:tcPr>
          <w:p>
            <w:pPr>
              <w:rPr>
                <w:rFonts w:hint="eastAsia" w:ascii="宋体" w:hAnsi="宋体" w:eastAsia="宋体" w:cs="宋体"/>
                <w:i w:val="0"/>
                <w:color w:val="000000"/>
                <w:sz w:val="22"/>
                <w:szCs w:val="22"/>
                <w:u w:val="none"/>
              </w:rPr>
            </w:pPr>
          </w:p>
        </w:tc>
        <w:tc>
          <w:tcPr>
            <w:tcW w:w="3162" w:type="dxa"/>
            <w:gridSpan w:val="2"/>
            <w:shd w:val="clear" w:color="auto" w:fill="auto"/>
            <w:vAlign w:val="center"/>
          </w:tcPr>
          <w:p>
            <w:pPr>
              <w:rPr>
                <w:rFonts w:hint="eastAsia" w:ascii="宋体" w:hAnsi="宋体" w:eastAsia="宋体" w:cs="宋体"/>
                <w:i w:val="0"/>
                <w:color w:val="000000"/>
                <w:sz w:val="22"/>
                <w:szCs w:val="22"/>
                <w:u w:val="none"/>
              </w:rPr>
            </w:pPr>
          </w:p>
        </w:tc>
        <w:tc>
          <w:tcPr>
            <w:tcW w:w="1277" w:type="dxa"/>
            <w:shd w:val="clear" w:color="auto" w:fill="auto"/>
            <w:vAlign w:val="center"/>
          </w:tcPr>
          <w:p>
            <w:pPr>
              <w:rPr>
                <w:rFonts w:hint="eastAsia" w:ascii="宋体" w:hAnsi="宋体" w:eastAsia="宋体" w:cs="宋体"/>
                <w:i w:val="0"/>
                <w:color w:val="000000"/>
                <w:sz w:val="22"/>
                <w:szCs w:val="22"/>
                <w:u w:val="none"/>
              </w:rPr>
            </w:pPr>
          </w:p>
        </w:tc>
        <w:tc>
          <w:tcPr>
            <w:tcW w:w="880" w:type="dxa"/>
            <w:shd w:val="clear" w:color="auto" w:fill="auto"/>
            <w:vAlign w:val="center"/>
          </w:tcPr>
          <w:p>
            <w:pPr>
              <w:rPr>
                <w:rFonts w:hint="eastAsia" w:ascii="宋体" w:hAnsi="宋体" w:eastAsia="宋体" w:cs="宋体"/>
                <w:i w:val="0"/>
                <w:color w:val="000000"/>
                <w:sz w:val="22"/>
                <w:szCs w:val="22"/>
                <w:u w:val="none"/>
              </w:rPr>
            </w:pPr>
          </w:p>
        </w:tc>
        <w:tc>
          <w:tcPr>
            <w:tcW w:w="1163" w:type="dxa"/>
            <w:shd w:val="clear" w:color="auto" w:fill="auto"/>
            <w:vAlign w:val="center"/>
          </w:tcPr>
          <w:p>
            <w:pPr>
              <w:rPr>
                <w:rFonts w:hint="eastAsia" w:ascii="宋体" w:hAnsi="宋体" w:eastAsia="宋体" w:cs="宋体"/>
                <w:i w:val="0"/>
                <w:color w:val="000000"/>
                <w:sz w:val="22"/>
                <w:szCs w:val="22"/>
                <w:u w:val="none"/>
              </w:rPr>
            </w:pPr>
          </w:p>
        </w:tc>
        <w:tc>
          <w:tcPr>
            <w:tcW w:w="703" w:type="dxa"/>
            <w:shd w:val="clear" w:color="auto" w:fill="auto"/>
            <w:vAlign w:val="center"/>
          </w:tcPr>
          <w:p>
            <w:pPr>
              <w:rPr>
                <w:rFonts w:hint="eastAsia" w:ascii="宋体" w:hAnsi="宋体" w:eastAsia="宋体" w:cs="宋体"/>
                <w:i w:val="0"/>
                <w:color w:val="000000"/>
                <w:sz w:val="22"/>
                <w:szCs w:val="22"/>
                <w:u w:val="none"/>
              </w:rPr>
            </w:pPr>
          </w:p>
        </w:tc>
        <w:tc>
          <w:tcPr>
            <w:tcW w:w="1865" w:type="dxa"/>
            <w:shd w:val="clear" w:color="auto" w:fill="auto"/>
            <w:vAlign w:val="center"/>
          </w:tcPr>
          <w:p>
            <w:pPr>
              <w:rPr>
                <w:rFonts w:hint="eastAsia" w:ascii="宋体" w:hAnsi="宋体" w:eastAsia="宋体" w:cs="宋体"/>
                <w:i w:val="0"/>
                <w:color w:val="000000"/>
                <w:sz w:val="22"/>
                <w:szCs w:val="22"/>
                <w:u w:val="none"/>
              </w:rPr>
            </w:pPr>
          </w:p>
        </w:tc>
        <w:tc>
          <w:tcPr>
            <w:tcW w:w="2787" w:type="dxa"/>
            <w:shd w:val="clear" w:color="auto" w:fill="auto"/>
            <w:vAlign w:val="center"/>
          </w:tcPr>
          <w:p>
            <w:pPr>
              <w:rPr>
                <w:rFonts w:hint="eastAsia" w:ascii="宋体" w:hAnsi="宋体" w:eastAsia="宋体" w:cs="宋体"/>
                <w:i w:val="0"/>
                <w:color w:val="000000"/>
                <w:sz w:val="22"/>
                <w:szCs w:val="22"/>
                <w:u w:val="none"/>
              </w:rPr>
            </w:pPr>
          </w:p>
        </w:tc>
      </w:tr>
    </w:tbl>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2.39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11.60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485</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9.21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w:t>
      </w:r>
      <w:r>
        <w:rPr>
          <w:rFonts w:hint="eastAsia" w:ascii="仿宋_GB2312" w:hAnsi="宋体" w:eastAsia="仿宋_GB2312" w:cs="仿宋_GB2312"/>
          <w:color w:val="000000"/>
          <w:kern w:val="0"/>
          <w:sz w:val="32"/>
          <w:szCs w:val="32"/>
          <w:lang w:val="en-US" w:eastAsia="zh-CN" w:bidi="ar"/>
        </w:rPr>
        <w:t>是维修费增加</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宋体"/>
    <w:panose1 w:val="03000509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abstractNum w:abstractNumId="2">
    <w:nsid w:val="4E290741"/>
    <w:multiLevelType w:val="singleLevel"/>
    <w:tmpl w:val="4E290741"/>
    <w:lvl w:ilvl="0" w:tentative="0">
      <w:start w:val="3"/>
      <w:numFmt w:val="decimal"/>
      <w:suff w:val="nothing"/>
      <w:lvlText w:val="%1．"/>
      <w:lvlJc w:val="left"/>
    </w:lvl>
  </w:abstractNum>
  <w:abstractNum w:abstractNumId="3">
    <w:nsid w:val="5F8CF148"/>
    <w:multiLevelType w:val="singleLevel"/>
    <w:tmpl w:val="5F8CF148"/>
    <w:lvl w:ilvl="0" w:tentative="0">
      <w:start w:val="1"/>
      <w:numFmt w:val="chineseCounting"/>
      <w:suff w:val="nothing"/>
      <w:lvlText w:val="%1、"/>
      <w:lvlJc w:val="left"/>
    </w:lvl>
  </w:abstractNum>
  <w:abstractNum w:abstractNumId="4">
    <w:nsid w:val="5F8CF28F"/>
    <w:multiLevelType w:val="singleLevel"/>
    <w:tmpl w:val="5F8CF28F"/>
    <w:lvl w:ilvl="0" w:tentative="0">
      <w:start w:val="2"/>
      <w:numFmt w:val="chineseCounting"/>
      <w:suff w:val="nothing"/>
      <w:lvlText w:val="（%1）"/>
      <w:lvlJc w:val="left"/>
    </w:lvl>
  </w:abstractNum>
  <w:abstractNum w:abstractNumId="5">
    <w:nsid w:val="5F8D6DA8"/>
    <w:multiLevelType w:val="singleLevel"/>
    <w:tmpl w:val="5F8D6DA8"/>
    <w:lvl w:ilvl="0" w:tentative="0">
      <w:start w:val="2"/>
      <w:numFmt w:val="decimal"/>
      <w:suff w:val="nothing"/>
      <w:lvlText w:val="%1、"/>
      <w:lvlJc w:val="left"/>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E3361"/>
    <w:rsid w:val="068B7849"/>
    <w:rsid w:val="086C1E64"/>
    <w:rsid w:val="09F56D6B"/>
    <w:rsid w:val="15916C1F"/>
    <w:rsid w:val="15F973BE"/>
    <w:rsid w:val="18634A0D"/>
    <w:rsid w:val="1A245193"/>
    <w:rsid w:val="1AF22409"/>
    <w:rsid w:val="1B122647"/>
    <w:rsid w:val="1BFB1EEE"/>
    <w:rsid w:val="1D8B0C78"/>
    <w:rsid w:val="20B96E79"/>
    <w:rsid w:val="20E506C4"/>
    <w:rsid w:val="21077CBA"/>
    <w:rsid w:val="2256467C"/>
    <w:rsid w:val="256264C3"/>
    <w:rsid w:val="2660352B"/>
    <w:rsid w:val="270275E2"/>
    <w:rsid w:val="287C13F1"/>
    <w:rsid w:val="28FB2AB2"/>
    <w:rsid w:val="29217ADA"/>
    <w:rsid w:val="2CDB4245"/>
    <w:rsid w:val="2D473A74"/>
    <w:rsid w:val="30DF4759"/>
    <w:rsid w:val="31DF22D8"/>
    <w:rsid w:val="327F684C"/>
    <w:rsid w:val="350A5D93"/>
    <w:rsid w:val="3669223E"/>
    <w:rsid w:val="366C12FC"/>
    <w:rsid w:val="3B3723BC"/>
    <w:rsid w:val="3BFC6DCC"/>
    <w:rsid w:val="3C077039"/>
    <w:rsid w:val="3C7A6DAB"/>
    <w:rsid w:val="3D904069"/>
    <w:rsid w:val="3FCA23EC"/>
    <w:rsid w:val="41942E54"/>
    <w:rsid w:val="424D60E4"/>
    <w:rsid w:val="42FA4769"/>
    <w:rsid w:val="43BC1030"/>
    <w:rsid w:val="46AB1FB5"/>
    <w:rsid w:val="46D63B12"/>
    <w:rsid w:val="47964FBE"/>
    <w:rsid w:val="4A1752A2"/>
    <w:rsid w:val="4B18398F"/>
    <w:rsid w:val="50C46A00"/>
    <w:rsid w:val="52AC7AB3"/>
    <w:rsid w:val="54207C4C"/>
    <w:rsid w:val="544D3043"/>
    <w:rsid w:val="55631035"/>
    <w:rsid w:val="5867488A"/>
    <w:rsid w:val="596D661C"/>
    <w:rsid w:val="5C607D5F"/>
    <w:rsid w:val="5F5027A5"/>
    <w:rsid w:val="60E268E5"/>
    <w:rsid w:val="627A564C"/>
    <w:rsid w:val="65706DA4"/>
    <w:rsid w:val="69A157A9"/>
    <w:rsid w:val="6B3B79EC"/>
    <w:rsid w:val="6B6449CB"/>
    <w:rsid w:val="6EAC6681"/>
    <w:rsid w:val="6EE173E0"/>
    <w:rsid w:val="6EEB48F6"/>
    <w:rsid w:val="6F094735"/>
    <w:rsid w:val="6FE07C2E"/>
    <w:rsid w:val="71840673"/>
    <w:rsid w:val="732A602A"/>
    <w:rsid w:val="73431FE5"/>
    <w:rsid w:val="778B0394"/>
    <w:rsid w:val="7B6D5E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81"/>
    <w:basedOn w:val="8"/>
    <w:qFormat/>
    <w:uiPriority w:val="0"/>
    <w:rPr>
      <w:rFonts w:hint="eastAsia" w:ascii="宋体" w:hAnsi="宋体" w:eastAsia="宋体" w:cs="宋体"/>
      <w:color w:val="000000"/>
      <w:sz w:val="20"/>
      <w:szCs w:val="20"/>
      <w:u w:val="none"/>
    </w:rPr>
  </w:style>
  <w:style w:type="character" w:customStyle="1" w:styleId="18">
    <w:name w:val="font01"/>
    <w:basedOn w:val="8"/>
    <w:uiPriority w:val="0"/>
    <w:rPr>
      <w:rFonts w:hint="eastAsia" w:ascii="宋体" w:hAnsi="宋体" w:eastAsia="宋体" w:cs="宋体"/>
      <w:color w:val="000000"/>
      <w:sz w:val="20"/>
      <w:szCs w:val="20"/>
      <w:u w:val="none"/>
    </w:rPr>
  </w:style>
  <w:style w:type="character" w:customStyle="1" w:styleId="19">
    <w:name w:val="font31"/>
    <w:basedOn w:val="8"/>
    <w:qFormat/>
    <w:uiPriority w:val="0"/>
    <w:rPr>
      <w:rFonts w:hint="eastAsia" w:ascii="黑体" w:hAnsi="宋体" w:eastAsia="黑体" w:cs="黑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ng\Desktop\&#25910;&#2083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ng\Desktop\&#25910;&#2083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ang\Desktop\&#25910;&#20837;.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ang\Desktop\&#25910;&#20837;.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ang\Desktop\&#25910;&#20837;.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yang\Desktop\&#25910;&#2083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kern="1200" cap="none" spc="0" normalizeH="0" baseline="0">
                <a:solidFill>
                  <a:schemeClr val="tx1">
                    <a:lumMod val="65000"/>
                    <a:lumOff val="35000"/>
                  </a:schemeClr>
                </a:solidFill>
                <a:effectLst/>
                <a:latin typeface="+mn-lt"/>
                <a:ea typeface="+mn-ea"/>
                <a:cs typeface="+mn-cs"/>
              </a:rPr>
              <a:t>收入</a:t>
            </a:r>
            <a:endParaRPr sz="1400" b="0" i="0" u="none" strike="noStrike" kern="1200" cap="none" spc="0" normalizeH="0" baseline="0">
              <a:solidFill>
                <a:schemeClr val="tx1">
                  <a:lumMod val="65000"/>
                  <a:lumOff val="35000"/>
                </a:schemeClr>
              </a:solidFill>
              <a:effectLst/>
              <a:latin typeface="+mn-lt"/>
              <a:ea typeface="+mn-ea"/>
              <a:cs typeface="+mn-cs"/>
            </a:endParaRPr>
          </a:p>
        </c:rich>
      </c:tx>
      <c:layout/>
      <c:overlay val="0"/>
      <c:spPr>
        <a:noFill/>
        <a:ln>
          <a:noFill/>
        </a:ln>
        <a:effectLst/>
      </c:spPr>
    </c:title>
    <c:autoTitleDeleted val="0"/>
    <c:plotArea>
      <c:layout/>
      <c:barChart>
        <c:barDir val="col"/>
        <c:grouping val="clustered"/>
        <c:varyColors val="0"/>
        <c:ser>
          <c:idx val="0"/>
          <c:order val="0"/>
          <c:tx>
            <c:strRef>
              <c:f>[收入.xls]Sheet1!$C$7</c:f>
              <c:strCache>
                <c:ptCount val="1"/>
                <c:pt idx="0">
                  <c:v>2018年</c:v>
                </c:pt>
              </c:strCache>
            </c:strRef>
          </c:tx>
          <c:spPr>
            <a:solidFill>
              <a:schemeClr val="accent1"/>
            </a:solidFill>
            <a:ln>
              <a:noFill/>
            </a:ln>
            <a:effectLst/>
          </c:spPr>
          <c:invertIfNegative val="0"/>
          <c:dLbls>
            <c:dLbl>
              <c:idx val="0"/>
              <c:layout/>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540000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[收入.xls]Sheet1!$D$7</c:f>
              <c:numCache>
                <c:formatCode>General</c:formatCode>
                <c:ptCount val="1"/>
                <c:pt idx="0">
                  <c:v>132.84</c:v>
                </c:pt>
              </c:numCache>
            </c:numRef>
          </c:val>
        </c:ser>
        <c:ser>
          <c:idx val="1"/>
          <c:order val="1"/>
          <c:tx>
            <c:strRef>
              <c:f>[收入.xls]Sheet1!$C$8</c:f>
              <c:strCache>
                <c:ptCount val="1"/>
                <c:pt idx="0">
                  <c:v>2019年</c:v>
                </c:pt>
              </c:strCache>
            </c:strRef>
          </c:tx>
          <c:spPr>
            <a:solidFill>
              <a:schemeClr val="accent2"/>
            </a:solidFill>
            <a:ln>
              <a:noFill/>
            </a:ln>
            <a:effectLst/>
          </c:spPr>
          <c:invertIfNegative val="0"/>
          <c:dLbls>
            <c:dLbl>
              <c:idx val="0"/>
              <c:layout/>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540000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[收入.xls]Sheet1!$D$8</c:f>
              <c:numCache>
                <c:formatCode>General</c:formatCode>
                <c:ptCount val="1"/>
                <c:pt idx="0">
                  <c:v>333.43</c:v>
                </c:pt>
              </c:numCache>
            </c:numRef>
          </c:val>
        </c:ser>
        <c:dLbls>
          <c:showLegendKey val="0"/>
          <c:showVal val="0"/>
          <c:showCatName val="0"/>
          <c:showSerName val="0"/>
          <c:showPercent val="0"/>
          <c:showBubbleSize val="0"/>
        </c:dLbls>
        <c:gapWidth val="219"/>
        <c:overlap val="-27"/>
        <c:axId val="948786952"/>
        <c:axId val="556595562"/>
      </c:barChart>
      <c:catAx>
        <c:axId val="948786952"/>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595562"/>
        <c:crosses val="autoZero"/>
        <c:auto val="1"/>
        <c:lblAlgn val="ctr"/>
        <c:lblOffset val="100"/>
        <c:noMultiLvlLbl val="0"/>
      </c:catAx>
      <c:valAx>
        <c:axId val="55659556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in"/>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786952"/>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kern="1200" cap="none" spc="0" normalizeH="0" baseline="0">
                <a:solidFill>
                  <a:schemeClr val="tx1">
                    <a:lumMod val="65000"/>
                    <a:lumOff val="35000"/>
                  </a:schemeClr>
                </a:solidFill>
                <a:effectLst/>
                <a:latin typeface="+mn-lt"/>
                <a:ea typeface="+mn-ea"/>
                <a:cs typeface="+mn-cs"/>
              </a:rPr>
              <a:t>支出</a:t>
            </a:r>
            <a:endParaRPr sz="1400" b="0" i="0" u="none" strike="noStrike" kern="1200" cap="none" spc="0" normalizeH="0" baseline="0">
              <a:solidFill>
                <a:schemeClr val="tx1">
                  <a:lumMod val="65000"/>
                  <a:lumOff val="35000"/>
                </a:schemeClr>
              </a:solidFill>
              <a:effectLst/>
              <a:latin typeface="+mn-lt"/>
              <a:ea typeface="+mn-ea"/>
              <a:cs typeface="+mn-cs"/>
            </a:endParaRPr>
          </a:p>
        </c:rich>
      </c:tx>
      <c:layout/>
      <c:overlay val="0"/>
      <c:spPr>
        <a:noFill/>
        <a:ln>
          <a:noFill/>
        </a:ln>
        <a:effectLst/>
      </c:spPr>
    </c:title>
    <c:autoTitleDeleted val="0"/>
    <c:plotArea>
      <c:layout/>
      <c:barChart>
        <c:barDir val="col"/>
        <c:grouping val="clustered"/>
        <c:varyColors val="0"/>
        <c:ser>
          <c:idx val="0"/>
          <c:order val="0"/>
          <c:tx>
            <c:strRef>
              <c:f>[收入.xls]Sheet1!$C$7</c:f>
              <c:strCache>
                <c:ptCount val="1"/>
                <c:pt idx="0">
                  <c:v>2018年</c:v>
                </c:pt>
              </c:strCache>
            </c:strRef>
          </c:tx>
          <c:spPr>
            <a:solidFill>
              <a:schemeClr val="accent1"/>
            </a:solidFill>
            <a:ln>
              <a:noFill/>
            </a:ln>
            <a:effectLst/>
          </c:spPr>
          <c:invertIfNegative val="0"/>
          <c:dLbls>
            <c:dLbl>
              <c:idx val="0"/>
              <c:layout/>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540000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[收入.xls]Sheet1!$D$7</c:f>
              <c:numCache>
                <c:formatCode>General</c:formatCode>
                <c:ptCount val="1"/>
                <c:pt idx="0">
                  <c:v>132.84</c:v>
                </c:pt>
              </c:numCache>
            </c:numRef>
          </c:val>
        </c:ser>
        <c:ser>
          <c:idx val="1"/>
          <c:order val="1"/>
          <c:tx>
            <c:strRef>
              <c:f>[收入.xls]Sheet1!$C$8</c:f>
              <c:strCache>
                <c:ptCount val="1"/>
                <c:pt idx="0">
                  <c:v>2019年</c:v>
                </c:pt>
              </c:strCache>
            </c:strRef>
          </c:tx>
          <c:spPr>
            <a:solidFill>
              <a:schemeClr val="accent2"/>
            </a:solidFill>
            <a:ln>
              <a:noFill/>
            </a:ln>
            <a:effectLst/>
          </c:spPr>
          <c:invertIfNegative val="0"/>
          <c:dLbls>
            <c:dLbl>
              <c:idx val="0"/>
              <c:layout/>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540000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[收入.xls]Sheet1!$D$8</c:f>
              <c:numCache>
                <c:formatCode>General</c:formatCode>
                <c:ptCount val="1"/>
                <c:pt idx="0">
                  <c:v>333.43</c:v>
                </c:pt>
              </c:numCache>
            </c:numRef>
          </c:val>
        </c:ser>
        <c:dLbls>
          <c:showLegendKey val="0"/>
          <c:showVal val="0"/>
          <c:showCatName val="0"/>
          <c:showSerName val="0"/>
          <c:showPercent val="0"/>
          <c:showBubbleSize val="0"/>
        </c:dLbls>
        <c:gapWidth val="219"/>
        <c:overlap val="-27"/>
        <c:axId val="948786952"/>
        <c:axId val="556595562"/>
      </c:barChart>
      <c:catAx>
        <c:axId val="948786952"/>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595562"/>
        <c:crosses val="autoZero"/>
        <c:auto val="1"/>
        <c:lblAlgn val="ctr"/>
        <c:lblOffset val="100"/>
        <c:noMultiLvlLbl val="0"/>
      </c:catAx>
      <c:valAx>
        <c:axId val="55659556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in"/>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786952"/>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kern="1200" cap="none" spc="0" normalizeH="0" baseline="0">
                <a:solidFill>
                  <a:schemeClr val="tx1">
                    <a:lumMod val="65000"/>
                    <a:lumOff val="35000"/>
                  </a:schemeClr>
                </a:solidFill>
                <a:effectLst/>
                <a:latin typeface="+mn-lt"/>
                <a:ea typeface="+mn-ea"/>
                <a:cs typeface="+mn-cs"/>
              </a:rPr>
              <a:t>2019</a:t>
            </a:r>
            <a:r>
              <a:rPr altLang="en-US" sz="1400" b="0" i="0" u="none" strike="noStrike" kern="1200" cap="none" spc="0" normalizeH="0" baseline="0">
                <a:solidFill>
                  <a:schemeClr val="tx1">
                    <a:lumMod val="65000"/>
                    <a:lumOff val="35000"/>
                  </a:schemeClr>
                </a:solidFill>
                <a:effectLst/>
                <a:latin typeface="+mn-lt"/>
                <a:ea typeface="+mn-ea"/>
                <a:cs typeface="+mn-cs"/>
              </a:rPr>
              <a:t>年度收入情况</a:t>
            </a:r>
            <a:endParaRPr lang="en-US" altLang="zh-CN" sz="1400" b="0" i="0" u="none" strike="noStrike" kern="1200" cap="none" spc="0" normalizeH="0" baseline="0">
              <a:solidFill>
                <a:schemeClr val="tx1">
                  <a:lumMod val="65000"/>
                  <a:lumOff val="35000"/>
                </a:schemeClr>
              </a:solidFill>
              <a:effectLst/>
              <a:latin typeface="+mn-lt"/>
              <a:ea typeface="+mn-ea"/>
              <a:cs typeface="+mn-cs"/>
            </a:endParaRPr>
          </a:p>
        </c:rich>
      </c:tx>
      <c:layout/>
      <c:overlay val="0"/>
      <c:spPr>
        <a:noFill/>
        <a:ln>
          <a:noFill/>
        </a:ln>
        <a:effectLst/>
      </c:spPr>
    </c:title>
    <c:autoTitleDeleted val="0"/>
    <c:plotArea>
      <c:layout>
        <c:manualLayout>
          <c:layoutTarget val="inner"/>
          <c:xMode val="edge"/>
          <c:yMode val="edge"/>
          <c:x val="0.00416666666666667"/>
          <c:y val="0.32678076698746"/>
          <c:w val="0.938888888888889"/>
          <c:h val="0.666274788568096"/>
        </c:manualLayout>
      </c:layout>
      <c:barChart>
        <c:barDir val="col"/>
        <c:grouping val="percentStacked"/>
        <c:varyColors val="0"/>
        <c:ser>
          <c:idx val="0"/>
          <c:order val="0"/>
          <c:tx>
            <c:strRef>
              <c:f>[收入.xls]Sheet1!$G$39:$H$39</c:f>
              <c:strCache>
                <c:ptCount val="1"/>
                <c:pt idx="0">
                  <c:v>财政拨款收入 333.43万元</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[收入.xls]Sheet1!$I$39</c:f>
              <c:numCache>
                <c:formatCode>General</c:formatCode>
                <c:ptCount val="1"/>
              </c:numCache>
            </c:numRef>
          </c:val>
        </c:ser>
        <c:dLbls>
          <c:showLegendKey val="0"/>
          <c:showVal val="0"/>
          <c:showCatName val="0"/>
          <c:showSerName val="0"/>
          <c:showPercent val="0"/>
          <c:showBubbleSize val="0"/>
        </c:dLbls>
        <c:gapWidth val="95"/>
        <c:overlap val="100"/>
        <c:axId val="27409405"/>
        <c:axId val="929010106"/>
      </c:barChart>
      <c:catAx>
        <c:axId val="27409405"/>
        <c:scaling>
          <c:orientation val="minMax"/>
        </c:scaling>
        <c:delete val="1"/>
        <c:axPos val="b"/>
        <c:numFmt formatCode="General" sourceLinked="1"/>
        <c:majorTickMark val="none"/>
        <c:minorTickMark val="none"/>
        <c:tickLblPos val="nextTo"/>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9010106"/>
        <c:crosses val="autoZero"/>
        <c:auto val="1"/>
        <c:lblAlgn val="ctr"/>
        <c:lblOffset val="100"/>
        <c:noMultiLvlLbl val="0"/>
      </c:catAx>
      <c:valAx>
        <c:axId val="929010106"/>
        <c:scaling>
          <c:orientation val="minMax"/>
        </c:scaling>
        <c:delete val="1"/>
        <c:axPos val="l"/>
        <c:numFmt formatCode="0%" sourceLinked="1"/>
        <c:majorTickMark val="none"/>
        <c:minorTickMark val="none"/>
        <c:tickLblPos val="nextTo"/>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409405"/>
        <c:crosses val="autoZero"/>
        <c:crossBetween val="between"/>
      </c:valAx>
      <c:spPr>
        <a:noFill/>
        <a:ln>
          <a:noFill/>
        </a:ln>
        <a:effectLst/>
      </c:spPr>
    </c:plotArea>
    <c:legend>
      <c:legendPos val="t"/>
      <c:layout>
        <c:manualLayout>
          <c:xMode val="edge"/>
          <c:yMode val="edge"/>
          <c:x val="0.537013888888889"/>
          <c:y val="0.64715113735783"/>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600" b="1" i="0" u="none" strike="noStrike" kern="1200" baseline="0">
                <a:solidFill>
                  <a:schemeClr val="tx1">
                    <a:lumMod val="65000"/>
                    <a:lumOff val="35000"/>
                  </a:schemeClr>
                </a:solidFill>
                <a:latin typeface="+mn-lt"/>
                <a:ea typeface="+mn-ea"/>
                <a:cs typeface="+mn-cs"/>
              </a:defRPr>
            </a:pPr>
            <a:r>
              <a:rPr lang="en-US" altLang="zh-CN" sz="1600" b="1" i="0" u="none" strike="noStrike" kern="1200" cap="none" spc="20" normalizeH="0" baseline="0">
                <a:solidFill>
                  <a:schemeClr val="tx1">
                    <a:lumMod val="65000"/>
                    <a:lumOff val="35000"/>
                  </a:schemeClr>
                </a:solidFill>
                <a:effectLst/>
                <a:latin typeface="+mn-lt"/>
                <a:ea typeface="+mn-ea"/>
                <a:cs typeface="+mn-cs"/>
              </a:rPr>
              <a:t>2019</a:t>
            </a:r>
            <a:r>
              <a:rPr altLang="en-US" sz="1600" b="1" i="0" u="none" strike="noStrike" kern="1200" cap="none" spc="20" normalizeH="0" baseline="0">
                <a:solidFill>
                  <a:schemeClr val="tx1">
                    <a:lumMod val="65000"/>
                    <a:lumOff val="35000"/>
                  </a:schemeClr>
                </a:solidFill>
                <a:effectLst/>
                <a:latin typeface="+mn-lt"/>
                <a:ea typeface="+mn-ea"/>
                <a:cs typeface="+mn-cs"/>
              </a:rPr>
              <a:t>年度支出情况</a:t>
            </a:r>
            <a:endParaRPr lang="en-US" altLang="zh-CN" sz="1600" b="1" i="0" u="none" strike="noStrike" kern="1200" cap="none" spc="20" normalizeH="0" baseline="0">
              <a:solidFill>
                <a:schemeClr val="tx1">
                  <a:lumMod val="65000"/>
                  <a:lumOff val="35000"/>
                </a:schemeClr>
              </a:solidFill>
              <a:effectLst/>
              <a:latin typeface="+mn-lt"/>
              <a:ea typeface="+mn-ea"/>
              <a:cs typeface="+mn-cs"/>
            </a:endParaRPr>
          </a:p>
        </c:rich>
      </c:tx>
      <c:layout/>
      <c:overlay val="0"/>
      <c:spPr>
        <a:noFill/>
        <a:ln>
          <a:noFill/>
        </a:ln>
        <a:effectLst/>
      </c:spPr>
    </c:title>
    <c:autoTitleDeleted val="0"/>
    <c:plotArea>
      <c:layout/>
      <c:ofPieChart>
        <c:ofPieType val="bar"/>
        <c:varyColors val="1"/>
        <c:ser>
          <c:idx val="0"/>
          <c:order val="0"/>
          <c:spPr>
            <a:effectLst/>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rotWithShape="0">
                  <a:schemeClr val="accent1">
                    <a:alpha val="63000"/>
                  </a:scheme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57150" dist="19050" dir="5400000" rotWithShape="0">
                  <a:schemeClr val="accent2">
                    <a:alpha val="63000"/>
                  </a:scheme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rotWithShape="0">
                  <a:schemeClr val="accent3">
                    <a:alpha val="63000"/>
                  </a:schemeClr>
                </a:outerShdw>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[收入.xls]Sheet1!$F$64:$F$65</c:f>
              <c:strCache>
                <c:ptCount val="2"/>
                <c:pt idx="0">
                  <c:v>基本支出</c:v>
                </c:pt>
                <c:pt idx="1">
                  <c:v>项目支出</c:v>
                </c:pt>
              </c:strCache>
            </c:strRef>
          </c:cat>
          <c:val>
            <c:numRef>
              <c:f>[收入.xls]Sheet1!$G$64:$G$65</c:f>
              <c:numCache>
                <c:formatCode>General</c:formatCode>
                <c:ptCount val="2"/>
                <c:pt idx="0">
                  <c:v>103.06</c:v>
                </c:pt>
                <c:pt idx="1">
                  <c:v>230.37</c:v>
                </c:pt>
              </c:numCache>
            </c:numRef>
          </c:val>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prstDash val="solid"/>
              <a:round/>
            </a:ln>
            <a:effectLst/>
          </c:spPr>
        </c:serLines>
      </c:of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2"/>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kern="1200" cap="none" spc="0" normalizeH="0" baseline="0">
                <a:solidFill>
                  <a:schemeClr val="tx1">
                    <a:lumMod val="65000"/>
                    <a:lumOff val="35000"/>
                  </a:schemeClr>
                </a:solidFill>
                <a:effectLst/>
                <a:latin typeface="+mn-lt"/>
                <a:ea typeface="+mn-ea"/>
                <a:cs typeface="+mn-cs"/>
              </a:rPr>
              <a:t>收入支出决算总体情况</a:t>
            </a:r>
            <a:endParaRPr sz="1400" b="0" i="0" u="none" strike="noStrike" kern="1200" cap="none" spc="0" normalizeH="0" baseline="0">
              <a:solidFill>
                <a:schemeClr val="tx1">
                  <a:lumMod val="65000"/>
                  <a:lumOff val="35000"/>
                </a:schemeClr>
              </a:solidFill>
              <a:effectLst/>
              <a:latin typeface="+mn-lt"/>
              <a:ea typeface="+mn-ea"/>
              <a:cs typeface="+mn-cs"/>
            </a:endParaRPr>
          </a:p>
        </c:rich>
      </c:tx>
      <c:layout/>
      <c:overlay val="0"/>
      <c:spPr>
        <a:noFill/>
        <a:ln>
          <a:noFill/>
        </a:ln>
        <a:effectLst/>
      </c:spPr>
    </c:title>
    <c:autoTitleDeleted val="0"/>
    <c:plotArea>
      <c:layout/>
      <c:barChart>
        <c:barDir val="bar"/>
        <c:grouping val="clustered"/>
        <c:varyColors val="0"/>
        <c:ser>
          <c:idx val="0"/>
          <c:order val="0"/>
          <c:spPr>
            <a:solidFill>
              <a:schemeClr val="accent2">
                <a:tint val="100000"/>
              </a:schemeClr>
            </a:solidFill>
            <a:ln>
              <a:noFill/>
            </a:ln>
            <a:effectLst/>
          </c:spPr>
          <c:invertIfNegative val="0"/>
          <c:dLbls>
            <c:delete val="1"/>
          </c:dLbls>
          <c:cat>
            <c:strRef>
              <c:f>[收入.xls]Sheet1!$L$153:$L$154</c:f>
              <c:strCache>
                <c:ptCount val="2"/>
                <c:pt idx="0">
                  <c:v>2018年</c:v>
                </c:pt>
                <c:pt idx="1">
                  <c:v>2019年</c:v>
                </c:pt>
              </c:strCache>
            </c:strRef>
          </c:cat>
          <c:val>
            <c:numRef>
              <c:f>[收入.xls]Sheet1!$M$153:$M$154</c:f>
              <c:numCache>
                <c:formatCode>General</c:formatCode>
                <c:ptCount val="2"/>
                <c:pt idx="0">
                  <c:v>132.84</c:v>
                </c:pt>
                <c:pt idx="1">
                  <c:v>333.43</c:v>
                </c:pt>
              </c:numCache>
            </c:numRef>
          </c:val>
        </c:ser>
        <c:dLbls>
          <c:showLegendKey val="0"/>
          <c:showVal val="0"/>
          <c:showCatName val="0"/>
          <c:showSerName val="0"/>
          <c:showPercent val="0"/>
          <c:showBubbleSize val="0"/>
        </c:dLbls>
        <c:gapWidth val="150"/>
        <c:overlap val="0"/>
        <c:axId val="181936781"/>
        <c:axId val="89746269"/>
      </c:barChart>
      <c:catAx>
        <c:axId val="18193678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46269"/>
        <c:crosses val="autoZero"/>
        <c:auto val="1"/>
        <c:lblAlgn val="ctr"/>
        <c:lblOffset val="100"/>
        <c:noMultiLvlLbl val="0"/>
      </c:catAx>
      <c:valAx>
        <c:axId val="8974626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936781"/>
        <c:crosses val="autoZero"/>
        <c:crossBetween val="between"/>
      </c:valAx>
      <c:spPr>
        <a:no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1" i="0" u="none" strike="noStrike" kern="1200" baseline="0">
                <a:solidFill>
                  <a:schemeClr val="tx1">
                    <a:lumMod val="65000"/>
                    <a:lumOff val="35000"/>
                  </a:schemeClr>
                </a:solidFill>
                <a:latin typeface="+mn-lt"/>
                <a:ea typeface="+mn-ea"/>
                <a:cs typeface="+mn-cs"/>
              </a:defRPr>
            </a:pPr>
            <a:r>
              <a:rPr sz="1400" b="1" i="0" u="none" strike="noStrike" kern="1200" cap="none" spc="20" normalizeH="0" baseline="0">
                <a:solidFill>
                  <a:schemeClr val="tx1">
                    <a:lumMod val="65000"/>
                    <a:lumOff val="35000"/>
                  </a:schemeClr>
                </a:solidFill>
                <a:effectLst/>
                <a:latin typeface="+mn-lt"/>
                <a:ea typeface="+mn-ea"/>
                <a:cs typeface="+mn-cs"/>
              </a:rPr>
              <a:t>财政拨款支出决算总体情况</a:t>
            </a:r>
            <a:endParaRPr sz="1400" b="1" i="0" u="none" strike="noStrike" kern="1200" cap="none" spc="20" normalizeH="0" baseline="0">
              <a:solidFill>
                <a:schemeClr val="tx1">
                  <a:lumMod val="65000"/>
                  <a:lumOff val="35000"/>
                </a:schemeClr>
              </a:solidFill>
              <a:effectLst/>
              <a:latin typeface="+mn-lt"/>
              <a:ea typeface="+mn-ea"/>
              <a:cs typeface="+mn-cs"/>
            </a:endParaRPr>
          </a:p>
        </c:rich>
      </c:tx>
      <c:layout/>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rotWithShape="0">
                <a:schemeClr val="accent1">
                  <a:alpha val="63000"/>
                </a:schemeClr>
              </a:outerShdw>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[收入.xls]Sheet1!$L$153:$L$154</c:f>
              <c:strCache>
                <c:ptCount val="2"/>
                <c:pt idx="0">
                  <c:v>2018年</c:v>
                </c:pt>
                <c:pt idx="1">
                  <c:v>2019年</c:v>
                </c:pt>
              </c:strCache>
            </c:strRef>
          </c:cat>
          <c:val>
            <c:numRef>
              <c:f>[收入.xls]Sheet1!$M$153:$M$154</c:f>
              <c:numCache>
                <c:formatCode>General</c:formatCode>
                <c:ptCount val="2"/>
                <c:pt idx="0">
                  <c:v>132.84</c:v>
                </c:pt>
                <c:pt idx="1">
                  <c:v>333.43</c:v>
                </c:pt>
              </c:numCache>
            </c:numRef>
          </c:val>
        </c:ser>
        <c:dLbls>
          <c:showLegendKey val="0"/>
          <c:showVal val="0"/>
          <c:showCatName val="0"/>
          <c:showSerName val="0"/>
          <c:showPercent val="0"/>
          <c:showBubbleSize val="0"/>
        </c:dLbls>
        <c:gapWidth val="115"/>
        <c:overlap val="-20"/>
        <c:axId val="181936781"/>
        <c:axId val="89746269"/>
      </c:barChart>
      <c:catAx>
        <c:axId val="181936781"/>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46269"/>
        <c:crosses val="autoZero"/>
        <c:auto val="1"/>
        <c:lblAlgn val="ctr"/>
        <c:lblOffset val="100"/>
        <c:noMultiLvlLbl val="0"/>
      </c:catAx>
      <c:valAx>
        <c:axId val="8974626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936781"/>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2"/>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2020-10-21T10:55:03Z</cp:lastPrinted>
  <dcterms:modified xsi:type="dcterms:W3CDTF">2020-10-21T10:56:15Z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