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spacing w:before="0" w:beforeAutospacing="0" w:after="0" w:afterAutospacing="0"/>
        <w:jc w:val="center"/>
        <w:rPr>
          <w:rStyle w:val="9"/>
          <w:rFonts w:hint="eastAsia"/>
          <w:sz w:val="36"/>
          <w:szCs w:val="36"/>
        </w:rPr>
      </w:pPr>
    </w:p>
    <w:p>
      <w:pPr>
        <w:pStyle w:val="5"/>
        <w:shd w:val="clear" w:color="auto"/>
        <w:spacing w:before="0" w:beforeAutospacing="0" w:after="0" w:afterAutospacing="0" w:line="520" w:lineRule="exact"/>
        <w:jc w:val="center"/>
        <w:rPr>
          <w:rStyle w:val="9"/>
          <w:rFonts w:hint="eastAsia" w:ascii="方正小标宋简体" w:hAnsi="方正小标宋简体" w:eastAsia="方正小标宋简体" w:cs="方正小标宋简体"/>
          <w:sz w:val="44"/>
          <w:szCs w:val="44"/>
          <w:lang w:eastAsia="zh-CN"/>
        </w:rPr>
      </w:pPr>
      <w:r>
        <w:rPr>
          <w:rStyle w:val="9"/>
          <w:rFonts w:hint="eastAsia" w:ascii="方正小标宋简体" w:hAnsi="方正小标宋简体" w:eastAsia="方正小标宋简体" w:cs="方正小标宋简体"/>
          <w:sz w:val="44"/>
          <w:szCs w:val="44"/>
          <w:lang w:eastAsia="zh-CN"/>
        </w:rPr>
        <w:t>西安市阎良区北屯街道办事处</w:t>
      </w:r>
    </w:p>
    <w:p>
      <w:pPr>
        <w:pStyle w:val="5"/>
        <w:shd w:val="clear" w:color="auto"/>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bookmarkStart w:id="0" w:name="_GoBack"/>
      <w:bookmarkEnd w:id="0"/>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hint="eastAsia"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 w:val="32"/>
          <w:szCs w:val="32"/>
        </w:rPr>
      </w:pPr>
    </w:p>
    <w:p>
      <w:pPr>
        <w:spacing w:line="400" w:lineRule="exact"/>
        <w:ind w:firstLine="2570" w:firstLineChars="800"/>
        <w:rPr>
          <w:rFonts w:hint="eastAsia" w:ascii="宋体" w:hAnsi="宋体" w:eastAsia="宋体" w:cs="宋体"/>
          <w:b/>
          <w:bCs/>
          <w:sz w:val="32"/>
          <w:szCs w:val="32"/>
        </w:rPr>
      </w:pPr>
    </w:p>
    <w:p>
      <w:pPr>
        <w:spacing w:line="400" w:lineRule="exact"/>
        <w:ind w:firstLine="2088" w:firstLineChars="650"/>
        <w:rPr>
          <w:rFonts w:hint="eastAsia" w:ascii="宋体" w:hAnsi="宋体" w:eastAsia="宋体" w:cs="宋体"/>
          <w:b/>
          <w:bCs/>
          <w:sz w:val="32"/>
          <w:szCs w:val="32"/>
          <w:lang w:eastAsia="zh-CN"/>
        </w:rPr>
      </w:pPr>
      <w:r>
        <w:rPr>
          <w:rFonts w:hint="eastAsia" w:ascii="宋体" w:hAnsi="宋体" w:eastAsia="宋体" w:cs="宋体"/>
          <w:b/>
          <w:bCs/>
          <w:sz w:val="32"/>
          <w:szCs w:val="32"/>
        </w:rPr>
        <w:t>保密审查情况：</w:t>
      </w:r>
      <w:r>
        <w:rPr>
          <w:rFonts w:hint="eastAsia" w:ascii="宋体" w:hAnsi="宋体" w:eastAsia="宋体" w:cs="宋体"/>
          <w:b/>
          <w:bCs/>
          <w:sz w:val="32"/>
          <w:szCs w:val="32"/>
          <w:lang w:eastAsia="zh-CN"/>
        </w:rPr>
        <w:t>已审查</w:t>
      </w:r>
    </w:p>
    <w:p>
      <w:pPr>
        <w:spacing w:line="400" w:lineRule="exact"/>
        <w:jc w:val="center"/>
        <w:rPr>
          <w:rFonts w:hint="eastAsia" w:ascii="宋体" w:hAnsi="宋体" w:eastAsia="宋体" w:cs="宋体"/>
          <w:b/>
          <w:bCs/>
          <w:sz w:val="32"/>
          <w:szCs w:val="32"/>
        </w:rPr>
      </w:pPr>
    </w:p>
    <w:p>
      <w:pPr>
        <w:spacing w:line="400" w:lineRule="exact"/>
        <w:ind w:firstLine="2088" w:firstLineChars="650"/>
        <w:rPr>
          <w:rFonts w:hint="eastAsia" w:ascii="宋体" w:hAnsi="宋体" w:eastAsia="宋体" w:cs="宋体"/>
          <w:b/>
          <w:bCs/>
          <w:sz w:val="32"/>
          <w:szCs w:val="32"/>
          <w:lang w:eastAsia="zh-CN"/>
        </w:rPr>
      </w:pPr>
      <w:r>
        <w:rPr>
          <w:rFonts w:hint="eastAsia" w:ascii="宋体" w:hAnsi="宋体" w:eastAsia="宋体" w:cs="宋体"/>
          <w:b/>
          <w:bCs/>
          <w:sz w:val="32"/>
          <w:szCs w:val="32"/>
        </w:rPr>
        <w:t>部门主要负责人审签情况：</w:t>
      </w:r>
      <w:r>
        <w:rPr>
          <w:rFonts w:hint="eastAsia" w:ascii="宋体" w:hAnsi="宋体" w:eastAsia="宋体" w:cs="宋体"/>
          <w:b/>
          <w:bCs/>
          <w:sz w:val="32"/>
          <w:szCs w:val="32"/>
          <w:lang w:eastAsia="zh-CN"/>
        </w:rPr>
        <w:t>纪辉已审签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方正小标宋简体" w:hAnsi="方正小标宋简体" w:eastAsia="方正小标宋简体" w:cs="方正小标宋简体"/>
          <w:b w:val="0"/>
          <w:bCs w:val="0"/>
          <w:sz w:val="44"/>
          <w:szCs w:val="44"/>
        </w:rPr>
        <w:sectPr>
          <w:pgSz w:w="11906" w:h="16838"/>
          <w:pgMar w:top="1440" w:right="1800" w:bottom="1440" w:left="1800" w:header="851" w:footer="992" w:gutter="0"/>
          <w:cols w:space="425" w:num="1"/>
          <w:docGrid w:type="lines" w:linePitch="312" w:charSpace="0"/>
        </w:sectPr>
      </w:pP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w:t>
      </w:r>
      <w:r>
        <w:rPr>
          <w:rFonts w:hint="eastAsia" w:ascii="仿宋" w:hAnsi="仿宋" w:eastAsia="仿宋" w:cs="楷体"/>
          <w:color w:val="000000"/>
          <w:kern w:val="0"/>
          <w:szCs w:val="32"/>
          <w:lang w:val="en-US" w:eastAsia="zh-CN"/>
        </w:rPr>
        <w:t xml:space="preserve"> </w:t>
      </w:r>
      <w:r>
        <w:rPr>
          <w:rFonts w:hint="eastAsia" w:ascii="仿宋" w:hAnsi="仿宋" w:eastAsia="仿宋" w:cs="楷体"/>
          <w:color w:val="000000"/>
          <w:kern w:val="0"/>
          <w:szCs w:val="32"/>
        </w:rPr>
        <w:t>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黑体" w:hAnsi="黑体" w:eastAsia="黑体" w:cs="黑体"/>
          <w:b w:val="0"/>
          <w:bCs w:val="0"/>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000000"/>
          <w:kern w:val="0"/>
          <w:sz w:val="32"/>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numPr>
          <w:ilvl w:val="0"/>
          <w:numId w:val="2"/>
        </w:numPr>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sz w:val="32"/>
          <w:szCs w:val="32"/>
        </w:rPr>
      </w:pPr>
      <w:r>
        <w:rPr>
          <w:rFonts w:hint="eastAsia" w:ascii="黑体" w:hAnsi="黑体" w:eastAsia="黑体" w:cs="黑体"/>
          <w:color w:val="000000"/>
          <w:sz w:val="32"/>
          <w:szCs w:val="32"/>
        </w:rPr>
        <w:t>部门主要职责</w:t>
      </w:r>
      <w:r>
        <w:rPr>
          <w:rFonts w:hint="eastAsia" w:ascii="黑体" w:hAnsi="黑体" w:eastAsia="黑体" w:cs="黑体"/>
          <w:color w:val="000000"/>
          <w:sz w:val="32"/>
          <w:szCs w:val="32"/>
          <w:lang w:eastAsia="zh-CN"/>
        </w:rPr>
        <w:t>及内设机构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eastAsia="zh-CN"/>
        </w:rPr>
      </w:pPr>
      <w:r>
        <w:rPr>
          <w:rFonts w:hint="eastAsia" w:ascii="仿宋" w:hAnsi="仿宋" w:eastAsia="仿宋"/>
          <w:b/>
          <w:bCs/>
          <w:sz w:val="32"/>
          <w:szCs w:val="32"/>
          <w:lang w:eastAsia="zh-CN"/>
        </w:rPr>
        <w:t>（一）主要职责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贯彻执行党和国家的路线、方针、政策和上级人民政府关于街道工作方面的决定，制定具体的管理办法并组织实施；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执行本辖区内经济和社会发展计划、财政预算,管理本辖区内的社会事务管理、劳动和社会保障、计划生育、环境保护、文化、卫生、安全生产等行政工作；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负责维护本辖区内社会秩序稳定，做好社会治安综合治理和人民调解工作；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维护老年人、未成年人、妇女、残疾人等的合法权益；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开展拥军优属，做好国防动员和兵役工作；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配合做好防灾救灾工作；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向区人民政府反映居民的意见和要求，处理群众来信来访事项；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办理区人民政府交办的其他事项。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（二）内设机构</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行政机构</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党政办公室。主要职责是：负责街道办文书、档案、保密、机关日常事务等服务工作；抓好基层党支部的思想建设、组织建设和作风建设；抓好党员干部的培养、选拔；负责街道工、群、团工作；做好干部管理和来信来访工作，完成党政领导交办的其他事项。</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经济发展办公室。主要职责是：负责街道经济的规划、计划、统计工作；做好农村合作经济组织财务的审计监督；对现有企业进行指导、监督、服务、协调，加大招商引资力度。进行农业多种经营和市场建设的管理。</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社会事务管理办公室</w:t>
      </w:r>
      <w:r>
        <w:rPr>
          <w:rFonts w:ascii="仿宋_GB2312" w:eastAsia="仿宋_GB2312"/>
          <w:sz w:val="32"/>
          <w:szCs w:val="32"/>
        </w:rPr>
        <w:t>(挂社会治安综合治理办公室牌子)。主要职责是：负责社区行政管理；负责辖区文化、科技、卫生、教育工作；搞好社会救助、劳动就业推荐，做好社会保障工作；开展社会治安综合治理及安全防火工作。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城市管理办公室。主要职责是：抓好市容卫生管理和环境保护工作；抓好街道规划、建设和管理；抓好街村绿化、交通、土地管理工作。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计划生育办公室。主要职责是：宣传计划生育国策、加强基层基础工作，制定辖区人口计划，落实计生措施，提高人口素质。</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二、事业机构</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财政农税所。主要职责是：一是负责街道财政的预决算工作；二是加强财源建设，强化对财政各项建设资金的监督管理，负责农业税的征解工作；三是负责财务、出纳。</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司法所。主要职责是：负责辅区的法制宣传、教育、民事调解、法律咨询等工作。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农业服务中心。主要职责是：负责街道的农机、农技、果林、农经、畜牧兽医、水利、农业综合开发、农电的发展和服务协调工作。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市场服务中心。主要职责是：组织规划市场建设，搞好市场管理，建立健全市场服务体系，搞好市场环境卫生、服务协调工作，做好对辖区企业的指导、协调、服务工作。</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文化服务中心。主要职责是：负责街道广播、电视、文化、体育事业，做好文化宣传工作。</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val="0"/>
          <w:color w:val="000000"/>
          <w:sz w:val="32"/>
          <w:szCs w:val="32"/>
        </w:rPr>
      </w:pPr>
      <w:r>
        <w:rPr>
          <w:rStyle w:val="9"/>
          <w:rFonts w:hint="eastAsia" w:ascii="黑体" w:hAnsi="黑体" w:eastAsia="黑体" w:cs="黑体"/>
          <w:b w:val="0"/>
          <w:bCs w:val="0"/>
          <w:color w:val="000000"/>
          <w:sz w:val="32"/>
          <w:szCs w:val="32"/>
          <w:lang w:eastAsia="zh-CN"/>
        </w:rPr>
        <w:t>二、</w:t>
      </w:r>
      <w:r>
        <w:rPr>
          <w:rStyle w:val="9"/>
          <w:rFonts w:hint="eastAsia" w:ascii="黑体" w:hAnsi="黑体" w:eastAsia="黑体" w:cs="黑体"/>
          <w:b w:val="0"/>
          <w:bCs w:val="0"/>
          <w:color w:val="000000"/>
          <w:sz w:val="32"/>
          <w:szCs w:val="32"/>
        </w:rPr>
        <w:t>部门决算单位构成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从决算单位构成看，本部门的部门决算为部门本级（机关）决算。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华文仿宋"/>
          <w:sz w:val="32"/>
          <w:szCs w:val="32"/>
        </w:rPr>
      </w:pPr>
      <w:r>
        <w:rPr>
          <w:rFonts w:hint="eastAsia" w:ascii="仿宋" w:hAnsi="仿宋" w:eastAsia="仿宋" w:cs="华文仿宋"/>
          <w:sz w:val="32"/>
          <w:szCs w:val="32"/>
        </w:rPr>
        <w:t>纳入本部门</w:t>
      </w:r>
      <w:r>
        <w:rPr>
          <w:rFonts w:hint="eastAsia" w:ascii="仿宋" w:hAnsi="仿宋" w:eastAsia="仿宋" w:cs="华文仿宋"/>
          <w:sz w:val="32"/>
          <w:szCs w:val="32"/>
          <w:lang w:eastAsia="zh-CN"/>
        </w:rPr>
        <w:t>20</w:t>
      </w:r>
      <w:r>
        <w:rPr>
          <w:rFonts w:hint="eastAsia" w:ascii="仿宋" w:hAnsi="仿宋" w:eastAsia="仿宋" w:cs="华文仿宋"/>
          <w:sz w:val="32"/>
          <w:szCs w:val="32"/>
          <w:lang w:val="en-US" w:eastAsia="zh-CN"/>
        </w:rPr>
        <w:t>19</w:t>
      </w:r>
      <w:r>
        <w:rPr>
          <w:rFonts w:hint="eastAsia" w:ascii="仿宋" w:hAnsi="仿宋" w:eastAsia="仿宋" w:cs="华文仿宋"/>
          <w:sz w:val="32"/>
          <w:szCs w:val="32"/>
        </w:rPr>
        <w:t>年部门决算编制范围的二级决算单位共有0个，包括：</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华文仿宋"/>
                <w:sz w:val="32"/>
                <w:szCs w:val="32"/>
              </w:rPr>
            </w:pPr>
            <w:r>
              <w:rPr>
                <w:rFonts w:hint="eastAsia" w:ascii="仿宋" w:hAnsi="仿宋" w:eastAsia="仿宋" w:cs="华文仿宋"/>
                <w:sz w:val="32"/>
                <w:szCs w:val="32"/>
              </w:rPr>
              <w:t>序号</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华文仿宋"/>
                <w:sz w:val="32"/>
                <w:szCs w:val="32"/>
              </w:rPr>
            </w:pPr>
            <w:r>
              <w:rPr>
                <w:rFonts w:hint="eastAsia" w:ascii="仿宋" w:hAnsi="仿宋" w:eastAsia="仿宋" w:cs="华文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华文仿宋"/>
                <w:sz w:val="32"/>
                <w:szCs w:val="32"/>
              </w:rPr>
            </w:pPr>
            <w:r>
              <w:rPr>
                <w:rFonts w:hint="eastAsia" w:ascii="仿宋" w:hAnsi="仿宋" w:eastAsia="仿宋" w:cs="华文仿宋"/>
                <w:sz w:val="32"/>
                <w:szCs w:val="32"/>
              </w:rPr>
              <w:t>1</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西安市阎良区北屯街道办事处本级（机关）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华文仿宋"/>
                <w:sz w:val="32"/>
                <w:szCs w:val="32"/>
              </w:rPr>
            </w:pPr>
            <w:r>
              <w:rPr>
                <w:rFonts w:hint="eastAsia" w:ascii="仿宋" w:hAnsi="仿宋" w:eastAsia="仿宋" w:cs="华文仿宋"/>
                <w:sz w:val="32"/>
                <w:szCs w:val="32"/>
              </w:rPr>
              <w:t>2</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华文仿宋"/>
                <w:sz w:val="32"/>
                <w:szCs w:val="32"/>
              </w:rPr>
            </w:pPr>
            <w:r>
              <w:rPr>
                <w:rFonts w:hint="eastAsia" w:ascii="仿宋" w:hAnsi="仿宋" w:eastAsia="仿宋" w:cs="华文仿宋"/>
                <w:sz w:val="32"/>
                <w:szCs w:val="32"/>
              </w:rPr>
              <w:t>3</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s="华文仿宋"/>
                <w:sz w:val="32"/>
                <w:szCs w:val="32"/>
              </w:rPr>
            </w:pPr>
            <w:r>
              <w:rPr>
                <w:rFonts w:hint="eastAsia" w:ascii="仿宋" w:hAnsi="仿宋" w:eastAsia="仿宋" w:cs="华文仿宋"/>
                <w:sz w:val="32"/>
                <w:szCs w:val="32"/>
              </w:rPr>
              <w:t>……</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华文仿宋"/>
                <w:sz w:val="32"/>
                <w:szCs w:val="32"/>
              </w:rPr>
            </w:pPr>
            <w:r>
              <w:rPr>
                <w:rFonts w:hint="eastAsia" w:ascii="仿宋" w:hAnsi="仿宋" w:eastAsia="仿宋" w:cs="华文仿宋"/>
                <w:sz w:val="32"/>
                <w:szCs w:val="32"/>
              </w:rPr>
              <w:t>……</w:t>
            </w:r>
          </w:p>
        </w:tc>
      </w:tr>
    </w:tbl>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val="0"/>
          <w:color w:val="000000"/>
          <w:sz w:val="32"/>
          <w:szCs w:val="32"/>
        </w:rPr>
      </w:pPr>
      <w:r>
        <w:rPr>
          <w:rStyle w:val="9"/>
          <w:rFonts w:hint="eastAsia" w:ascii="黑体" w:hAnsi="黑体" w:eastAsia="黑体" w:cs="黑体"/>
          <w:b w:val="0"/>
          <w:bCs w:val="0"/>
          <w:color w:val="000000"/>
          <w:sz w:val="32"/>
          <w:szCs w:val="32"/>
        </w:rPr>
        <w:t>三、部门人员情况说明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黑体"/>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华文仿宋"/>
          <w:sz w:val="32"/>
          <w:szCs w:val="32"/>
        </w:rPr>
        <w:t>截止201</w:t>
      </w:r>
      <w:r>
        <w:rPr>
          <w:rFonts w:hint="eastAsia" w:ascii="仿宋" w:hAnsi="仿宋" w:eastAsia="仿宋" w:cs="华文仿宋"/>
          <w:sz w:val="32"/>
          <w:szCs w:val="32"/>
          <w:lang w:val="en-US" w:eastAsia="zh-CN"/>
        </w:rPr>
        <w:t>9</w:t>
      </w:r>
      <w:r>
        <w:rPr>
          <w:rFonts w:hint="eastAsia" w:ascii="仿宋" w:hAnsi="仿宋" w:eastAsia="仿宋" w:cs="华文仿宋"/>
          <w:sz w:val="32"/>
          <w:szCs w:val="32"/>
        </w:rPr>
        <w:t>年底，</w:t>
      </w:r>
      <w:r>
        <w:rPr>
          <w:rFonts w:hint="eastAsia" w:ascii="仿宋" w:hAnsi="仿宋" w:eastAsia="仿宋"/>
          <w:sz w:val="32"/>
          <w:szCs w:val="32"/>
        </w:rPr>
        <w:t>本部门人员编制</w:t>
      </w:r>
      <w:r>
        <w:rPr>
          <w:rFonts w:hint="eastAsia" w:ascii="仿宋" w:hAnsi="仿宋" w:eastAsia="仿宋"/>
          <w:sz w:val="32"/>
          <w:szCs w:val="32"/>
          <w:lang w:val="en-US" w:eastAsia="zh-CN"/>
        </w:rPr>
        <w:t>57</w:t>
      </w:r>
      <w:r>
        <w:rPr>
          <w:rFonts w:hint="eastAsia" w:ascii="仿宋" w:hAnsi="仿宋" w:eastAsia="仿宋"/>
          <w:sz w:val="32"/>
          <w:szCs w:val="32"/>
        </w:rPr>
        <w:t>人，其中行政编制</w:t>
      </w:r>
      <w:r>
        <w:rPr>
          <w:rFonts w:hint="eastAsia" w:ascii="仿宋" w:hAnsi="仿宋" w:eastAsia="仿宋"/>
          <w:sz w:val="32"/>
          <w:szCs w:val="32"/>
          <w:lang w:val="en-US" w:eastAsia="zh-CN"/>
        </w:rPr>
        <w:t>19</w:t>
      </w:r>
      <w:r>
        <w:rPr>
          <w:rFonts w:hint="eastAsia" w:ascii="仿宋" w:hAnsi="仿宋" w:eastAsia="仿宋"/>
          <w:sz w:val="32"/>
          <w:szCs w:val="32"/>
        </w:rPr>
        <w:t>人、事业编制</w:t>
      </w:r>
      <w:r>
        <w:rPr>
          <w:rFonts w:hint="eastAsia" w:ascii="仿宋" w:hAnsi="仿宋" w:eastAsia="仿宋"/>
          <w:sz w:val="32"/>
          <w:szCs w:val="32"/>
          <w:lang w:val="en-US" w:eastAsia="zh-CN"/>
        </w:rPr>
        <w:t>38</w:t>
      </w:r>
      <w:r>
        <w:rPr>
          <w:rFonts w:hint="eastAsia" w:ascii="仿宋" w:hAnsi="仿宋" w:eastAsia="仿宋"/>
          <w:sz w:val="32"/>
          <w:szCs w:val="32"/>
        </w:rPr>
        <w:t>人；实有人员</w:t>
      </w:r>
      <w:r>
        <w:rPr>
          <w:rFonts w:hint="eastAsia" w:ascii="仿宋" w:hAnsi="仿宋" w:eastAsia="仿宋"/>
          <w:sz w:val="32"/>
          <w:szCs w:val="32"/>
          <w:lang w:val="en-US" w:eastAsia="zh-CN"/>
        </w:rPr>
        <w:t>56</w:t>
      </w:r>
      <w:r>
        <w:rPr>
          <w:rFonts w:hint="eastAsia" w:ascii="仿宋" w:hAnsi="仿宋" w:eastAsia="仿宋"/>
          <w:sz w:val="32"/>
          <w:szCs w:val="32"/>
        </w:rPr>
        <w:t>人，其中行政</w:t>
      </w:r>
      <w:r>
        <w:rPr>
          <w:rFonts w:hint="eastAsia" w:ascii="仿宋" w:hAnsi="仿宋" w:eastAsia="仿宋"/>
          <w:sz w:val="32"/>
          <w:szCs w:val="32"/>
          <w:lang w:val="en-US" w:eastAsia="zh-CN"/>
        </w:rPr>
        <w:t>22</w:t>
      </w:r>
      <w:r>
        <w:rPr>
          <w:rFonts w:hint="eastAsia" w:ascii="仿宋" w:hAnsi="仿宋" w:eastAsia="仿宋"/>
          <w:sz w:val="32"/>
          <w:szCs w:val="32"/>
        </w:rPr>
        <w:t>人，事业</w:t>
      </w:r>
      <w:r>
        <w:rPr>
          <w:rFonts w:ascii="仿宋" w:hAnsi="仿宋" w:eastAsia="仿宋"/>
          <w:sz w:val="32"/>
          <w:szCs w:val="32"/>
        </w:rPr>
        <w:t>3</w:t>
      </w:r>
      <w:r>
        <w:rPr>
          <w:rFonts w:hint="eastAsia" w:ascii="仿宋" w:hAnsi="仿宋" w:eastAsia="仿宋"/>
          <w:sz w:val="32"/>
          <w:szCs w:val="32"/>
        </w:rPr>
        <w:t>4人。单位管理的离退休人员</w:t>
      </w:r>
      <w:r>
        <w:rPr>
          <w:rFonts w:ascii="仿宋" w:hAnsi="仿宋" w:eastAsia="仿宋"/>
          <w:sz w:val="32"/>
          <w:szCs w:val="32"/>
        </w:rPr>
        <w:t>0</w:t>
      </w:r>
      <w:r>
        <w:rPr>
          <w:rFonts w:hint="eastAsia" w:ascii="仿宋" w:hAnsi="仿宋" w:eastAsia="仿宋"/>
          <w:sz w:val="32"/>
          <w:szCs w:val="32"/>
        </w:rPr>
        <w:t>人</w:t>
      </w:r>
      <w:r>
        <w:rPr>
          <w:rFonts w:hint="eastAsia" w:ascii="仿宋" w:hAnsi="仿宋" w:eastAsia="仿宋"/>
          <w:sz w:val="32"/>
          <w:szCs w:val="32"/>
          <w:lang w:val="en-US" w:eastAsia="zh-CN"/>
        </w:rPr>
        <w:t>。</w:t>
      </w:r>
    </w:p>
    <w:p>
      <w:pPr>
        <w:spacing w:line="240" w:lineRule="atLeast"/>
        <w:ind w:firstLine="640" w:firstLineChars="200"/>
        <w:rPr>
          <w:rFonts w:ascii="仿宋" w:hAnsi="仿宋" w:eastAsia="仿宋" w:cs="黑体"/>
          <w:sz w:val="32"/>
          <w:szCs w:val="32"/>
        </w:rPr>
      </w:pPr>
    </w:p>
    <w:p>
      <w:pPr>
        <w:spacing w:line="240" w:lineRule="atLeast"/>
        <w:ind w:firstLine="640" w:firstLineChars="200"/>
        <w:rPr>
          <w:rFonts w:ascii="仿宋" w:hAnsi="仿宋" w:eastAsia="仿宋" w:cs="黑体"/>
          <w:sz w:val="32"/>
          <w:szCs w:val="32"/>
        </w:rPr>
      </w:pPr>
      <w:r>
        <w:rPr>
          <w:rFonts w:ascii="仿宋" w:hAnsi="仿宋" w:eastAsia="仿宋" w:cs="黑体"/>
          <w:sz w:val="32"/>
          <w:szCs w:val="32"/>
        </w:rPr>
        <w:drawing>
          <wp:inline distT="0" distB="0" distL="0" distR="0">
            <wp:extent cx="4962525" cy="2990215"/>
            <wp:effectExtent l="4445" t="4445" r="508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val="0"/>
          <w:color w:val="000000"/>
          <w:sz w:val="32"/>
          <w:szCs w:val="32"/>
        </w:rPr>
      </w:pP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1760" w:firstLineChars="400"/>
        <w:jc w:val="both"/>
        <w:textAlignment w:val="auto"/>
        <w:rPr>
          <w:rStyle w:val="9"/>
          <w:rFonts w:hint="eastAsia" w:ascii="方正小标宋简体" w:hAnsi="方正小标宋简体" w:eastAsia="方正小标宋简体" w:cs="方正小标宋简体"/>
          <w:b w:val="0"/>
          <w:bCs w:val="0"/>
          <w:sz w:val="44"/>
          <w:szCs w:val="44"/>
          <w:lang w:eastAsia="zh-CN"/>
        </w:rPr>
      </w:pP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1760" w:firstLineChars="400"/>
        <w:jc w:val="both"/>
        <w:textAlignment w:val="auto"/>
        <w:rPr>
          <w:rFonts w:hint="eastAsia" w:ascii="仿宋_GB2312" w:hAnsi="仿宋_GB2312" w:eastAsia="仿宋_GB2312" w:cs="仿宋_GB2312"/>
          <w:sz w:val="32"/>
          <w:szCs w:val="32"/>
        </w:rPr>
      </w:pPr>
      <w:r>
        <w:rPr>
          <w:rStyle w:val="9"/>
          <w:rFonts w:hint="eastAsia" w:ascii="方正小标宋简体" w:hAnsi="方正小标宋简体" w:eastAsia="方正小标宋简体" w:cs="方正小标宋简体"/>
          <w:b w:val="0"/>
          <w:bCs w:val="0"/>
          <w:sz w:val="44"/>
          <w:szCs w:val="44"/>
          <w:lang w:eastAsia="zh-CN"/>
        </w:rPr>
        <w:t>第二部分</w:t>
      </w:r>
      <w:r>
        <w:rPr>
          <w:rStyle w:val="9"/>
          <w:rFonts w:hint="eastAsia" w:ascii="方正小标宋简体" w:hAnsi="方正小标宋简体" w:eastAsia="方正小标宋简体" w:cs="方正小标宋简体"/>
          <w:b w:val="0"/>
          <w:bCs w:val="0"/>
          <w:sz w:val="44"/>
          <w:szCs w:val="44"/>
          <w:lang w:val="en-US" w:eastAsia="zh-CN"/>
        </w:rPr>
        <w:t>2019年度部门决算报表</w:t>
      </w:r>
    </w:p>
    <w:tbl>
      <w:tblPr>
        <w:tblStyle w:val="6"/>
        <w:tblpPr w:leftFromText="180" w:rightFromText="180" w:vertAnchor="text" w:horzAnchor="page" w:tblpX="1587" w:tblpY="810"/>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94"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宋体" w:eastAsia="黑体"/>
                <w:color w:val="000000"/>
                <w:sz w:val="24"/>
                <w:lang w:eastAsia="zh-CN"/>
              </w:rPr>
            </w:pPr>
            <w:r>
              <w:rPr>
                <w:rFonts w:hint="eastAsia" w:ascii="黑体" w:hAnsi="宋体" w:eastAsia="黑体"/>
                <w:color w:val="000000"/>
                <w:sz w:val="24"/>
                <w:lang w:eastAsia="zh-CN"/>
              </w:rPr>
              <w:t>是否空表</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547"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34"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48"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47"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47"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24" w:hRule="atLeast"/>
        </w:trPr>
        <w:tc>
          <w:tcPr>
            <w:tcW w:w="57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16"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sz w:val="21"/>
                <w:szCs w:val="21"/>
              </w:rPr>
            </w:pPr>
            <w:r>
              <w:rPr>
                <w:rFonts w:hint="eastAsia" w:ascii="宋体" w:hAnsi="宋体" w:cs="宋体"/>
                <w:color w:val="000000"/>
                <w:kern w:val="0"/>
                <w:sz w:val="21"/>
                <w:szCs w:val="21"/>
              </w:rPr>
              <w:t>政府性基金预算财政拨款收入支出决算表</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r>
    </w:tbl>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1760" w:firstLineChars="400"/>
        <w:jc w:val="both"/>
        <w:textAlignment w:val="auto"/>
        <w:rPr>
          <w:rStyle w:val="9"/>
          <w:rFonts w:hint="default"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编制部门：   西安市阎良区</w:t>
      </w:r>
      <w:r>
        <w:rPr>
          <w:rFonts w:hint="eastAsia" w:ascii="宋体" w:hAnsi="宋体" w:eastAsia="宋体" w:cs="宋体"/>
          <w:b/>
          <w:bCs/>
          <w:sz w:val="21"/>
          <w:szCs w:val="21"/>
          <w:lang w:eastAsia="zh-CN"/>
        </w:rPr>
        <w:t>北屯</w:t>
      </w:r>
      <w:r>
        <w:rPr>
          <w:rFonts w:hint="eastAsia" w:ascii="宋体" w:hAnsi="宋体" w:eastAsia="宋体" w:cs="宋体"/>
          <w:b/>
          <w:bCs/>
          <w:sz w:val="21"/>
          <w:szCs w:val="21"/>
        </w:rPr>
        <w:t>街道办事处（本级）                                                  金额单位：万元</w:t>
      </w:r>
    </w:p>
    <w:tbl>
      <w:tblPr>
        <w:tblStyle w:val="6"/>
        <w:tblW w:w="8839" w:type="dxa"/>
        <w:tblInd w:w="0" w:type="dxa"/>
        <w:tblLayout w:type="fixed"/>
        <w:tblCellMar>
          <w:top w:w="15" w:type="dxa"/>
          <w:left w:w="15" w:type="dxa"/>
          <w:bottom w:w="15" w:type="dxa"/>
          <w:right w:w="15" w:type="dxa"/>
        </w:tblCellMar>
      </w:tblPr>
      <w:tblGrid>
        <w:gridCol w:w="3371"/>
        <w:gridCol w:w="1074"/>
        <w:gridCol w:w="3074"/>
        <w:gridCol w:w="1320"/>
      </w:tblGrid>
      <w:tr>
        <w:tblPrEx>
          <w:tblCellMar>
            <w:top w:w="15" w:type="dxa"/>
            <w:left w:w="15" w:type="dxa"/>
            <w:bottom w:w="15" w:type="dxa"/>
            <w:right w:w="15" w:type="dxa"/>
          </w:tblCellMar>
        </w:tblPrEx>
        <w:trPr>
          <w:trHeight w:val="446" w:hRule="atLeast"/>
        </w:trPr>
        <w:tc>
          <w:tcPr>
            <w:tcW w:w="44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3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400"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1,119.95</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7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7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7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p>
        </w:tc>
        <w:tc>
          <w:tcPr>
            <w:tcW w:w="1074" w:type="dxa"/>
            <w:tcBorders>
              <w:top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p>
        </w:tc>
        <w:tc>
          <w:tcPr>
            <w:tcW w:w="1074" w:type="dxa"/>
            <w:tcBorders>
              <w:top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54"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p>
        </w:tc>
        <w:tc>
          <w:tcPr>
            <w:tcW w:w="1074" w:type="dxa"/>
            <w:tcBorders>
              <w:top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r>
      <w:tr>
        <w:tblPrEx>
          <w:tblCellMar>
            <w:top w:w="15" w:type="dxa"/>
            <w:left w:w="15" w:type="dxa"/>
            <w:bottom w:w="15" w:type="dxa"/>
            <w:right w:w="15" w:type="dxa"/>
          </w:tblCellMar>
        </w:tblPrEx>
        <w:trPr>
          <w:trHeight w:val="342"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40"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9"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7" w:hRule="atLeast"/>
        </w:trPr>
        <w:tc>
          <w:tcPr>
            <w:tcW w:w="3371"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15" w:type="dxa"/>
            <w:left w:w="15" w:type="dxa"/>
            <w:bottom w:w="15" w:type="dxa"/>
            <w:right w:w="15" w:type="dxa"/>
          </w:tblCellMar>
        </w:tblPrEx>
        <w:trPr>
          <w:trHeight w:val="436" w:hRule="atLeast"/>
        </w:trPr>
        <w:tc>
          <w:tcPr>
            <w:tcW w:w="3371"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7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1,119.95</w:t>
            </w:r>
          </w:p>
        </w:tc>
        <w:tc>
          <w:tcPr>
            <w:tcW w:w="3074"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r>
      <w:tr>
        <w:tblPrEx>
          <w:tblCellMar>
            <w:top w:w="15" w:type="dxa"/>
            <w:left w:w="15" w:type="dxa"/>
            <w:bottom w:w="15" w:type="dxa"/>
            <w:right w:w="15" w:type="dxa"/>
          </w:tblCellMar>
        </w:tblPrEx>
        <w:trPr>
          <w:trHeight w:val="378"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bCs/>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94"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Cs/>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bCs/>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4" w:hRule="atLeast"/>
        </w:trPr>
        <w:tc>
          <w:tcPr>
            <w:tcW w:w="3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bCs/>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收入决算表</w:t>
      </w:r>
    </w:p>
    <w:p>
      <w:pPr>
        <w:jc w:val="right"/>
        <w:rPr>
          <w:rFonts w:ascii="宋体" w:hAnsi="宋体" w:eastAsia="宋体" w:cs="宋体"/>
          <w:b/>
          <w:bCs/>
          <w:sz w:val="21"/>
          <w:szCs w:val="21"/>
        </w:rPr>
      </w:pPr>
      <w:r>
        <w:rPr>
          <w:rFonts w:hint="eastAsia" w:ascii="宋体" w:hAnsi="宋体" w:eastAsia="宋体" w:cs="宋体"/>
          <w:b/>
          <w:bCs/>
          <w:sz w:val="21"/>
          <w:szCs w:val="21"/>
        </w:rPr>
        <w:t>公开02表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48"/>
          <w:szCs w:val="48"/>
        </w:rPr>
      </w:pPr>
      <w:r>
        <w:rPr>
          <w:rFonts w:hint="eastAsia" w:ascii="宋体" w:hAnsi="宋体" w:eastAsia="宋体" w:cs="宋体"/>
          <w:b/>
          <w:bCs/>
          <w:sz w:val="21"/>
          <w:szCs w:val="21"/>
        </w:rPr>
        <w:t>编制部门：西安市阎良区</w:t>
      </w:r>
      <w:r>
        <w:rPr>
          <w:rFonts w:hint="eastAsia" w:ascii="宋体" w:hAnsi="宋体" w:eastAsia="宋体" w:cs="宋体"/>
          <w:b/>
          <w:bCs/>
          <w:sz w:val="21"/>
          <w:szCs w:val="21"/>
          <w:lang w:eastAsia="zh-CN"/>
        </w:rPr>
        <w:t>北屯</w:t>
      </w:r>
      <w:r>
        <w:rPr>
          <w:rFonts w:hint="eastAsia" w:ascii="宋体" w:hAnsi="宋体" w:eastAsia="宋体" w:cs="宋体"/>
          <w:b/>
          <w:bCs/>
          <w:sz w:val="21"/>
          <w:szCs w:val="21"/>
        </w:rPr>
        <w:t>街道办事处（本级）                                                          金额单位：万元</w:t>
      </w:r>
    </w:p>
    <w:tbl>
      <w:tblPr>
        <w:tblStyle w:val="6"/>
        <w:tblW w:w="8916" w:type="dxa"/>
        <w:tblInd w:w="0" w:type="dxa"/>
        <w:tblLayout w:type="fixed"/>
        <w:tblCellMar>
          <w:top w:w="15" w:type="dxa"/>
          <w:left w:w="15" w:type="dxa"/>
          <w:bottom w:w="15" w:type="dxa"/>
          <w:right w:w="15" w:type="dxa"/>
        </w:tblCellMar>
      </w:tblPr>
      <w:tblGrid>
        <w:gridCol w:w="824"/>
        <w:gridCol w:w="1999"/>
        <w:gridCol w:w="922"/>
        <w:gridCol w:w="1114"/>
        <w:gridCol w:w="688"/>
        <w:gridCol w:w="812"/>
        <w:gridCol w:w="606"/>
        <w:gridCol w:w="591"/>
        <w:gridCol w:w="742"/>
        <w:gridCol w:w="618"/>
      </w:tblGrid>
      <w:tr>
        <w:tblPrEx>
          <w:tblCellMar>
            <w:top w:w="15" w:type="dxa"/>
            <w:left w:w="15" w:type="dxa"/>
            <w:bottom w:w="15" w:type="dxa"/>
            <w:right w:w="15" w:type="dxa"/>
          </w:tblCellMar>
        </w:tblPrEx>
        <w:trPr>
          <w:trHeight w:val="363" w:hRule="atLeast"/>
        </w:trPr>
        <w:tc>
          <w:tcPr>
            <w:tcW w:w="2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11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5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006" w:hRule="atLeast"/>
        </w:trPr>
        <w:tc>
          <w:tcPr>
            <w:tcW w:w="824"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999"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1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5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63" w:hRule="atLeast"/>
        </w:trPr>
        <w:tc>
          <w:tcPr>
            <w:tcW w:w="28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1,119.95</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1,119.95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一般公共服务支出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37"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3"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2010301</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行政运行</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604.38</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604.38</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2010302</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一般行政管理事务</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12.35</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12.35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3"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2010350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事业运行</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272.06</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272.06</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1006"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2010399</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97.00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97.00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685"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208</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社会保障和就业支出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685"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20805</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行政事业单位离退休</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37"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2080505</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3"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卫生健康支出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21011</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行政事业单位医疗</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2101101</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行政单位医疗</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6.88</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6.88</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2101102</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事业单位医疗</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7.75</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7.75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3"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农林水支出</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3"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21307</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农村综合改革</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695"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2130701</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对村级一事一议的补助</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r>
        <w:rPr>
          <w:rFonts w:hint="eastAsia" w:ascii="宋体" w:hAnsi="宋体" w:eastAsia="宋体" w:cs="宋体"/>
          <w:b/>
          <w:bCs/>
          <w:szCs w:val="32"/>
        </w:rPr>
        <w:t>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公开03表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48"/>
          <w:szCs w:val="48"/>
        </w:rPr>
      </w:pPr>
      <w:r>
        <w:rPr>
          <w:rFonts w:hint="eastAsia" w:ascii="宋体" w:hAnsi="宋体" w:eastAsia="宋体" w:cs="宋体"/>
          <w:b/>
          <w:bCs/>
          <w:sz w:val="21"/>
          <w:szCs w:val="21"/>
        </w:rPr>
        <w:t>编制部门： 西安市阎良区武屯街道办事处（本级）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2687"/>
        <w:gridCol w:w="913"/>
        <w:gridCol w:w="846"/>
        <w:gridCol w:w="927"/>
        <w:gridCol w:w="832"/>
        <w:gridCol w:w="559"/>
        <w:gridCol w:w="1135"/>
      </w:tblGrid>
      <w:tr>
        <w:tblPrEx>
          <w:tblCellMar>
            <w:top w:w="15" w:type="dxa"/>
            <w:left w:w="15" w:type="dxa"/>
            <w:bottom w:w="15" w:type="dxa"/>
            <w:right w:w="15" w:type="dxa"/>
          </w:tblCellMar>
        </w:tblPrEx>
        <w:trPr>
          <w:trHeight w:val="372" w:hRule="atLeast"/>
        </w:trPr>
        <w:tc>
          <w:tcPr>
            <w:tcW w:w="36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1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613" w:hRule="atLeast"/>
        </w:trPr>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1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6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928.10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224.85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一般公共服务支出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857.44</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128.35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857.44</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128.35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2010301</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行政运行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604.38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604.38</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2010302</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一般行政管理事务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12.35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12.35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2010350</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事业运行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272.06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253.06</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19.00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2010399</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97.00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97.00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208</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社会保障和就业支出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20805</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行政事业单位离退休</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2080505</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卫生健康支出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21011</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行政事业单位医疗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2101101</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行政单位医疗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6.88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6.88</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2101102</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事业单位医疗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7.75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7.75</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212</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城乡社区支出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21203</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城乡社区公共设施</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2120399</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其他城乡社区公共设施支出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农林水支出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21307</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农村综合改革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2130701</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对村级一事一议的补助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公开04表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编制部门： 西安市阎良区武屯街道办事处（本级）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1,119.95</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985.79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33.00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63.50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bl>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编制部门：  西安市阎良区武屯街道办事处（本级）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1,119.95</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楷体_GB2312"/>
          <w:b/>
          <w:bCs/>
          <w:sz w:val="32"/>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p>
    <w:p>
      <w:pPr>
        <w:ind w:firstLine="321" w:firstLineChars="100"/>
        <w:jc w:val="both"/>
        <w:rPr>
          <w:rFonts w:hint="eastAsia" w:ascii="宋体" w:hAnsi="宋体" w:eastAsia="宋体" w:cs="宋体"/>
          <w:b/>
          <w:bCs/>
          <w:szCs w:val="32"/>
        </w:rPr>
      </w:pPr>
      <w:r>
        <w:rPr>
          <w:rFonts w:hint="eastAsia" w:ascii="宋体" w:hAnsi="宋体" w:eastAsia="宋体" w:cs="宋体"/>
          <w:b/>
          <w:bCs/>
          <w:szCs w:val="32"/>
        </w:rPr>
        <w:t>一般公共预算财政拨款支出决算表（按功能分类科目）</w:t>
      </w:r>
    </w:p>
    <w:p>
      <w:pPr>
        <w:jc w:val="right"/>
        <w:rPr>
          <w:rFonts w:ascii="宋体" w:hAnsi="宋体" w:eastAsia="宋体" w:cs="宋体"/>
          <w:b/>
          <w:bCs/>
          <w:sz w:val="21"/>
          <w:szCs w:val="21"/>
        </w:rPr>
      </w:pPr>
      <w:r>
        <w:rPr>
          <w:rFonts w:hint="eastAsia" w:ascii="宋体" w:hAnsi="宋体" w:eastAsia="宋体" w:cs="宋体"/>
          <w:b/>
          <w:bCs/>
          <w:sz w:val="21"/>
          <w:szCs w:val="21"/>
        </w:rPr>
        <w:t>公开05表</w:t>
      </w:r>
    </w:p>
    <w:p>
      <w:pPr>
        <w:keepNext w:val="0"/>
        <w:keepLines w:val="0"/>
        <w:pageBreakBefore w:val="0"/>
        <w:widowControl w:val="0"/>
        <w:kinsoku/>
        <w:wordWrap/>
        <w:overflowPunct/>
        <w:topLinePunct w:val="0"/>
        <w:autoSpaceDE/>
        <w:autoSpaceDN/>
        <w:bidi w:val="0"/>
        <w:adjustRightInd/>
        <w:snapToGrid/>
        <w:ind w:left="632" w:hanging="632" w:hangingChars="3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编制部门：  西安市阎良区武屯街道办事处（本级）                                                        </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金额单位：万元</w:t>
      </w:r>
    </w:p>
    <w:tbl>
      <w:tblPr>
        <w:tblStyle w:val="6"/>
        <w:tblW w:w="8678" w:type="dxa"/>
        <w:tblInd w:w="0" w:type="dxa"/>
        <w:tblLayout w:type="fixed"/>
        <w:tblCellMar>
          <w:top w:w="15" w:type="dxa"/>
          <w:left w:w="15" w:type="dxa"/>
          <w:bottom w:w="15" w:type="dxa"/>
          <w:right w:w="15" w:type="dxa"/>
        </w:tblCellMar>
      </w:tblPr>
      <w:tblGrid>
        <w:gridCol w:w="903"/>
        <w:gridCol w:w="2702"/>
        <w:gridCol w:w="983"/>
        <w:gridCol w:w="808"/>
        <w:gridCol w:w="863"/>
        <w:gridCol w:w="728"/>
        <w:gridCol w:w="956"/>
        <w:gridCol w:w="735"/>
      </w:tblGrid>
      <w:tr>
        <w:tblPrEx>
          <w:tblCellMar>
            <w:top w:w="15" w:type="dxa"/>
            <w:left w:w="15" w:type="dxa"/>
            <w:bottom w:w="15" w:type="dxa"/>
            <w:right w:w="15" w:type="dxa"/>
          </w:tblCellMar>
        </w:tblPrEx>
        <w:trPr>
          <w:trHeight w:val="389" w:hRule="atLeast"/>
        </w:trPr>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399"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35"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9" w:hRule="atLeast"/>
        </w:trPr>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1,152.95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928.10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845.98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82.12</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224.85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985.79</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857.44</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775.33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82.13</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128.35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35"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20103</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985.79</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857.44</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775.33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82.13</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128.35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2010301</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行政运行</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604.38</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604.38</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523.78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80.61</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2010302</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一般行政管理事务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12.35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12.35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2010350</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事业运行</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272.06</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253.06</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251.55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1.52</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35"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2010399</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97.00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97.00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56.03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35"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行政单位医疗</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6.88</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6.88</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6.88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事业单位医疗</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7.75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7.75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7.75</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212</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城乡社区支出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33.00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21203</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城乡社区公共设施</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33.00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35"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2120399</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其他城乡社区公共设施支出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33.00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33.00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63.50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63.50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21307</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农村综合改革</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63.50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00"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2130701</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对村级一事一议的补助</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63.50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63.50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编制部门：  西安市阎良区武屯街道办事处（本级）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bCs/>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928.10</w:t>
            </w:r>
          </w:p>
        </w:tc>
        <w:tc>
          <w:tcPr>
            <w:tcW w:w="143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bCs/>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845.98</w:t>
            </w:r>
          </w:p>
        </w:tc>
        <w:tc>
          <w:tcPr>
            <w:tcW w:w="136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val="0"/>
                <w:bCs/>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82.12</w:t>
            </w:r>
          </w:p>
        </w:tc>
        <w:tc>
          <w:tcPr>
            <w:tcW w:w="1155" w:type="dxa"/>
            <w:tcBorders>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541.49</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541.49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193.90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193.90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91.48</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91.48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7.26</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7.26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109.30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109.30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56.03</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56.03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14.63</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14.63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68.89</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68.89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82.12</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82.12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26.87</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26.87</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水费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1.08</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1.08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30206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电费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11.20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11.20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取暖费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1.14</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1.14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14.97</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14.97</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30231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5.34</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5.34</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21.52</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21.52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303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对个人和家庭的补助</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304.49</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304.49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i w:val="0"/>
                <w:color w:val="000000"/>
                <w:kern w:val="0"/>
                <w:sz w:val="22"/>
                <w:szCs w:val="22"/>
                <w:u w:val="none"/>
                <w:lang w:val="en-US" w:eastAsia="zh-CN" w:bidi="ar"/>
              </w:rPr>
              <w:t>30305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2"/>
                <w:szCs w:val="22"/>
                <w:u w:val="none"/>
                <w:lang w:val="en-US" w:eastAsia="zh-CN" w:bidi="ar"/>
              </w:rPr>
              <w:t xml:space="preserve">  生活补助</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304.49</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304.49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编制部门：   西安市阎良区武屯街道办事处（本级）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4.56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val="0"/>
                <w:bCs/>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val="0"/>
                <w:bCs/>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5.7</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1"/>
                <w:szCs w:val="21"/>
                <w:lang w:val="en-US" w:eastAsia="zh-CN"/>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val="0"/>
                <w:bCs/>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val="0"/>
                <w:bCs/>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5.34</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21"/>
                <w:szCs w:val="21"/>
                <w:lang w:val="en-US" w:eastAsia="zh-CN"/>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eastAsia="宋体" w:cs="宋体"/>
          <w:b/>
          <w:bCs/>
          <w:sz w:val="21"/>
          <w:szCs w:val="21"/>
        </w:rPr>
      </w:pPr>
      <w:r>
        <w:rPr>
          <w:rFonts w:hint="eastAsia" w:ascii="宋体" w:hAnsi="宋体" w:eastAsia="宋体" w:cs="宋体"/>
          <w:b/>
          <w:bCs/>
          <w:sz w:val="21"/>
          <w:szCs w:val="21"/>
        </w:rPr>
        <w:t>编制部门：  西安市阎良区武屯街道办事处（本级）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b w:val="0"/>
                <w:bCs/>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sz w:val="21"/>
                <w:szCs w:val="21"/>
                <w:lang w:val="en-US" w:eastAsia="zh-CN"/>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1"/>
                <w:szCs w:val="21"/>
                <w:lang w:val="en-US" w:eastAsia="zh-CN"/>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1"/>
                <w:szCs w:val="21"/>
                <w:lang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1"/>
                <w:szCs w:val="21"/>
                <w:lang w:val="en-US" w:eastAsia="zh-CN"/>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1"/>
                <w:szCs w:val="21"/>
                <w:lang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1"/>
                <w:szCs w:val="21"/>
                <w:lang w:val="en-US" w:eastAsia="zh-CN"/>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1"/>
                <w:szCs w:val="21"/>
                <w:lang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1"/>
                <w:szCs w:val="21"/>
                <w:lang w:val="en-US" w:eastAsia="zh-CN"/>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color w:val="000000"/>
                <w:sz w:val="21"/>
                <w:szCs w:val="21"/>
                <w:lang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val="en-US" w:eastAsia="zh-CN"/>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val="en-US" w:eastAsia="zh-CN"/>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1"/>
                <w:szCs w:val="21"/>
                <w:lang w:val="en-US" w:eastAsia="zh-CN"/>
              </w:rPr>
            </w:pPr>
          </w:p>
        </w:tc>
      </w:tr>
    </w:tbl>
    <w:p>
      <w:pPr>
        <w:widowControl/>
        <w:ind w:left="420" w:hanging="420" w:hangingChars="200"/>
        <w:jc w:val="left"/>
        <w:rPr>
          <w:rFonts w:hint="eastAsia" w:ascii="宋体" w:hAnsi="宋体" w:eastAsia="宋体" w:cs="宋体"/>
          <w:b/>
          <w:bCs/>
          <w:szCs w:val="32"/>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default" w:ascii="仿宋" w:hAnsi="仿宋" w:eastAsia="仿宋" w:cs="楷体_GB2312"/>
          <w:b/>
          <w:bCs/>
          <w:sz w:val="32"/>
          <w:szCs w:val="32"/>
          <w:lang w:val="en-US" w:eastAsia="zh-CN"/>
        </w:rPr>
      </w:pPr>
      <w:r>
        <w:rPr>
          <w:rFonts w:hint="eastAsia" w:ascii="仿宋" w:hAnsi="仿宋" w:eastAsia="仿宋" w:cs="楷体_GB2312"/>
          <w:b/>
          <w:bCs/>
          <w:sz w:val="32"/>
          <w:szCs w:val="32"/>
          <w:lang w:eastAsia="zh-CN"/>
        </w:rPr>
        <w:t>第三部分</w:t>
      </w:r>
      <w:r>
        <w:rPr>
          <w:rFonts w:hint="eastAsia" w:ascii="仿宋" w:hAnsi="仿宋" w:eastAsia="仿宋" w:cs="楷体_GB2312"/>
          <w:b/>
          <w:bCs/>
          <w:sz w:val="32"/>
          <w:szCs w:val="32"/>
          <w:lang w:val="en-US" w:eastAsia="zh-CN"/>
        </w:rPr>
        <w:t>2019年度部门决算情况说明</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楷体_GB2312"/>
          <w:b/>
          <w:bCs/>
          <w:sz w:val="32"/>
          <w:szCs w:val="32"/>
        </w:rPr>
      </w:pPr>
      <w:r>
        <w:rPr>
          <w:rFonts w:hint="eastAsia" w:ascii="仿宋" w:hAnsi="仿宋" w:eastAsia="仿宋" w:cs="楷体_GB2312"/>
          <w:b/>
          <w:bCs/>
          <w:sz w:val="32"/>
          <w:szCs w:val="32"/>
          <w:lang w:eastAsia="zh-CN"/>
        </w:rPr>
        <w:t>一、</w:t>
      </w:r>
      <w:r>
        <w:rPr>
          <w:rFonts w:hint="eastAsia" w:ascii="仿宋" w:hAnsi="仿宋" w:eastAsia="仿宋" w:cs="楷体_GB2312"/>
          <w:b/>
          <w:bCs/>
          <w:sz w:val="32"/>
          <w:szCs w:val="32"/>
        </w:rPr>
        <w:t>收入支出总体情况说明</w:t>
      </w:r>
    </w:p>
    <w:p>
      <w:pPr>
        <w:keepNext w:val="0"/>
        <w:keepLines w:val="0"/>
        <w:pageBreakBefore w:val="0"/>
        <w:kinsoku/>
        <w:wordWrap/>
        <w:overflowPunct/>
        <w:topLinePunct w:val="0"/>
        <w:autoSpaceDE/>
        <w:autoSpaceDN/>
        <w:bidi w:val="0"/>
        <w:adjustRightInd/>
        <w:snapToGrid/>
        <w:spacing w:line="560" w:lineRule="exact"/>
        <w:ind w:firstLine="1120" w:firstLineChars="350"/>
        <w:textAlignment w:val="auto"/>
        <w:rPr>
          <w:rFonts w:hint="eastAsia" w:ascii="仿宋" w:hAnsi="仿宋" w:eastAsia="仿宋"/>
          <w:sz w:val="30"/>
          <w:szCs w:val="30"/>
          <w:lang w:eastAsia="zh-CN"/>
        </w:rPr>
      </w:pPr>
      <w:r>
        <w:rPr>
          <w:rFonts w:hint="eastAsia" w:ascii="仿宋" w:hAnsi="仿宋" w:eastAsia="仿宋"/>
          <w:sz w:val="32"/>
          <w:szCs w:val="32"/>
          <w:lang w:eastAsia="zh-CN"/>
        </w:rPr>
        <w:t>20</w:t>
      </w:r>
      <w:r>
        <w:rPr>
          <w:rFonts w:hint="eastAsia" w:ascii="仿宋" w:hAnsi="仿宋" w:eastAsia="仿宋"/>
          <w:sz w:val="32"/>
          <w:szCs w:val="32"/>
          <w:lang w:val="en-US" w:eastAsia="zh-CN"/>
        </w:rPr>
        <w:t>19</w:t>
      </w:r>
      <w:r>
        <w:rPr>
          <w:rFonts w:hint="eastAsia" w:ascii="仿宋" w:hAnsi="仿宋" w:eastAsia="仿宋"/>
          <w:sz w:val="32"/>
          <w:szCs w:val="32"/>
        </w:rPr>
        <w:t>年度本年收入合计</w:t>
      </w:r>
      <w:r>
        <w:rPr>
          <w:rFonts w:hint="eastAsia" w:ascii="仿宋" w:hAnsi="仿宋" w:eastAsia="仿宋"/>
          <w:sz w:val="32"/>
          <w:szCs w:val="32"/>
          <w:lang w:val="en-US" w:eastAsia="zh-CN"/>
        </w:rPr>
        <w:t>1119.95</w:t>
      </w:r>
      <w:r>
        <w:rPr>
          <w:rFonts w:hint="eastAsia" w:ascii="仿宋" w:hAnsi="仿宋" w:eastAsia="仿宋"/>
          <w:sz w:val="32"/>
          <w:szCs w:val="32"/>
          <w:lang w:eastAsia="zh-CN"/>
        </w:rPr>
        <w:t>万</w:t>
      </w:r>
      <w:r>
        <w:rPr>
          <w:rFonts w:hint="eastAsia" w:ascii="仿宋" w:hAnsi="仿宋" w:eastAsia="仿宋"/>
          <w:sz w:val="32"/>
          <w:szCs w:val="32"/>
        </w:rPr>
        <w:t>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159.48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0"/>
          <w:szCs w:val="30"/>
        </w:rPr>
        <w:t>原因是</w:t>
      </w:r>
      <w:r>
        <w:rPr>
          <w:rFonts w:hint="eastAsia" w:ascii="仿宋" w:hAnsi="仿宋" w:eastAsia="仿宋"/>
          <w:sz w:val="30"/>
          <w:szCs w:val="30"/>
          <w:lang w:eastAsia="zh-CN"/>
        </w:rPr>
        <w:t>新增</w:t>
      </w:r>
      <w:r>
        <w:rPr>
          <w:rFonts w:hint="eastAsia" w:ascii="仿宋" w:hAnsi="仿宋" w:eastAsia="仿宋"/>
          <w:sz w:val="30"/>
          <w:szCs w:val="30"/>
        </w:rPr>
        <w:t>一事一议</w:t>
      </w:r>
      <w:r>
        <w:rPr>
          <w:rFonts w:hint="eastAsia" w:ascii="仿宋" w:hAnsi="仿宋" w:eastAsia="仿宋"/>
          <w:sz w:val="30"/>
          <w:szCs w:val="30"/>
          <w:lang w:eastAsia="zh-CN"/>
        </w:rPr>
        <w:t>项目等。</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w:t>
      </w:r>
      <w:r>
        <w:rPr>
          <w:rFonts w:hint="eastAsia" w:ascii="仿宋" w:hAnsi="仿宋" w:eastAsia="仿宋"/>
          <w:sz w:val="32"/>
          <w:szCs w:val="32"/>
          <w:lang w:val="en-US" w:eastAsia="zh-CN"/>
        </w:rPr>
        <w:t>9</w:t>
      </w:r>
      <w:r>
        <w:rPr>
          <w:rFonts w:hint="eastAsia" w:ascii="仿宋" w:hAnsi="仿宋" w:eastAsia="仿宋"/>
          <w:sz w:val="32"/>
          <w:szCs w:val="32"/>
        </w:rPr>
        <w:t>年度支出合计</w:t>
      </w:r>
      <w:r>
        <w:rPr>
          <w:rFonts w:hint="eastAsia" w:ascii="仿宋" w:hAnsi="仿宋" w:eastAsia="仿宋"/>
          <w:sz w:val="32"/>
          <w:szCs w:val="32"/>
          <w:lang w:val="en-US" w:eastAsia="zh-CN"/>
        </w:rPr>
        <w:t>1152.95</w:t>
      </w:r>
      <w:r>
        <w:rPr>
          <w:rFonts w:hint="eastAsia" w:ascii="仿宋" w:hAnsi="仿宋" w:eastAsia="仿宋"/>
          <w:sz w:val="32"/>
          <w:szCs w:val="32"/>
        </w:rPr>
        <w:t>万元，比上年</w:t>
      </w:r>
      <w:r>
        <w:rPr>
          <w:rFonts w:hint="eastAsia" w:ascii="仿宋" w:hAnsi="仿宋" w:eastAsia="仿宋"/>
          <w:sz w:val="32"/>
          <w:szCs w:val="32"/>
          <w:lang w:eastAsia="zh-CN"/>
        </w:rPr>
        <w:t>增加</w:t>
      </w:r>
      <w:r>
        <w:rPr>
          <w:rFonts w:hint="eastAsia" w:ascii="仿宋" w:hAnsi="仿宋" w:eastAsia="仿宋"/>
          <w:sz w:val="32"/>
          <w:szCs w:val="32"/>
          <w:lang w:val="en-US" w:eastAsia="zh-CN"/>
        </w:rPr>
        <w:t>34.77</w:t>
      </w:r>
      <w:r>
        <w:rPr>
          <w:rFonts w:hint="eastAsia" w:ascii="仿宋" w:hAnsi="仿宋" w:eastAsia="仿宋"/>
          <w:sz w:val="32"/>
          <w:szCs w:val="32"/>
        </w:rPr>
        <w:t>万元，主要原因是</w:t>
      </w:r>
      <w:r>
        <w:rPr>
          <w:rFonts w:hint="eastAsia" w:ascii="仿宋" w:hAnsi="仿宋" w:eastAsia="仿宋"/>
          <w:sz w:val="32"/>
          <w:szCs w:val="32"/>
          <w:lang w:eastAsia="zh-CN"/>
        </w:rPr>
        <w:t>一事一议项目增加。</w:t>
      </w: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 w:hAnsi="仿宋" w:eastAsia="仿宋" w:cs="仿宋"/>
          <w:b/>
          <w:i w:val="0"/>
          <w:caps w:val="0"/>
          <w:color w:val="333333"/>
          <w:spacing w:val="0"/>
          <w:sz w:val="32"/>
          <w:szCs w:val="32"/>
          <w:shd w:val="clear" w:color="auto" w:fill="FFFFFF"/>
          <w:lang w:val="en-US" w:eastAsia="zh-CN"/>
        </w:rPr>
        <w:t>2018、2019年度财政拨款收入支出总体情况表（万元）</w:t>
      </w:r>
    </w:p>
    <w:tbl>
      <w:tblPr>
        <w:tblStyle w:val="14"/>
        <w:tblW w:w="9119" w:type="dxa"/>
        <w:tblInd w:w="0" w:type="dxa"/>
        <w:tblLayout w:type="fixed"/>
        <w:tblCellMar>
          <w:top w:w="0" w:type="dxa"/>
          <w:left w:w="108" w:type="dxa"/>
          <w:bottom w:w="0" w:type="dxa"/>
          <w:right w:w="108" w:type="dxa"/>
        </w:tblCellMar>
      </w:tblPr>
      <w:tblGrid>
        <w:gridCol w:w="3001"/>
        <w:gridCol w:w="3323"/>
        <w:gridCol w:w="2795"/>
      </w:tblGrid>
      <w:tr>
        <w:tblPrEx>
          <w:tblCellMar>
            <w:top w:w="0" w:type="dxa"/>
            <w:left w:w="108" w:type="dxa"/>
            <w:bottom w:w="0" w:type="dxa"/>
            <w:right w:w="108" w:type="dxa"/>
          </w:tblCellMar>
        </w:tblPrEx>
        <w:trPr>
          <w:trHeight w:val="233" w:hRule="atLeast"/>
        </w:trPr>
        <w:tc>
          <w:tcPr>
            <w:tcW w:w="3001" w:type="dxa"/>
            <w:tcBorders>
              <w:top w:val="single" w:color="auto" w:sz="12" w:space="0"/>
              <w:left w:val="nil"/>
              <w:bottom w:val="single" w:color="auto" w:sz="6" w:space="0"/>
              <w:right w:val="single" w:color="7F7F7F" w:sz="4" w:space="0"/>
            </w:tcBorders>
            <w:noWrap w:val="0"/>
            <w:vAlign w:val="center"/>
          </w:tcPr>
          <w:p>
            <w:pPr>
              <w:jc w:val="center"/>
              <w:rPr>
                <w:rFonts w:hint="eastAsia" w:eastAsia="等线"/>
                <w:b/>
                <w:bCs/>
                <w:caps/>
                <w:kern w:val="0"/>
                <w:sz w:val="20"/>
                <w:szCs w:val="20"/>
                <w:lang w:eastAsia="zh-CN"/>
              </w:rPr>
            </w:pPr>
            <w:r>
              <w:rPr>
                <w:rFonts w:hint="eastAsia"/>
                <w:b/>
                <w:bCs/>
                <w:caps/>
                <w:kern w:val="0"/>
                <w:sz w:val="20"/>
                <w:szCs w:val="20"/>
                <w:lang w:eastAsia="zh-CN"/>
              </w:rPr>
              <w:t>年</w:t>
            </w:r>
            <w:r>
              <w:rPr>
                <w:rFonts w:hint="eastAsia"/>
                <w:b/>
                <w:bCs/>
                <w:caps/>
                <w:kern w:val="0"/>
                <w:sz w:val="20"/>
                <w:szCs w:val="20"/>
                <w:lang w:val="en-US" w:eastAsia="zh-CN"/>
              </w:rPr>
              <w:t xml:space="preserve">  </w:t>
            </w:r>
            <w:r>
              <w:rPr>
                <w:rFonts w:hint="eastAsia"/>
                <w:b/>
                <w:bCs/>
                <w:caps/>
                <w:kern w:val="0"/>
                <w:sz w:val="20"/>
                <w:szCs w:val="20"/>
                <w:lang w:eastAsia="zh-CN"/>
              </w:rPr>
              <w:t>份</w:t>
            </w:r>
          </w:p>
        </w:tc>
        <w:tc>
          <w:tcPr>
            <w:tcW w:w="3323"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收</w:t>
            </w:r>
            <w:r>
              <w:rPr>
                <w:rFonts w:hint="eastAsia"/>
                <w:b/>
                <w:caps/>
                <w:kern w:val="0"/>
                <w:sz w:val="20"/>
                <w:szCs w:val="20"/>
                <w:lang w:val="en-US" w:eastAsia="zh-CN"/>
              </w:rPr>
              <w:t xml:space="preserve">  </w:t>
            </w:r>
            <w:r>
              <w:rPr>
                <w:rFonts w:hint="eastAsia"/>
                <w:b/>
                <w:caps/>
                <w:kern w:val="0"/>
                <w:sz w:val="20"/>
                <w:szCs w:val="20"/>
                <w:lang w:eastAsia="zh-CN"/>
              </w:rPr>
              <w:t>入</w:t>
            </w:r>
          </w:p>
        </w:tc>
        <w:tc>
          <w:tcPr>
            <w:tcW w:w="2795"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支</w:t>
            </w:r>
            <w:r>
              <w:rPr>
                <w:rFonts w:hint="eastAsia"/>
                <w:b/>
                <w:caps/>
                <w:kern w:val="0"/>
                <w:sz w:val="20"/>
                <w:szCs w:val="20"/>
                <w:lang w:val="en-US" w:eastAsia="zh-CN"/>
              </w:rPr>
              <w:t xml:space="preserve">  </w:t>
            </w:r>
            <w:r>
              <w:rPr>
                <w:rFonts w:hint="eastAsia"/>
                <w:b/>
                <w:caps/>
                <w:kern w:val="0"/>
                <w:sz w:val="20"/>
                <w:szCs w:val="20"/>
                <w:lang w:eastAsia="zh-CN"/>
              </w:rPr>
              <w:t>出</w:t>
            </w:r>
          </w:p>
        </w:tc>
      </w:tr>
      <w:tr>
        <w:tblPrEx>
          <w:tblCellMar>
            <w:top w:w="0" w:type="dxa"/>
            <w:left w:w="108" w:type="dxa"/>
            <w:bottom w:w="0" w:type="dxa"/>
            <w:right w:w="108" w:type="dxa"/>
          </w:tblCellMar>
        </w:tblPrEx>
        <w:trPr>
          <w:trHeight w:val="435" w:hRule="atLeast"/>
        </w:trPr>
        <w:tc>
          <w:tcPr>
            <w:tcW w:w="3001" w:type="dxa"/>
            <w:tcBorders>
              <w:top w:val="single" w:color="auto" w:sz="6" w:space="0"/>
              <w:left w:val="nil"/>
              <w:bottom w:val="nil"/>
              <w:right w:val="single" w:color="7F7F7F" w:sz="4" w:space="0"/>
            </w:tcBorders>
            <w:noWrap w:val="0"/>
            <w:vAlign w:val="center"/>
          </w:tcPr>
          <w:p>
            <w:pPr>
              <w:jc w:val="center"/>
              <w:rPr>
                <w:rFonts w:hint="default" w:eastAsia="等线"/>
                <w:b w:val="0"/>
                <w:bCs/>
                <w:caps w:val="0"/>
                <w:kern w:val="0"/>
                <w:sz w:val="20"/>
                <w:szCs w:val="20"/>
                <w:lang w:val="en-US" w:eastAsia="zh-CN"/>
              </w:rPr>
            </w:pPr>
            <w:r>
              <w:rPr>
                <w:rFonts w:hint="eastAsia" w:ascii="等线" w:hAnsi="等线" w:eastAsia="等线" w:cs="Times New Roman"/>
                <w:b/>
                <w:bCs/>
                <w:caps/>
                <w:kern w:val="0"/>
                <w:sz w:val="20"/>
                <w:szCs w:val="20"/>
                <w:lang w:val="en-US" w:eastAsia="zh-CN" w:bidi="ar"/>
              </w:rPr>
              <w:t>2018</w:t>
            </w:r>
          </w:p>
        </w:tc>
        <w:tc>
          <w:tcPr>
            <w:tcW w:w="3323" w:type="dxa"/>
            <w:tcBorders>
              <w:top w:val="single" w:color="auto" w:sz="6" w:space="0"/>
              <w:left w:val="nil"/>
              <w:bottom w:val="nil"/>
              <w:right w:val="nil"/>
            </w:tcBorders>
            <w:noWrap w:val="0"/>
            <w:vAlign w:val="center"/>
          </w:tcPr>
          <w:p>
            <w:pPr>
              <w:jc w:val="center"/>
              <w:rPr>
                <w:rFonts w:hint="default" w:eastAsia="等线"/>
                <w:kern w:val="0"/>
                <w:sz w:val="20"/>
                <w:szCs w:val="20"/>
                <w:lang w:val="en-US" w:eastAsia="zh-CN"/>
              </w:rPr>
            </w:pPr>
            <w:r>
              <w:rPr>
                <w:rFonts w:hint="eastAsia"/>
                <w:kern w:val="0"/>
                <w:sz w:val="20"/>
                <w:szCs w:val="20"/>
                <w:lang w:val="en-US" w:eastAsia="zh-CN"/>
              </w:rPr>
              <w:t>960.47</w:t>
            </w:r>
          </w:p>
        </w:tc>
        <w:tc>
          <w:tcPr>
            <w:tcW w:w="2795" w:type="dxa"/>
            <w:tcBorders>
              <w:top w:val="single" w:color="auto" w:sz="6" w:space="0"/>
              <w:left w:val="nil"/>
              <w:bottom w:val="nil"/>
              <w:right w:val="nil"/>
            </w:tcBorders>
            <w:noWrap w:val="0"/>
            <w:vAlign w:val="center"/>
          </w:tcPr>
          <w:p>
            <w:pPr>
              <w:jc w:val="center"/>
              <w:rPr>
                <w:rFonts w:hint="default" w:eastAsia="等线"/>
                <w:kern w:val="0"/>
                <w:sz w:val="20"/>
                <w:szCs w:val="20"/>
                <w:lang w:val="en-US" w:eastAsia="zh-CN"/>
              </w:rPr>
            </w:pPr>
            <w:r>
              <w:rPr>
                <w:rFonts w:hint="eastAsia"/>
                <w:kern w:val="0"/>
                <w:sz w:val="20"/>
                <w:szCs w:val="20"/>
                <w:lang w:val="en-US" w:eastAsia="zh-CN"/>
              </w:rPr>
              <w:t>1118.18</w:t>
            </w:r>
          </w:p>
        </w:tc>
      </w:tr>
      <w:tr>
        <w:tblPrEx>
          <w:tblCellMar>
            <w:top w:w="0" w:type="dxa"/>
            <w:left w:w="108" w:type="dxa"/>
            <w:bottom w:w="0" w:type="dxa"/>
            <w:right w:w="108" w:type="dxa"/>
          </w:tblCellMar>
        </w:tblPrEx>
        <w:trPr>
          <w:trHeight w:val="425" w:hRule="atLeast"/>
        </w:trPr>
        <w:tc>
          <w:tcPr>
            <w:tcW w:w="3001" w:type="dxa"/>
            <w:tcBorders>
              <w:top w:val="nil"/>
              <w:left w:val="nil"/>
              <w:bottom w:val="nil"/>
              <w:right w:val="single" w:color="7F7F7F" w:sz="4" w:space="0"/>
            </w:tcBorders>
            <w:noWrap w:val="0"/>
            <w:vAlign w:val="center"/>
          </w:tcPr>
          <w:p>
            <w:pPr>
              <w:jc w:val="center"/>
              <w:rPr>
                <w:rFonts w:hint="default"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2019</w:t>
            </w:r>
          </w:p>
        </w:tc>
        <w:tc>
          <w:tcPr>
            <w:tcW w:w="3323" w:type="dxa"/>
            <w:tcBorders>
              <w:top w:val="nil"/>
              <w:left w:val="nil"/>
              <w:bottom w:val="nil"/>
              <w:right w:val="nil"/>
            </w:tcBorders>
            <w:noWrap w:val="0"/>
            <w:vAlign w:val="center"/>
          </w:tcPr>
          <w:p>
            <w:pPr>
              <w:jc w:val="center"/>
              <w:rPr>
                <w:rFonts w:hint="default"/>
                <w:kern w:val="0"/>
                <w:sz w:val="20"/>
                <w:szCs w:val="20"/>
                <w:lang w:val="en-US" w:eastAsia="zh-CN"/>
              </w:rPr>
            </w:pPr>
            <w:r>
              <w:rPr>
                <w:rFonts w:hint="eastAsia"/>
                <w:kern w:val="0"/>
                <w:sz w:val="20"/>
                <w:szCs w:val="20"/>
                <w:lang w:val="en-US" w:eastAsia="zh-CN"/>
              </w:rPr>
              <w:t>1119.95</w:t>
            </w:r>
          </w:p>
        </w:tc>
        <w:tc>
          <w:tcPr>
            <w:tcW w:w="2795" w:type="dxa"/>
            <w:tcBorders>
              <w:top w:val="nil"/>
              <w:left w:val="nil"/>
              <w:bottom w:val="nil"/>
              <w:right w:val="nil"/>
            </w:tcBorders>
            <w:noWrap w:val="0"/>
            <w:vAlign w:val="center"/>
          </w:tcPr>
          <w:p>
            <w:pPr>
              <w:jc w:val="center"/>
              <w:rPr>
                <w:rFonts w:hint="default"/>
                <w:kern w:val="0"/>
                <w:sz w:val="20"/>
                <w:szCs w:val="20"/>
                <w:lang w:val="en-US" w:eastAsia="zh-CN"/>
              </w:rPr>
            </w:pPr>
            <w:r>
              <w:rPr>
                <w:rFonts w:hint="eastAsia"/>
                <w:kern w:val="0"/>
                <w:sz w:val="20"/>
                <w:szCs w:val="20"/>
                <w:lang w:val="en-US" w:eastAsia="zh-CN"/>
              </w:rPr>
              <w:t>1152.95</w:t>
            </w:r>
          </w:p>
        </w:tc>
      </w:tr>
      <w:tr>
        <w:tblPrEx>
          <w:tblCellMar>
            <w:top w:w="0" w:type="dxa"/>
            <w:left w:w="108" w:type="dxa"/>
            <w:bottom w:w="0" w:type="dxa"/>
            <w:right w:w="108" w:type="dxa"/>
          </w:tblCellMar>
        </w:tblPrEx>
        <w:trPr>
          <w:trHeight w:val="90" w:hRule="atLeast"/>
        </w:trPr>
        <w:tc>
          <w:tcPr>
            <w:tcW w:w="3001" w:type="dxa"/>
            <w:tcBorders>
              <w:top w:val="nil"/>
              <w:left w:val="nil"/>
              <w:bottom w:val="single" w:color="auto" w:sz="12" w:space="0"/>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增幅</w:t>
            </w:r>
          </w:p>
        </w:tc>
        <w:tc>
          <w:tcPr>
            <w:tcW w:w="3323" w:type="dxa"/>
            <w:tcBorders>
              <w:top w:val="nil"/>
              <w:left w:val="nil"/>
              <w:bottom w:val="single" w:color="auto" w:sz="12" w:space="0"/>
              <w:right w:val="nil"/>
            </w:tcBorders>
            <w:noWrap w:val="0"/>
            <w:vAlign w:val="center"/>
          </w:tcPr>
          <w:p>
            <w:pPr>
              <w:jc w:val="center"/>
              <w:rPr>
                <w:rFonts w:hint="default"/>
                <w:kern w:val="0"/>
                <w:sz w:val="20"/>
                <w:szCs w:val="20"/>
                <w:lang w:val="en-US" w:eastAsia="zh-CN"/>
              </w:rPr>
            </w:pPr>
            <w:r>
              <w:rPr>
                <w:rFonts w:hint="eastAsia"/>
                <w:kern w:val="0"/>
                <w:sz w:val="20"/>
                <w:szCs w:val="20"/>
                <w:lang w:val="en-US" w:eastAsia="zh-CN"/>
              </w:rPr>
              <w:t>150.48</w:t>
            </w:r>
          </w:p>
        </w:tc>
        <w:tc>
          <w:tcPr>
            <w:tcW w:w="2795" w:type="dxa"/>
            <w:tcBorders>
              <w:top w:val="nil"/>
              <w:left w:val="nil"/>
              <w:bottom w:val="single" w:color="auto" w:sz="12" w:space="0"/>
              <w:right w:val="nil"/>
            </w:tcBorders>
            <w:noWrap w:val="0"/>
            <w:vAlign w:val="center"/>
          </w:tcPr>
          <w:p>
            <w:pPr>
              <w:jc w:val="center"/>
              <w:rPr>
                <w:rFonts w:hint="default"/>
                <w:kern w:val="0"/>
                <w:sz w:val="20"/>
                <w:szCs w:val="20"/>
                <w:lang w:val="en-US" w:eastAsia="zh-CN"/>
              </w:rPr>
            </w:pPr>
            <w:r>
              <w:rPr>
                <w:rFonts w:hint="eastAsia"/>
                <w:kern w:val="0"/>
                <w:sz w:val="20"/>
                <w:szCs w:val="20"/>
                <w:lang w:val="en-US" w:eastAsia="zh-CN"/>
              </w:rPr>
              <w:t>34.77</w:t>
            </w:r>
          </w:p>
        </w:tc>
      </w:tr>
    </w:tbl>
    <w:p>
      <w:pPr>
        <w:pStyle w:val="5"/>
        <w:spacing w:before="0" w:beforeAutospacing="0" w:after="0" w:afterAutospacing="0" w:line="540" w:lineRule="exact"/>
        <w:rPr>
          <w:rFonts w:hint="eastAsia" w:ascii="仿宋" w:hAnsi="仿宋" w:eastAsia="仿宋"/>
          <w:sz w:val="32"/>
          <w:szCs w:val="32"/>
        </w:rPr>
      </w:pPr>
    </w:p>
    <w:p>
      <w:pPr>
        <w:spacing w:line="540" w:lineRule="exact"/>
        <w:jc w:val="both"/>
        <w:rPr>
          <w:rFonts w:hint="eastAsia" w:ascii="仿宋" w:hAnsi="仿宋" w:eastAsia="仿宋" w:cs="仿宋"/>
          <w:b/>
          <w:i w:val="0"/>
          <w:caps w:val="0"/>
          <w:color w:val="333333"/>
          <w:spacing w:val="0"/>
          <w:sz w:val="32"/>
          <w:szCs w:val="32"/>
          <w:shd w:val="clear" w:color="auto" w:fill="FFFFFF"/>
          <w:lang w:val="en-US" w:eastAsia="zh-CN"/>
        </w:rPr>
      </w:pPr>
    </w:p>
    <w:p>
      <w:pPr>
        <w:spacing w:line="540" w:lineRule="exact"/>
        <w:jc w:val="both"/>
        <w:rPr>
          <w:rFonts w:hint="eastAsia" w:ascii="仿宋" w:hAnsi="仿宋" w:eastAsia="仿宋" w:cs="仿宋"/>
          <w:b/>
          <w:i w:val="0"/>
          <w:caps w:val="0"/>
          <w:color w:val="333333"/>
          <w:spacing w:val="0"/>
          <w:sz w:val="32"/>
          <w:szCs w:val="32"/>
          <w:shd w:val="clear" w:color="auto" w:fill="FFFFFF"/>
          <w:lang w:val="en-US" w:eastAsia="zh-CN"/>
        </w:rPr>
      </w:pPr>
    </w:p>
    <w:p>
      <w:pPr>
        <w:spacing w:line="540" w:lineRule="exact"/>
        <w:jc w:val="both"/>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 w:hAnsi="仿宋" w:eastAsia="仿宋" w:cs="仿宋"/>
          <w:b/>
          <w:i w:val="0"/>
          <w:caps w:val="0"/>
          <w:color w:val="333333"/>
          <w:spacing w:val="0"/>
          <w:sz w:val="32"/>
          <w:szCs w:val="32"/>
          <w:shd w:val="clear" w:color="auto" w:fill="FFFFFF"/>
          <w:lang w:val="en-US" w:eastAsia="zh-CN"/>
        </w:rPr>
        <w:t>2019年度收入支出年初预算数与决算数总体对比表（万元）</w:t>
      </w:r>
    </w:p>
    <w:tbl>
      <w:tblPr>
        <w:tblStyle w:val="14"/>
        <w:tblW w:w="9150" w:type="dxa"/>
        <w:tblInd w:w="0" w:type="dxa"/>
        <w:tblLayout w:type="fixed"/>
        <w:tblCellMar>
          <w:top w:w="0" w:type="dxa"/>
          <w:left w:w="108" w:type="dxa"/>
          <w:bottom w:w="0" w:type="dxa"/>
          <w:right w:w="108" w:type="dxa"/>
        </w:tblCellMar>
      </w:tblPr>
      <w:tblGrid>
        <w:gridCol w:w="2495"/>
        <w:gridCol w:w="2365"/>
        <w:gridCol w:w="2115"/>
        <w:gridCol w:w="2175"/>
      </w:tblGrid>
      <w:tr>
        <w:tblPrEx>
          <w:tblCellMar>
            <w:top w:w="0" w:type="dxa"/>
            <w:left w:w="108" w:type="dxa"/>
            <w:bottom w:w="0" w:type="dxa"/>
            <w:right w:w="108" w:type="dxa"/>
          </w:tblCellMar>
        </w:tblPrEx>
        <w:trPr>
          <w:trHeight w:val="370" w:hRule="atLeast"/>
        </w:trPr>
        <w:tc>
          <w:tcPr>
            <w:tcW w:w="2495" w:type="dxa"/>
            <w:tcBorders>
              <w:top w:val="single" w:color="auto" w:sz="12" w:space="0"/>
              <w:left w:val="nil"/>
              <w:bottom w:val="single" w:color="auto" w:sz="6" w:space="0"/>
              <w:right w:val="single" w:color="7F7F7F" w:sz="4" w:space="0"/>
            </w:tcBorders>
            <w:noWrap w:val="0"/>
            <w:vAlign w:val="center"/>
          </w:tcPr>
          <w:p>
            <w:pPr>
              <w:jc w:val="center"/>
              <w:rPr>
                <w:rFonts w:hint="eastAsia" w:eastAsia="等线"/>
                <w:b/>
                <w:bCs/>
                <w:caps/>
                <w:kern w:val="0"/>
                <w:sz w:val="20"/>
                <w:szCs w:val="20"/>
                <w:lang w:eastAsia="zh-CN"/>
              </w:rPr>
            </w:pPr>
            <w:r>
              <w:rPr>
                <w:rFonts w:hint="eastAsia" w:eastAsia="等线"/>
                <w:b/>
                <w:bCs/>
                <w:caps/>
                <w:kern w:val="0"/>
                <w:sz w:val="20"/>
                <w:szCs w:val="20"/>
                <w:lang w:eastAsia="zh-CN"/>
              </w:rPr>
              <w:t>预决算</w:t>
            </w:r>
          </w:p>
        </w:tc>
        <w:tc>
          <w:tcPr>
            <w:tcW w:w="2365"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收</w:t>
            </w:r>
            <w:r>
              <w:rPr>
                <w:rFonts w:hint="eastAsia"/>
                <w:b/>
                <w:caps/>
                <w:kern w:val="0"/>
                <w:sz w:val="20"/>
                <w:szCs w:val="20"/>
                <w:lang w:val="en-US" w:eastAsia="zh-CN"/>
              </w:rPr>
              <w:t xml:space="preserve">  </w:t>
            </w:r>
            <w:r>
              <w:rPr>
                <w:rFonts w:hint="eastAsia"/>
                <w:b/>
                <w:caps/>
                <w:kern w:val="0"/>
                <w:sz w:val="20"/>
                <w:szCs w:val="20"/>
                <w:lang w:eastAsia="zh-CN"/>
              </w:rPr>
              <w:t>入</w:t>
            </w:r>
          </w:p>
        </w:tc>
        <w:tc>
          <w:tcPr>
            <w:tcW w:w="2115"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支</w:t>
            </w:r>
            <w:r>
              <w:rPr>
                <w:rFonts w:hint="eastAsia"/>
                <w:b/>
                <w:caps/>
                <w:kern w:val="0"/>
                <w:sz w:val="20"/>
                <w:szCs w:val="20"/>
                <w:lang w:val="en-US" w:eastAsia="zh-CN"/>
              </w:rPr>
              <w:t xml:space="preserve">  </w:t>
            </w:r>
            <w:r>
              <w:rPr>
                <w:rFonts w:hint="eastAsia"/>
                <w:b/>
                <w:caps/>
                <w:kern w:val="0"/>
                <w:sz w:val="20"/>
                <w:szCs w:val="20"/>
                <w:lang w:eastAsia="zh-CN"/>
              </w:rPr>
              <w:t>出</w:t>
            </w:r>
          </w:p>
        </w:tc>
        <w:tc>
          <w:tcPr>
            <w:tcW w:w="2175" w:type="dxa"/>
            <w:tcBorders>
              <w:top w:val="single" w:color="auto" w:sz="12" w:space="0"/>
              <w:left w:val="nil"/>
              <w:bottom w:val="single" w:color="auto" w:sz="6" w:space="0"/>
              <w:right w:val="nil"/>
            </w:tcBorders>
            <w:noWrap w:val="0"/>
            <w:vAlign w:val="center"/>
          </w:tcPr>
          <w:p>
            <w:pPr>
              <w:jc w:val="center"/>
              <w:rPr>
                <w:rFonts w:hint="eastAsia"/>
                <w:b/>
                <w:caps/>
                <w:kern w:val="0"/>
                <w:sz w:val="20"/>
                <w:szCs w:val="20"/>
                <w:lang w:eastAsia="zh-CN"/>
              </w:rPr>
            </w:pPr>
            <w:r>
              <w:rPr>
                <w:rFonts w:hint="eastAsia"/>
                <w:b/>
                <w:caps/>
                <w:kern w:val="0"/>
                <w:sz w:val="20"/>
                <w:szCs w:val="20"/>
                <w:lang w:eastAsia="zh-CN"/>
              </w:rPr>
              <w:t>上年（本年）结转结余</w:t>
            </w:r>
          </w:p>
        </w:tc>
      </w:tr>
      <w:tr>
        <w:tblPrEx>
          <w:tblCellMar>
            <w:top w:w="0" w:type="dxa"/>
            <w:left w:w="108" w:type="dxa"/>
            <w:bottom w:w="0" w:type="dxa"/>
            <w:right w:w="108" w:type="dxa"/>
          </w:tblCellMar>
        </w:tblPrEx>
        <w:trPr>
          <w:trHeight w:val="370" w:hRule="atLeast"/>
        </w:trPr>
        <w:tc>
          <w:tcPr>
            <w:tcW w:w="2495" w:type="dxa"/>
            <w:tcBorders>
              <w:top w:val="nil"/>
              <w:left w:val="nil"/>
              <w:bottom w:val="nil"/>
              <w:right w:val="single" w:color="7F7F7F" w:sz="4" w:space="0"/>
            </w:tcBorders>
            <w:noWrap w:val="0"/>
            <w:vAlign w:val="center"/>
          </w:tcPr>
          <w:p>
            <w:pPr>
              <w:jc w:val="center"/>
              <w:rPr>
                <w:rFonts w:hint="default"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年初预算数</w:t>
            </w:r>
          </w:p>
        </w:tc>
        <w:tc>
          <w:tcPr>
            <w:tcW w:w="236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842.17</w:t>
            </w:r>
          </w:p>
        </w:tc>
        <w:tc>
          <w:tcPr>
            <w:tcW w:w="211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875.17</w:t>
            </w:r>
          </w:p>
        </w:tc>
        <w:tc>
          <w:tcPr>
            <w:tcW w:w="217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33</w:t>
            </w:r>
          </w:p>
        </w:tc>
      </w:tr>
      <w:tr>
        <w:tblPrEx>
          <w:tblCellMar>
            <w:top w:w="0" w:type="dxa"/>
            <w:left w:w="108" w:type="dxa"/>
            <w:bottom w:w="0" w:type="dxa"/>
            <w:right w:w="108" w:type="dxa"/>
          </w:tblCellMar>
        </w:tblPrEx>
        <w:trPr>
          <w:trHeight w:val="370" w:hRule="atLeast"/>
        </w:trPr>
        <w:tc>
          <w:tcPr>
            <w:tcW w:w="2495" w:type="dxa"/>
            <w:tcBorders>
              <w:top w:val="nil"/>
              <w:left w:val="nil"/>
              <w:bottom w:val="nil"/>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调整预算数</w:t>
            </w:r>
          </w:p>
        </w:tc>
        <w:tc>
          <w:tcPr>
            <w:tcW w:w="236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1119.95</w:t>
            </w:r>
          </w:p>
        </w:tc>
        <w:tc>
          <w:tcPr>
            <w:tcW w:w="211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1152.95</w:t>
            </w:r>
          </w:p>
        </w:tc>
        <w:tc>
          <w:tcPr>
            <w:tcW w:w="217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33</w:t>
            </w:r>
          </w:p>
        </w:tc>
      </w:tr>
      <w:tr>
        <w:tblPrEx>
          <w:tblCellMar>
            <w:top w:w="0" w:type="dxa"/>
            <w:left w:w="108" w:type="dxa"/>
            <w:bottom w:w="0" w:type="dxa"/>
            <w:right w:w="108" w:type="dxa"/>
          </w:tblCellMar>
        </w:tblPrEx>
        <w:trPr>
          <w:trHeight w:val="370" w:hRule="atLeast"/>
        </w:trPr>
        <w:tc>
          <w:tcPr>
            <w:tcW w:w="2495" w:type="dxa"/>
            <w:tcBorders>
              <w:top w:val="nil"/>
              <w:left w:val="nil"/>
              <w:bottom w:val="nil"/>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决算数</w:t>
            </w:r>
          </w:p>
        </w:tc>
        <w:tc>
          <w:tcPr>
            <w:tcW w:w="236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1119.95</w:t>
            </w:r>
          </w:p>
        </w:tc>
        <w:tc>
          <w:tcPr>
            <w:tcW w:w="211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1152.95</w:t>
            </w:r>
          </w:p>
        </w:tc>
        <w:tc>
          <w:tcPr>
            <w:tcW w:w="2175"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0</w:t>
            </w:r>
          </w:p>
        </w:tc>
      </w:tr>
      <w:tr>
        <w:tblPrEx>
          <w:tblCellMar>
            <w:top w:w="0" w:type="dxa"/>
            <w:left w:w="108" w:type="dxa"/>
            <w:bottom w:w="0" w:type="dxa"/>
            <w:right w:w="108" w:type="dxa"/>
          </w:tblCellMar>
        </w:tblPrEx>
        <w:trPr>
          <w:trHeight w:val="370" w:hRule="atLeast"/>
        </w:trPr>
        <w:tc>
          <w:tcPr>
            <w:tcW w:w="2495" w:type="dxa"/>
            <w:tcBorders>
              <w:top w:val="nil"/>
              <w:left w:val="nil"/>
              <w:bottom w:val="single" w:color="auto" w:sz="12" w:space="0"/>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完成比率</w:t>
            </w:r>
          </w:p>
        </w:tc>
        <w:tc>
          <w:tcPr>
            <w:tcW w:w="2365"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100%</w:t>
            </w:r>
          </w:p>
        </w:tc>
        <w:tc>
          <w:tcPr>
            <w:tcW w:w="2115"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100%</w:t>
            </w:r>
          </w:p>
        </w:tc>
        <w:tc>
          <w:tcPr>
            <w:tcW w:w="2175" w:type="dxa"/>
            <w:tcBorders>
              <w:top w:val="nil"/>
              <w:left w:val="nil"/>
              <w:bottom w:val="single" w:color="auto" w:sz="12" w:space="0"/>
              <w:right w:val="nil"/>
            </w:tcBorders>
            <w:noWrap w:val="0"/>
            <w:vAlign w:val="center"/>
          </w:tcPr>
          <w:p>
            <w:pPr>
              <w:jc w:val="center"/>
              <w:rPr>
                <w:rFonts w:hint="eastAsia" w:ascii="等线" w:hAnsi="等线" w:eastAsia="等线" w:cs="Times New Roman"/>
                <w:kern w:val="0"/>
                <w:sz w:val="20"/>
                <w:szCs w:val="20"/>
                <w:lang w:val="en-US" w:eastAsia="zh-CN" w:bidi="ar"/>
              </w:rPr>
            </w:pPr>
          </w:p>
        </w:tc>
      </w:tr>
    </w:tbl>
    <w:p>
      <w:pPr>
        <w:spacing w:line="220" w:lineRule="atLeast"/>
        <w:ind w:firstLine="480" w:firstLineChars="150"/>
        <w:rPr>
          <w:rFonts w:hint="default" w:ascii="仿宋" w:hAnsi="仿宋" w:eastAsia="仿宋"/>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华文仿宋"/>
          <w:b/>
          <w:bCs/>
          <w:sz w:val="32"/>
          <w:szCs w:val="32"/>
          <w:lang w:eastAsia="zh-CN"/>
        </w:rPr>
      </w:pPr>
      <w:r>
        <w:rPr>
          <w:rFonts w:hint="eastAsia" w:ascii="仿宋" w:hAnsi="仿宋" w:eastAsia="仿宋" w:cs="华文仿宋"/>
          <w:b/>
          <w:bCs/>
          <w:sz w:val="32"/>
          <w:szCs w:val="32"/>
          <w:lang w:eastAsia="zh-CN"/>
        </w:rPr>
        <w:t>二、</w:t>
      </w:r>
      <w:r>
        <w:rPr>
          <w:rFonts w:hint="eastAsia" w:ascii="仿宋" w:hAnsi="仿宋" w:eastAsia="仿宋" w:cs="华文仿宋"/>
          <w:b/>
          <w:bCs/>
          <w:sz w:val="32"/>
          <w:szCs w:val="32"/>
        </w:rPr>
        <w:t>收入</w:t>
      </w:r>
      <w:r>
        <w:rPr>
          <w:rFonts w:hint="eastAsia" w:ascii="仿宋" w:hAnsi="仿宋" w:eastAsia="仿宋" w:cs="华文仿宋"/>
          <w:b/>
          <w:bCs/>
          <w:sz w:val="32"/>
          <w:szCs w:val="32"/>
          <w:lang w:eastAsia="zh-CN"/>
        </w:rPr>
        <w:t>决算</w:t>
      </w:r>
      <w:r>
        <w:rPr>
          <w:rFonts w:hint="eastAsia" w:ascii="仿宋" w:hAnsi="仿宋" w:eastAsia="仿宋" w:cs="华文仿宋"/>
          <w:b/>
          <w:bCs/>
          <w:sz w:val="32"/>
          <w:szCs w:val="32"/>
        </w:rPr>
        <w:t>情况</w:t>
      </w:r>
      <w:r>
        <w:rPr>
          <w:rFonts w:hint="eastAsia" w:ascii="仿宋" w:hAnsi="仿宋" w:eastAsia="仿宋" w:cs="华文仿宋"/>
          <w:b/>
          <w:bCs/>
          <w:sz w:val="32"/>
          <w:szCs w:val="32"/>
          <w:lang w:eastAsia="zh-CN"/>
        </w:rPr>
        <w:t>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201</w:t>
      </w:r>
      <w:r>
        <w:rPr>
          <w:rFonts w:hint="eastAsia" w:ascii="仿宋" w:hAnsi="仿宋" w:eastAsia="仿宋"/>
          <w:sz w:val="32"/>
          <w:szCs w:val="32"/>
          <w:lang w:val="en-US" w:eastAsia="zh-CN"/>
        </w:rPr>
        <w:t>9</w:t>
      </w:r>
      <w:r>
        <w:rPr>
          <w:rFonts w:hint="eastAsia" w:ascii="仿宋" w:hAnsi="仿宋" w:eastAsia="仿宋"/>
          <w:sz w:val="32"/>
          <w:szCs w:val="32"/>
        </w:rPr>
        <w:t>年本年收入合计</w:t>
      </w:r>
      <w:r>
        <w:rPr>
          <w:rFonts w:hint="eastAsia" w:ascii="仿宋" w:hAnsi="仿宋" w:eastAsia="仿宋"/>
          <w:sz w:val="32"/>
          <w:szCs w:val="32"/>
          <w:lang w:val="en-US" w:eastAsia="zh-CN"/>
        </w:rPr>
        <w:t>1119.95</w:t>
      </w:r>
      <w:r>
        <w:rPr>
          <w:rFonts w:hint="eastAsia" w:ascii="仿宋" w:hAnsi="仿宋" w:eastAsia="仿宋"/>
          <w:sz w:val="32"/>
          <w:szCs w:val="32"/>
          <w:lang w:eastAsia="zh-CN"/>
        </w:rPr>
        <w:t>万元。其中:</w:t>
      </w:r>
    </w:p>
    <w:p>
      <w:pPr>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财政拨款</w:t>
      </w:r>
      <w:r>
        <w:rPr>
          <w:rFonts w:hint="eastAsia" w:ascii="仿宋" w:hAnsi="仿宋" w:eastAsia="仿宋"/>
          <w:sz w:val="32"/>
          <w:szCs w:val="32"/>
          <w:lang w:val="en-US" w:eastAsia="zh-CN"/>
        </w:rPr>
        <w:t>1119.95</w:t>
      </w:r>
      <w:r>
        <w:rPr>
          <w:rFonts w:hint="eastAsia" w:ascii="仿宋" w:hAnsi="仿宋" w:eastAsia="仿宋"/>
          <w:sz w:val="32"/>
          <w:szCs w:val="32"/>
          <w:lang w:eastAsia="zh-CN"/>
        </w:rPr>
        <w:t>万元，</w:t>
      </w:r>
      <w:r>
        <w:rPr>
          <w:rFonts w:hint="eastAsia" w:ascii="仿宋" w:hAnsi="仿宋" w:eastAsia="仿宋"/>
          <w:sz w:val="32"/>
          <w:szCs w:val="32"/>
        </w:rPr>
        <w:t>占总收入的100%，</w:t>
      </w:r>
      <w:r>
        <w:rPr>
          <w:rFonts w:hint="eastAsia" w:ascii="仿宋" w:hAnsi="仿宋" w:eastAsia="仿宋"/>
          <w:sz w:val="32"/>
          <w:szCs w:val="32"/>
          <w:lang w:eastAsia="zh-CN"/>
        </w:rPr>
        <w:t>包括</w:t>
      </w:r>
      <w:r>
        <w:rPr>
          <w:rFonts w:hint="eastAsia" w:ascii="仿宋" w:hAnsi="仿宋" w:eastAsia="仿宋"/>
          <w:sz w:val="32"/>
          <w:szCs w:val="32"/>
        </w:rPr>
        <w:t>一般公共预算财政拨款</w:t>
      </w:r>
      <w:r>
        <w:rPr>
          <w:rFonts w:hint="eastAsia" w:ascii="仿宋" w:hAnsi="仿宋" w:eastAsia="仿宋"/>
          <w:sz w:val="32"/>
          <w:szCs w:val="32"/>
          <w:lang w:val="en-US" w:eastAsia="zh-CN"/>
        </w:rPr>
        <w:t>1119.95</w:t>
      </w:r>
      <w:r>
        <w:rPr>
          <w:rFonts w:hint="eastAsia" w:ascii="仿宋" w:hAnsi="仿宋" w:eastAsia="仿宋"/>
          <w:sz w:val="32"/>
          <w:szCs w:val="32"/>
        </w:rPr>
        <w:t>万元、政府性基金预算财政拨款</w:t>
      </w:r>
      <w:r>
        <w:rPr>
          <w:rFonts w:hint="eastAsia" w:ascii="仿宋" w:hAnsi="仿宋" w:eastAsia="仿宋"/>
          <w:sz w:val="32"/>
          <w:szCs w:val="32"/>
          <w:lang w:val="en-US" w:eastAsia="zh-CN"/>
        </w:rPr>
        <w:t>0万元。</w:t>
      </w:r>
    </w:p>
    <w:p>
      <w:pPr>
        <w:spacing w:line="54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事业收入0万元。</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经营收入0万元。</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其他收入0万元。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pPr>
        <w:spacing w:line="220" w:lineRule="atLeast"/>
        <w:ind w:firstLine="480" w:firstLineChars="150"/>
        <w:rPr>
          <w:rFonts w:ascii="仿宋" w:hAnsi="仿宋" w:eastAsia="仿宋"/>
          <w:sz w:val="32"/>
          <w:szCs w:val="32"/>
        </w:rPr>
      </w:pPr>
      <w:r>
        <w:rPr>
          <w:rFonts w:ascii="仿宋" w:hAnsi="仿宋" w:eastAsia="仿宋"/>
          <w:sz w:val="32"/>
          <w:szCs w:val="32"/>
        </w:rPr>
        <w:drawing>
          <wp:inline distT="0" distB="0" distL="0" distR="0">
            <wp:extent cx="4417695" cy="2679700"/>
            <wp:effectExtent l="4445" t="4445" r="16510" b="209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华文仿宋"/>
          <w:b/>
          <w:bCs/>
          <w:sz w:val="32"/>
          <w:szCs w:val="32"/>
          <w:lang w:eastAsia="zh-CN"/>
        </w:rPr>
      </w:pPr>
      <w:r>
        <w:rPr>
          <w:rFonts w:hint="eastAsia" w:ascii="仿宋" w:hAnsi="仿宋" w:eastAsia="仿宋" w:cs="华文仿宋"/>
          <w:b/>
          <w:bCs/>
          <w:sz w:val="32"/>
          <w:szCs w:val="32"/>
          <w:lang w:eastAsia="zh-CN"/>
        </w:rPr>
        <w:t>三、</w:t>
      </w:r>
      <w:r>
        <w:rPr>
          <w:rFonts w:hint="eastAsia" w:ascii="仿宋" w:hAnsi="仿宋" w:eastAsia="仿宋" w:cs="华文仿宋"/>
          <w:b/>
          <w:bCs/>
          <w:sz w:val="32"/>
          <w:szCs w:val="32"/>
        </w:rPr>
        <w:t>支出</w:t>
      </w:r>
      <w:r>
        <w:rPr>
          <w:rFonts w:hint="eastAsia" w:ascii="仿宋" w:hAnsi="仿宋" w:eastAsia="仿宋" w:cs="华文仿宋"/>
          <w:b/>
          <w:bCs/>
          <w:sz w:val="32"/>
          <w:szCs w:val="32"/>
          <w:lang w:eastAsia="zh-CN"/>
        </w:rPr>
        <w:t>决算</w:t>
      </w:r>
      <w:r>
        <w:rPr>
          <w:rFonts w:hint="eastAsia" w:ascii="仿宋" w:hAnsi="仿宋" w:eastAsia="仿宋" w:cs="华文仿宋"/>
          <w:b/>
          <w:bCs/>
          <w:sz w:val="32"/>
          <w:szCs w:val="32"/>
        </w:rPr>
        <w:t>情况</w:t>
      </w:r>
      <w:r>
        <w:rPr>
          <w:rFonts w:hint="eastAsia" w:ascii="仿宋" w:hAnsi="仿宋" w:eastAsia="仿宋" w:cs="华文仿宋"/>
          <w:b/>
          <w:bCs/>
          <w:sz w:val="32"/>
          <w:szCs w:val="32"/>
          <w:lang w:eastAsia="zh-CN"/>
        </w:rPr>
        <w:t>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201</w:t>
      </w:r>
      <w:r>
        <w:rPr>
          <w:rFonts w:hint="eastAsia" w:ascii="仿宋" w:hAnsi="仿宋" w:eastAsia="仿宋"/>
          <w:sz w:val="32"/>
          <w:szCs w:val="32"/>
          <w:lang w:val="en-US" w:eastAsia="zh-CN"/>
        </w:rPr>
        <w:t>9</w:t>
      </w:r>
      <w:r>
        <w:rPr>
          <w:rFonts w:hint="eastAsia" w:ascii="仿宋" w:hAnsi="仿宋" w:eastAsia="仿宋"/>
          <w:sz w:val="32"/>
          <w:szCs w:val="32"/>
        </w:rPr>
        <w:t>年本年支出合计</w:t>
      </w:r>
      <w:r>
        <w:rPr>
          <w:rFonts w:hint="eastAsia" w:ascii="仿宋" w:hAnsi="仿宋" w:eastAsia="仿宋"/>
          <w:sz w:val="32"/>
          <w:szCs w:val="32"/>
          <w:lang w:val="en-US" w:eastAsia="zh-CN"/>
        </w:rPr>
        <w:t>1152.95</w:t>
      </w:r>
      <w:r>
        <w:rPr>
          <w:rFonts w:hint="eastAsia" w:ascii="仿宋" w:hAnsi="仿宋" w:eastAsia="仿宋"/>
          <w:sz w:val="32"/>
          <w:szCs w:val="32"/>
        </w:rPr>
        <w:t>万元。其中:</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ascii="仿宋" w:hAnsi="仿宋" w:eastAsia="仿宋"/>
          <w:sz w:val="32"/>
          <w:szCs w:val="32"/>
        </w:rPr>
      </w:pPr>
      <w:r>
        <w:rPr>
          <w:rFonts w:hint="eastAsia" w:ascii="仿宋" w:hAnsi="仿宋" w:eastAsia="仿宋"/>
          <w:sz w:val="32"/>
          <w:szCs w:val="32"/>
        </w:rPr>
        <w:t>（1）基本支出</w:t>
      </w:r>
      <w:r>
        <w:rPr>
          <w:rFonts w:hint="eastAsia" w:ascii="仿宋" w:hAnsi="仿宋" w:eastAsia="仿宋"/>
          <w:sz w:val="32"/>
          <w:szCs w:val="32"/>
          <w:lang w:val="en-US" w:eastAsia="zh-CN"/>
        </w:rPr>
        <w:t>928.1</w:t>
      </w:r>
      <w:r>
        <w:rPr>
          <w:rFonts w:hint="eastAsia" w:ascii="仿宋" w:hAnsi="仿宋" w:eastAsia="仿宋"/>
          <w:sz w:val="32"/>
          <w:szCs w:val="32"/>
        </w:rPr>
        <w:t>万元，占总支出的</w:t>
      </w:r>
      <w:r>
        <w:rPr>
          <w:rFonts w:hint="eastAsia" w:ascii="仿宋" w:hAnsi="仿宋" w:eastAsia="仿宋"/>
          <w:sz w:val="32"/>
          <w:szCs w:val="32"/>
          <w:lang w:val="en-US" w:eastAsia="zh-CN"/>
        </w:rPr>
        <w:t>80.5</w:t>
      </w:r>
      <w:r>
        <w:rPr>
          <w:rFonts w:hint="eastAsia" w:ascii="仿宋" w:hAnsi="仿宋" w:eastAsia="仿宋"/>
          <w:sz w:val="32"/>
          <w:szCs w:val="32"/>
        </w:rPr>
        <w:t>%，是为保障机构正常运转、完成日常工作任务而发生的各项支出，包括人员经费</w:t>
      </w:r>
      <w:r>
        <w:rPr>
          <w:rFonts w:hint="eastAsia" w:ascii="仿宋" w:hAnsi="仿宋" w:eastAsia="仿宋"/>
          <w:sz w:val="32"/>
          <w:szCs w:val="32"/>
          <w:lang w:val="en-US" w:eastAsia="zh-CN"/>
        </w:rPr>
        <w:t>845.98</w:t>
      </w:r>
      <w:r>
        <w:rPr>
          <w:rFonts w:hint="eastAsia" w:ascii="仿宋" w:hAnsi="仿宋" w:eastAsia="仿宋"/>
          <w:sz w:val="32"/>
          <w:szCs w:val="32"/>
        </w:rPr>
        <w:t>万元和公用经费</w:t>
      </w:r>
      <w:r>
        <w:rPr>
          <w:rFonts w:hint="eastAsia" w:ascii="仿宋" w:hAnsi="仿宋" w:eastAsia="仿宋"/>
          <w:sz w:val="32"/>
          <w:szCs w:val="32"/>
          <w:lang w:val="en-US" w:eastAsia="zh-CN"/>
        </w:rPr>
        <w:t>82.12</w:t>
      </w:r>
      <w:r>
        <w:rPr>
          <w:rFonts w:hint="eastAsia" w:ascii="仿宋" w:hAnsi="仿宋" w:eastAsia="仿宋"/>
          <w:sz w:val="32"/>
          <w:szCs w:val="32"/>
        </w:rPr>
        <w:t>万元。</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default" w:ascii="仿宋" w:hAnsi="仿宋" w:eastAsia="仿宋"/>
          <w:sz w:val="32"/>
          <w:szCs w:val="32"/>
          <w:lang w:val="en-US" w:eastAsia="zh-CN"/>
        </w:rPr>
      </w:pPr>
      <w:r>
        <w:rPr>
          <w:rFonts w:hint="eastAsia" w:ascii="仿宋" w:hAnsi="仿宋" w:eastAsia="仿宋"/>
          <w:sz w:val="32"/>
          <w:szCs w:val="32"/>
        </w:rPr>
        <w:t>（2）项目支出</w:t>
      </w:r>
      <w:r>
        <w:rPr>
          <w:rFonts w:hint="eastAsia" w:ascii="仿宋" w:hAnsi="仿宋" w:eastAsia="仿宋"/>
          <w:sz w:val="32"/>
          <w:szCs w:val="32"/>
          <w:lang w:val="en-US" w:eastAsia="zh-CN"/>
        </w:rPr>
        <w:t>224.85</w:t>
      </w:r>
      <w:r>
        <w:rPr>
          <w:rFonts w:hint="eastAsia" w:ascii="仿宋" w:hAnsi="仿宋" w:eastAsia="仿宋"/>
          <w:sz w:val="32"/>
          <w:szCs w:val="32"/>
        </w:rPr>
        <w:t>万元，占总支出的</w:t>
      </w:r>
      <w:r>
        <w:rPr>
          <w:rFonts w:hint="eastAsia" w:ascii="仿宋" w:hAnsi="仿宋" w:eastAsia="仿宋"/>
          <w:sz w:val="32"/>
          <w:szCs w:val="32"/>
          <w:lang w:val="en-US" w:eastAsia="zh-CN"/>
        </w:rPr>
        <w:t>20</w:t>
      </w:r>
      <w:r>
        <w:rPr>
          <w:rFonts w:hint="eastAsia" w:ascii="仿宋" w:hAnsi="仿宋" w:eastAsia="仿宋"/>
          <w:sz w:val="32"/>
          <w:szCs w:val="32"/>
        </w:rPr>
        <w:t>%，是为完成特定的工作任务或事业发展目标，在基本支出之外发生的支出。主要</w:t>
      </w:r>
      <w:r>
        <w:rPr>
          <w:rFonts w:hint="eastAsia" w:ascii="仿宋" w:hAnsi="仿宋" w:eastAsia="仿宋"/>
          <w:sz w:val="32"/>
          <w:szCs w:val="32"/>
          <w:lang w:eastAsia="zh-CN"/>
        </w:rPr>
        <w:t>包括城乡社区公共设施支出</w:t>
      </w:r>
      <w:r>
        <w:rPr>
          <w:rFonts w:hint="eastAsia" w:ascii="仿宋" w:hAnsi="仿宋" w:eastAsia="仿宋"/>
          <w:sz w:val="32"/>
          <w:szCs w:val="32"/>
          <w:lang w:val="en-US" w:eastAsia="zh-CN"/>
        </w:rPr>
        <w:t>33万元，</w:t>
      </w:r>
      <w:r>
        <w:rPr>
          <w:rFonts w:hint="eastAsia" w:ascii="仿宋" w:hAnsi="仿宋" w:eastAsia="仿宋"/>
          <w:sz w:val="32"/>
          <w:szCs w:val="32"/>
        </w:rPr>
        <w:t>对村级一事一议的补助</w:t>
      </w:r>
      <w:r>
        <w:rPr>
          <w:rFonts w:hint="eastAsia" w:ascii="仿宋" w:hAnsi="仿宋" w:eastAsia="仿宋"/>
          <w:sz w:val="32"/>
          <w:szCs w:val="32"/>
          <w:lang w:val="en-US" w:eastAsia="zh-CN"/>
        </w:rPr>
        <w:t>63.5</w:t>
      </w:r>
      <w:r>
        <w:rPr>
          <w:rFonts w:hint="eastAsia" w:ascii="仿宋" w:hAnsi="仿宋" w:eastAsia="仿宋"/>
          <w:sz w:val="32"/>
          <w:szCs w:val="32"/>
        </w:rPr>
        <w:t>万元</w:t>
      </w:r>
      <w:r>
        <w:rPr>
          <w:rFonts w:hint="eastAsia" w:ascii="仿宋" w:hAnsi="仿宋" w:eastAsia="仿宋"/>
          <w:sz w:val="32"/>
          <w:szCs w:val="32"/>
          <w:lang w:eastAsia="zh-CN"/>
        </w:rPr>
        <w:t>，综治维稳经费</w:t>
      </w:r>
      <w:r>
        <w:rPr>
          <w:rFonts w:hint="eastAsia" w:ascii="仿宋" w:hAnsi="仿宋" w:eastAsia="仿宋"/>
          <w:sz w:val="32"/>
          <w:szCs w:val="32"/>
          <w:lang w:val="en-US" w:eastAsia="zh-CN"/>
        </w:rPr>
        <w:t>19万元，国卫复审经费10万元，治污减霾工作经费12.35万元，税收奖励87万元。</w:t>
      </w:r>
    </w:p>
    <w:p>
      <w:pPr>
        <w:spacing w:line="220" w:lineRule="atLeast"/>
        <w:ind w:firstLine="480" w:firstLineChars="150"/>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drawing>
          <wp:inline distT="0" distB="0" distL="0" distR="0">
            <wp:extent cx="3838575" cy="2374900"/>
            <wp:effectExtent l="5080" t="4445" r="4445"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spacing w:before="0" w:beforeAutospacing="0" w:after="0" w:afterAutospacing="0" w:line="560" w:lineRule="exact"/>
        <w:ind w:firstLine="482" w:firstLineChars="150"/>
        <w:rPr>
          <w:rFonts w:ascii="仿宋" w:hAnsi="仿宋" w:eastAsia="仿宋" w:cs="华文仿宋"/>
          <w:b/>
          <w:sz w:val="32"/>
          <w:szCs w:val="32"/>
        </w:rPr>
      </w:pPr>
      <w:r>
        <w:rPr>
          <w:rFonts w:hint="eastAsia" w:ascii="仿宋" w:hAnsi="仿宋" w:eastAsia="仿宋" w:cs="楷体_GB2312"/>
          <w:b/>
          <w:sz w:val="32"/>
          <w:szCs w:val="32"/>
          <w:lang w:eastAsia="zh-CN"/>
        </w:rPr>
        <w:t>四、</w:t>
      </w:r>
      <w:r>
        <w:rPr>
          <w:rFonts w:hint="eastAsia" w:ascii="仿宋" w:hAnsi="仿宋" w:eastAsia="仿宋" w:cs="楷体_GB2312"/>
          <w:b/>
          <w:sz w:val="32"/>
          <w:szCs w:val="32"/>
        </w:rPr>
        <w:t>财政拨款收入支出总体情况说明</w:t>
      </w:r>
    </w:p>
    <w:p>
      <w:pPr>
        <w:pStyle w:val="5"/>
        <w:numPr>
          <w:ilvl w:val="0"/>
          <w:numId w:val="3"/>
        </w:numPr>
        <w:spacing w:before="0" w:beforeAutospacing="0" w:after="0" w:afterAutospacing="0"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财政拨款收入支出总体情况</w:t>
      </w:r>
    </w:p>
    <w:p>
      <w:pPr>
        <w:spacing w:line="540" w:lineRule="exact"/>
        <w:ind w:firstLine="640" w:firstLineChars="200"/>
        <w:jc w:val="left"/>
        <w:rPr>
          <w:rFonts w:hint="eastAsia" w:ascii="仿宋" w:hAnsi="仿宋" w:eastAsia="仿宋"/>
          <w:sz w:val="32"/>
          <w:szCs w:val="32"/>
          <w:lang w:eastAsia="zh-CN"/>
        </w:rPr>
      </w:pPr>
      <w:r>
        <w:rPr>
          <w:rFonts w:hint="eastAsia" w:ascii="仿宋" w:hAnsi="仿宋" w:eastAsia="仿宋" w:cs="华文仿宋"/>
          <w:sz w:val="32"/>
          <w:szCs w:val="32"/>
          <w:lang w:eastAsia="zh-CN"/>
        </w:rPr>
        <w:t>201</w:t>
      </w:r>
      <w:r>
        <w:rPr>
          <w:rFonts w:hint="eastAsia" w:ascii="仿宋" w:hAnsi="仿宋" w:eastAsia="仿宋" w:cs="华文仿宋"/>
          <w:sz w:val="32"/>
          <w:szCs w:val="32"/>
          <w:lang w:val="en-US" w:eastAsia="zh-CN"/>
        </w:rPr>
        <w:t>9</w:t>
      </w:r>
      <w:r>
        <w:rPr>
          <w:rFonts w:hint="eastAsia" w:ascii="仿宋" w:hAnsi="仿宋" w:eastAsia="仿宋" w:cs="华文仿宋"/>
          <w:sz w:val="32"/>
          <w:szCs w:val="32"/>
        </w:rPr>
        <w:t>年财政拨款收入</w:t>
      </w:r>
      <w:r>
        <w:rPr>
          <w:rFonts w:hint="eastAsia" w:ascii="仿宋" w:hAnsi="仿宋" w:eastAsia="仿宋"/>
          <w:sz w:val="32"/>
          <w:szCs w:val="32"/>
          <w:lang w:val="en-US" w:eastAsia="zh-CN"/>
        </w:rPr>
        <w:t>1119.95</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159.48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主要原因是</w:t>
      </w:r>
      <w:r>
        <w:rPr>
          <w:rFonts w:hint="eastAsia" w:ascii="仿宋" w:hAnsi="仿宋" w:eastAsia="仿宋"/>
          <w:sz w:val="32"/>
          <w:szCs w:val="32"/>
          <w:lang w:val="en-US" w:eastAsia="zh-CN"/>
        </w:rPr>
        <w:t>2018年</w:t>
      </w:r>
      <w:r>
        <w:rPr>
          <w:rFonts w:hint="eastAsia" w:ascii="仿宋" w:hAnsi="仿宋" w:eastAsia="仿宋"/>
          <w:sz w:val="32"/>
          <w:szCs w:val="32"/>
          <w:lang w:eastAsia="zh-CN"/>
        </w:rPr>
        <w:t>城乡社区公共设施资金结转至</w:t>
      </w:r>
      <w:r>
        <w:rPr>
          <w:rFonts w:hint="eastAsia" w:ascii="仿宋" w:hAnsi="仿宋" w:eastAsia="仿宋"/>
          <w:sz w:val="32"/>
          <w:szCs w:val="32"/>
          <w:lang w:val="en-US" w:eastAsia="zh-CN"/>
        </w:rPr>
        <w:t>2019年33万元，</w:t>
      </w:r>
      <w:r>
        <w:rPr>
          <w:rFonts w:hint="eastAsia" w:ascii="仿宋" w:hAnsi="仿宋" w:eastAsia="仿宋"/>
          <w:sz w:val="32"/>
          <w:szCs w:val="32"/>
          <w:lang w:eastAsia="zh-CN"/>
        </w:rPr>
        <w:t>增加</w:t>
      </w:r>
      <w:r>
        <w:rPr>
          <w:rFonts w:hint="eastAsia" w:ascii="仿宋" w:hAnsi="仿宋" w:eastAsia="仿宋"/>
          <w:sz w:val="32"/>
          <w:szCs w:val="32"/>
        </w:rPr>
        <w:t>一事一议项目</w:t>
      </w:r>
      <w:r>
        <w:rPr>
          <w:rFonts w:hint="eastAsia" w:ascii="仿宋" w:hAnsi="仿宋" w:eastAsia="仿宋"/>
          <w:sz w:val="32"/>
          <w:szCs w:val="32"/>
          <w:lang w:eastAsia="zh-CN"/>
        </w:rPr>
        <w:t>等</w:t>
      </w:r>
      <w:r>
        <w:rPr>
          <w:rFonts w:hint="eastAsia" w:ascii="仿宋" w:hAnsi="仿宋" w:eastAsia="仿宋"/>
          <w:sz w:val="32"/>
          <w:szCs w:val="32"/>
        </w:rPr>
        <w:t>资金</w:t>
      </w:r>
      <w:r>
        <w:rPr>
          <w:rFonts w:hint="eastAsia" w:ascii="仿宋" w:hAnsi="仿宋" w:eastAsia="仿宋"/>
          <w:sz w:val="32"/>
          <w:szCs w:val="32"/>
          <w:lang w:eastAsia="zh-CN"/>
        </w:rPr>
        <w:t>。</w:t>
      </w:r>
    </w:p>
    <w:p>
      <w:pPr>
        <w:spacing w:line="540" w:lineRule="exact"/>
        <w:ind w:firstLine="640" w:firstLineChars="200"/>
        <w:jc w:val="left"/>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年财政拨款支出</w:t>
      </w:r>
      <w:r>
        <w:rPr>
          <w:rFonts w:hint="eastAsia" w:ascii="仿宋_GB2312" w:hAnsi="华文仿宋" w:eastAsia="仿宋_GB2312" w:cs="华文仿宋"/>
          <w:sz w:val="32"/>
          <w:szCs w:val="32"/>
          <w:u w:val="none"/>
          <w:lang w:val="en-US" w:eastAsia="zh-CN"/>
        </w:rPr>
        <w:t xml:space="preserve"> 1152.95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较</w:t>
      </w:r>
      <w:r>
        <w:rPr>
          <w:rFonts w:hint="eastAsia" w:ascii="仿宋_GB2312" w:hAnsi="华文仿宋" w:eastAsia="仿宋_GB2312" w:cs="华文仿宋"/>
          <w:sz w:val="32"/>
          <w:szCs w:val="32"/>
        </w:rPr>
        <w:t>上年增加</w:t>
      </w:r>
      <w:r>
        <w:rPr>
          <w:rFonts w:hint="eastAsia" w:ascii="仿宋_GB2312" w:hAnsi="华文仿宋" w:eastAsia="仿宋_GB2312" w:cs="华文仿宋"/>
          <w:sz w:val="32"/>
          <w:szCs w:val="32"/>
          <w:lang w:val="en-US" w:eastAsia="zh-CN"/>
        </w:rPr>
        <w:t>34.77</w:t>
      </w:r>
      <w:r>
        <w:rPr>
          <w:rFonts w:hint="eastAsia" w:ascii="仿宋_GB2312" w:hAnsi="华文仿宋" w:eastAsia="仿宋_GB2312" w:cs="华文仿宋"/>
          <w:sz w:val="32"/>
          <w:szCs w:val="32"/>
        </w:rPr>
        <w:t>万元，</w:t>
      </w:r>
      <w:r>
        <w:rPr>
          <w:rFonts w:hint="eastAsia" w:ascii="仿宋" w:hAnsi="仿宋" w:eastAsia="仿宋"/>
          <w:sz w:val="32"/>
          <w:szCs w:val="32"/>
        </w:rPr>
        <w:t>主要原因是</w:t>
      </w:r>
      <w:r>
        <w:rPr>
          <w:rFonts w:hint="eastAsia" w:ascii="仿宋" w:hAnsi="仿宋" w:eastAsia="仿宋"/>
          <w:sz w:val="32"/>
          <w:szCs w:val="32"/>
          <w:lang w:val="en-US" w:eastAsia="zh-CN"/>
        </w:rPr>
        <w:t>2018年</w:t>
      </w:r>
      <w:r>
        <w:rPr>
          <w:rFonts w:hint="eastAsia" w:ascii="仿宋" w:hAnsi="仿宋" w:eastAsia="仿宋"/>
          <w:sz w:val="32"/>
          <w:szCs w:val="32"/>
          <w:lang w:eastAsia="zh-CN"/>
        </w:rPr>
        <w:t>城乡社区公共设施资金结转至</w:t>
      </w:r>
      <w:r>
        <w:rPr>
          <w:rFonts w:hint="eastAsia" w:ascii="仿宋" w:hAnsi="仿宋" w:eastAsia="仿宋"/>
          <w:sz w:val="32"/>
          <w:szCs w:val="32"/>
          <w:lang w:val="en-US" w:eastAsia="zh-CN"/>
        </w:rPr>
        <w:t>2019年33万元，</w:t>
      </w:r>
      <w:r>
        <w:rPr>
          <w:rFonts w:hint="eastAsia" w:ascii="仿宋" w:hAnsi="仿宋" w:eastAsia="仿宋"/>
          <w:sz w:val="32"/>
          <w:szCs w:val="32"/>
          <w:lang w:eastAsia="zh-CN"/>
        </w:rPr>
        <w:t>增加</w:t>
      </w:r>
      <w:r>
        <w:rPr>
          <w:rFonts w:hint="eastAsia" w:ascii="仿宋" w:hAnsi="仿宋" w:eastAsia="仿宋"/>
          <w:sz w:val="32"/>
          <w:szCs w:val="32"/>
        </w:rPr>
        <w:t>一事一议项目</w:t>
      </w:r>
      <w:r>
        <w:rPr>
          <w:rFonts w:hint="eastAsia" w:ascii="仿宋" w:hAnsi="仿宋" w:eastAsia="仿宋"/>
          <w:sz w:val="32"/>
          <w:szCs w:val="32"/>
          <w:lang w:eastAsia="zh-CN"/>
        </w:rPr>
        <w:t>等</w:t>
      </w:r>
      <w:r>
        <w:rPr>
          <w:rFonts w:hint="eastAsia" w:ascii="仿宋" w:hAnsi="仿宋" w:eastAsia="仿宋"/>
          <w:sz w:val="32"/>
          <w:szCs w:val="32"/>
        </w:rPr>
        <w:t>资金</w:t>
      </w:r>
      <w:r>
        <w:rPr>
          <w:rFonts w:hint="eastAsia" w:ascii="仿宋" w:hAnsi="仿宋" w:eastAsia="仿宋"/>
          <w:sz w:val="32"/>
          <w:szCs w:val="32"/>
          <w:lang w:eastAsia="zh-CN"/>
        </w:rPr>
        <w:t>。</w:t>
      </w: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 w:hAnsi="仿宋" w:eastAsia="仿宋" w:cs="仿宋"/>
          <w:b/>
          <w:i w:val="0"/>
          <w:caps w:val="0"/>
          <w:color w:val="333333"/>
          <w:spacing w:val="0"/>
          <w:sz w:val="32"/>
          <w:szCs w:val="32"/>
          <w:shd w:val="clear" w:color="auto" w:fill="FFFFFF"/>
          <w:lang w:val="en-US" w:eastAsia="zh-CN"/>
        </w:rPr>
        <w:t>2018、2019年度财政拨款收入支出总体情况表（万元）</w:t>
      </w:r>
    </w:p>
    <w:tbl>
      <w:tblPr>
        <w:tblStyle w:val="14"/>
        <w:tblW w:w="8379" w:type="dxa"/>
        <w:tblInd w:w="0" w:type="dxa"/>
        <w:tblLayout w:type="fixed"/>
        <w:tblCellMar>
          <w:top w:w="0" w:type="dxa"/>
          <w:left w:w="108" w:type="dxa"/>
          <w:bottom w:w="0" w:type="dxa"/>
          <w:right w:w="108" w:type="dxa"/>
        </w:tblCellMar>
      </w:tblPr>
      <w:tblGrid>
        <w:gridCol w:w="2757"/>
        <w:gridCol w:w="3053"/>
        <w:gridCol w:w="2569"/>
      </w:tblGrid>
      <w:tr>
        <w:tblPrEx>
          <w:tblCellMar>
            <w:top w:w="0" w:type="dxa"/>
            <w:left w:w="108" w:type="dxa"/>
            <w:bottom w:w="0" w:type="dxa"/>
            <w:right w:w="108" w:type="dxa"/>
          </w:tblCellMar>
        </w:tblPrEx>
        <w:trPr>
          <w:trHeight w:val="356" w:hRule="atLeast"/>
        </w:trPr>
        <w:tc>
          <w:tcPr>
            <w:tcW w:w="2757" w:type="dxa"/>
            <w:tcBorders>
              <w:top w:val="single" w:color="auto" w:sz="12" w:space="0"/>
              <w:left w:val="nil"/>
              <w:bottom w:val="single" w:color="auto" w:sz="6" w:space="0"/>
              <w:right w:val="single" w:color="7F7F7F" w:sz="4" w:space="0"/>
            </w:tcBorders>
            <w:noWrap w:val="0"/>
            <w:vAlign w:val="center"/>
          </w:tcPr>
          <w:p>
            <w:pPr>
              <w:jc w:val="center"/>
              <w:rPr>
                <w:rFonts w:hint="eastAsia" w:eastAsia="等线"/>
                <w:b/>
                <w:bCs/>
                <w:caps/>
                <w:kern w:val="0"/>
                <w:sz w:val="20"/>
                <w:szCs w:val="20"/>
                <w:lang w:eastAsia="zh-CN"/>
              </w:rPr>
            </w:pPr>
            <w:r>
              <w:rPr>
                <w:rFonts w:hint="eastAsia"/>
                <w:b/>
                <w:bCs/>
                <w:caps/>
                <w:kern w:val="0"/>
                <w:sz w:val="20"/>
                <w:szCs w:val="20"/>
                <w:lang w:eastAsia="zh-CN"/>
              </w:rPr>
              <w:t>年</w:t>
            </w:r>
            <w:r>
              <w:rPr>
                <w:rFonts w:hint="eastAsia"/>
                <w:b/>
                <w:bCs/>
                <w:caps/>
                <w:kern w:val="0"/>
                <w:sz w:val="20"/>
                <w:szCs w:val="20"/>
                <w:lang w:val="en-US" w:eastAsia="zh-CN"/>
              </w:rPr>
              <w:t xml:space="preserve">  </w:t>
            </w:r>
            <w:r>
              <w:rPr>
                <w:rFonts w:hint="eastAsia"/>
                <w:b/>
                <w:bCs/>
                <w:caps/>
                <w:kern w:val="0"/>
                <w:sz w:val="20"/>
                <w:szCs w:val="20"/>
                <w:lang w:eastAsia="zh-CN"/>
              </w:rPr>
              <w:t>份</w:t>
            </w:r>
          </w:p>
        </w:tc>
        <w:tc>
          <w:tcPr>
            <w:tcW w:w="3053"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收</w:t>
            </w:r>
            <w:r>
              <w:rPr>
                <w:rFonts w:hint="eastAsia"/>
                <w:b/>
                <w:caps/>
                <w:kern w:val="0"/>
                <w:sz w:val="20"/>
                <w:szCs w:val="20"/>
                <w:lang w:val="en-US" w:eastAsia="zh-CN"/>
              </w:rPr>
              <w:t xml:space="preserve">  </w:t>
            </w:r>
            <w:r>
              <w:rPr>
                <w:rFonts w:hint="eastAsia"/>
                <w:b/>
                <w:caps/>
                <w:kern w:val="0"/>
                <w:sz w:val="20"/>
                <w:szCs w:val="20"/>
                <w:lang w:eastAsia="zh-CN"/>
              </w:rPr>
              <w:t>入</w:t>
            </w:r>
          </w:p>
        </w:tc>
        <w:tc>
          <w:tcPr>
            <w:tcW w:w="2569"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支</w:t>
            </w:r>
            <w:r>
              <w:rPr>
                <w:rFonts w:hint="eastAsia"/>
                <w:b/>
                <w:caps/>
                <w:kern w:val="0"/>
                <w:sz w:val="20"/>
                <w:szCs w:val="20"/>
                <w:lang w:val="en-US" w:eastAsia="zh-CN"/>
              </w:rPr>
              <w:t xml:space="preserve">  </w:t>
            </w:r>
            <w:r>
              <w:rPr>
                <w:rFonts w:hint="eastAsia"/>
                <w:b/>
                <w:caps/>
                <w:kern w:val="0"/>
                <w:sz w:val="20"/>
                <w:szCs w:val="20"/>
                <w:lang w:eastAsia="zh-CN"/>
              </w:rPr>
              <w:t>出</w:t>
            </w:r>
          </w:p>
        </w:tc>
      </w:tr>
      <w:tr>
        <w:tblPrEx>
          <w:tblCellMar>
            <w:top w:w="0" w:type="dxa"/>
            <w:left w:w="108" w:type="dxa"/>
            <w:bottom w:w="0" w:type="dxa"/>
            <w:right w:w="108" w:type="dxa"/>
          </w:tblCellMar>
        </w:tblPrEx>
        <w:trPr>
          <w:trHeight w:val="628" w:hRule="atLeast"/>
        </w:trPr>
        <w:tc>
          <w:tcPr>
            <w:tcW w:w="2757" w:type="dxa"/>
            <w:tcBorders>
              <w:top w:val="single" w:color="auto" w:sz="6" w:space="0"/>
              <w:left w:val="nil"/>
              <w:bottom w:val="nil"/>
              <w:right w:val="single" w:color="7F7F7F" w:sz="4" w:space="0"/>
            </w:tcBorders>
            <w:noWrap w:val="0"/>
            <w:vAlign w:val="center"/>
          </w:tcPr>
          <w:p>
            <w:pPr>
              <w:jc w:val="center"/>
              <w:rPr>
                <w:rFonts w:hint="default" w:eastAsia="等线"/>
                <w:b w:val="0"/>
                <w:bCs/>
                <w:caps w:val="0"/>
                <w:kern w:val="0"/>
                <w:sz w:val="20"/>
                <w:szCs w:val="20"/>
                <w:lang w:val="en-US" w:eastAsia="zh-CN"/>
              </w:rPr>
            </w:pPr>
            <w:r>
              <w:rPr>
                <w:rFonts w:hint="eastAsia" w:ascii="等线" w:hAnsi="等线" w:eastAsia="等线" w:cs="Times New Roman"/>
                <w:b/>
                <w:bCs/>
                <w:caps/>
                <w:kern w:val="0"/>
                <w:sz w:val="20"/>
                <w:szCs w:val="20"/>
                <w:lang w:val="en-US" w:eastAsia="zh-CN" w:bidi="ar"/>
              </w:rPr>
              <w:t>2018</w:t>
            </w:r>
          </w:p>
        </w:tc>
        <w:tc>
          <w:tcPr>
            <w:tcW w:w="3053" w:type="dxa"/>
            <w:tcBorders>
              <w:top w:val="single" w:color="auto" w:sz="6" w:space="0"/>
              <w:left w:val="nil"/>
              <w:bottom w:val="nil"/>
              <w:right w:val="nil"/>
            </w:tcBorders>
            <w:noWrap w:val="0"/>
            <w:vAlign w:val="center"/>
          </w:tcPr>
          <w:p>
            <w:pPr>
              <w:jc w:val="center"/>
              <w:rPr>
                <w:rFonts w:hint="default" w:eastAsia="等线"/>
                <w:kern w:val="0"/>
                <w:sz w:val="20"/>
                <w:szCs w:val="20"/>
                <w:lang w:val="en-US" w:eastAsia="zh-CN"/>
              </w:rPr>
            </w:pPr>
            <w:r>
              <w:rPr>
                <w:rFonts w:hint="eastAsia" w:ascii="等线" w:hAnsi="等线" w:eastAsia="等线" w:cs="Times New Roman"/>
                <w:kern w:val="0"/>
                <w:sz w:val="20"/>
                <w:szCs w:val="20"/>
                <w:lang w:val="en-US" w:eastAsia="zh-CN" w:bidi="ar"/>
              </w:rPr>
              <w:t>960.47</w:t>
            </w:r>
          </w:p>
        </w:tc>
        <w:tc>
          <w:tcPr>
            <w:tcW w:w="2569" w:type="dxa"/>
            <w:tcBorders>
              <w:top w:val="single" w:color="auto" w:sz="6" w:space="0"/>
              <w:left w:val="nil"/>
              <w:bottom w:val="nil"/>
              <w:right w:val="nil"/>
            </w:tcBorders>
            <w:noWrap w:val="0"/>
            <w:vAlign w:val="center"/>
          </w:tcPr>
          <w:p>
            <w:pPr>
              <w:jc w:val="center"/>
              <w:rPr>
                <w:rFonts w:hint="default" w:eastAsia="等线"/>
                <w:kern w:val="0"/>
                <w:sz w:val="20"/>
                <w:szCs w:val="20"/>
                <w:lang w:val="en-US" w:eastAsia="zh-CN"/>
              </w:rPr>
            </w:pPr>
            <w:r>
              <w:rPr>
                <w:rFonts w:hint="eastAsia" w:ascii="等线" w:hAnsi="等线" w:eastAsia="等线" w:cs="Times New Roman"/>
                <w:kern w:val="0"/>
                <w:sz w:val="20"/>
                <w:szCs w:val="20"/>
                <w:lang w:val="en-US" w:eastAsia="zh-CN" w:bidi="ar"/>
              </w:rPr>
              <w:t>1118.18</w:t>
            </w:r>
          </w:p>
        </w:tc>
      </w:tr>
      <w:tr>
        <w:tblPrEx>
          <w:tblCellMar>
            <w:top w:w="0" w:type="dxa"/>
            <w:left w:w="108" w:type="dxa"/>
            <w:bottom w:w="0" w:type="dxa"/>
            <w:right w:w="108" w:type="dxa"/>
          </w:tblCellMar>
        </w:tblPrEx>
        <w:trPr>
          <w:trHeight w:val="613" w:hRule="atLeast"/>
        </w:trPr>
        <w:tc>
          <w:tcPr>
            <w:tcW w:w="2757" w:type="dxa"/>
            <w:tcBorders>
              <w:top w:val="nil"/>
              <w:left w:val="nil"/>
              <w:bottom w:val="nil"/>
              <w:right w:val="single" w:color="7F7F7F" w:sz="4" w:space="0"/>
            </w:tcBorders>
            <w:noWrap w:val="0"/>
            <w:vAlign w:val="center"/>
          </w:tcPr>
          <w:p>
            <w:pPr>
              <w:jc w:val="center"/>
              <w:rPr>
                <w:rFonts w:hint="default"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2019</w:t>
            </w:r>
          </w:p>
        </w:tc>
        <w:tc>
          <w:tcPr>
            <w:tcW w:w="3053"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1119.95</w:t>
            </w:r>
          </w:p>
        </w:tc>
        <w:tc>
          <w:tcPr>
            <w:tcW w:w="2569"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1152.95</w:t>
            </w:r>
          </w:p>
        </w:tc>
      </w:tr>
      <w:tr>
        <w:tblPrEx>
          <w:tblCellMar>
            <w:top w:w="0" w:type="dxa"/>
            <w:left w:w="108" w:type="dxa"/>
            <w:bottom w:w="0" w:type="dxa"/>
            <w:right w:w="108" w:type="dxa"/>
          </w:tblCellMar>
        </w:tblPrEx>
        <w:trPr>
          <w:trHeight w:val="654" w:hRule="atLeast"/>
        </w:trPr>
        <w:tc>
          <w:tcPr>
            <w:tcW w:w="2757" w:type="dxa"/>
            <w:tcBorders>
              <w:top w:val="nil"/>
              <w:left w:val="nil"/>
              <w:bottom w:val="single" w:color="auto" w:sz="12" w:space="0"/>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增幅</w:t>
            </w:r>
          </w:p>
        </w:tc>
        <w:tc>
          <w:tcPr>
            <w:tcW w:w="3053"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159.48</w:t>
            </w:r>
          </w:p>
        </w:tc>
        <w:tc>
          <w:tcPr>
            <w:tcW w:w="2569"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34.77</w:t>
            </w:r>
          </w:p>
        </w:tc>
      </w:tr>
    </w:tbl>
    <w:p>
      <w:pPr>
        <w:pStyle w:val="5"/>
        <w:spacing w:before="0" w:beforeAutospacing="0" w:after="0" w:afterAutospacing="0" w:line="540" w:lineRule="exact"/>
        <w:rPr>
          <w:rFonts w:hint="eastAsia" w:ascii="仿宋" w:hAnsi="仿宋" w:eastAsia="仿宋"/>
          <w:sz w:val="32"/>
          <w:szCs w:val="32"/>
        </w:rPr>
      </w:pP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 w:hAnsi="仿宋" w:eastAsia="仿宋" w:cs="仿宋"/>
          <w:b/>
          <w:i w:val="0"/>
          <w:caps w:val="0"/>
          <w:color w:val="333333"/>
          <w:spacing w:val="0"/>
          <w:sz w:val="32"/>
          <w:szCs w:val="32"/>
          <w:shd w:val="clear" w:color="auto" w:fill="FFFFFF"/>
          <w:lang w:val="en-US" w:eastAsia="zh-CN"/>
        </w:rPr>
        <w:t>2019年度收入支出年初预算数与决算数总体对比表（万元）</w:t>
      </w:r>
    </w:p>
    <w:tbl>
      <w:tblPr>
        <w:tblStyle w:val="14"/>
        <w:tblW w:w="8858" w:type="dxa"/>
        <w:tblInd w:w="0" w:type="dxa"/>
        <w:tblLayout w:type="fixed"/>
        <w:tblCellMar>
          <w:top w:w="0" w:type="dxa"/>
          <w:left w:w="108" w:type="dxa"/>
          <w:bottom w:w="0" w:type="dxa"/>
          <w:right w:w="108" w:type="dxa"/>
        </w:tblCellMar>
      </w:tblPr>
      <w:tblGrid>
        <w:gridCol w:w="2415"/>
        <w:gridCol w:w="2290"/>
        <w:gridCol w:w="2047"/>
        <w:gridCol w:w="2106"/>
      </w:tblGrid>
      <w:tr>
        <w:tblPrEx>
          <w:tblCellMar>
            <w:top w:w="0" w:type="dxa"/>
            <w:left w:w="108" w:type="dxa"/>
            <w:bottom w:w="0" w:type="dxa"/>
            <w:right w:w="108" w:type="dxa"/>
          </w:tblCellMar>
        </w:tblPrEx>
        <w:trPr>
          <w:trHeight w:val="621" w:hRule="atLeast"/>
        </w:trPr>
        <w:tc>
          <w:tcPr>
            <w:tcW w:w="2415" w:type="dxa"/>
            <w:tcBorders>
              <w:top w:val="single" w:color="auto" w:sz="12" w:space="0"/>
              <w:left w:val="nil"/>
              <w:bottom w:val="single" w:color="auto" w:sz="6" w:space="0"/>
              <w:right w:val="single" w:color="7F7F7F" w:sz="4" w:space="0"/>
            </w:tcBorders>
            <w:noWrap w:val="0"/>
            <w:vAlign w:val="center"/>
          </w:tcPr>
          <w:p>
            <w:pPr>
              <w:jc w:val="center"/>
              <w:rPr>
                <w:rFonts w:hint="eastAsia" w:eastAsia="等线"/>
                <w:b/>
                <w:bCs/>
                <w:caps/>
                <w:kern w:val="0"/>
                <w:sz w:val="20"/>
                <w:szCs w:val="20"/>
                <w:lang w:eastAsia="zh-CN"/>
              </w:rPr>
            </w:pPr>
            <w:r>
              <w:rPr>
                <w:rFonts w:hint="eastAsia" w:eastAsia="等线"/>
                <w:b/>
                <w:bCs/>
                <w:caps/>
                <w:kern w:val="0"/>
                <w:sz w:val="20"/>
                <w:szCs w:val="20"/>
                <w:lang w:eastAsia="zh-CN"/>
              </w:rPr>
              <w:t>预决算</w:t>
            </w:r>
          </w:p>
        </w:tc>
        <w:tc>
          <w:tcPr>
            <w:tcW w:w="2290"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收</w:t>
            </w:r>
            <w:r>
              <w:rPr>
                <w:rFonts w:hint="eastAsia"/>
                <w:b/>
                <w:caps/>
                <w:kern w:val="0"/>
                <w:sz w:val="20"/>
                <w:szCs w:val="20"/>
                <w:lang w:val="en-US" w:eastAsia="zh-CN"/>
              </w:rPr>
              <w:t xml:space="preserve">  </w:t>
            </w:r>
            <w:r>
              <w:rPr>
                <w:rFonts w:hint="eastAsia"/>
                <w:b/>
                <w:caps/>
                <w:kern w:val="0"/>
                <w:sz w:val="20"/>
                <w:szCs w:val="20"/>
                <w:lang w:eastAsia="zh-CN"/>
              </w:rPr>
              <w:t>入</w:t>
            </w:r>
          </w:p>
        </w:tc>
        <w:tc>
          <w:tcPr>
            <w:tcW w:w="2047"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支</w:t>
            </w:r>
            <w:r>
              <w:rPr>
                <w:rFonts w:hint="eastAsia"/>
                <w:b/>
                <w:caps/>
                <w:kern w:val="0"/>
                <w:sz w:val="20"/>
                <w:szCs w:val="20"/>
                <w:lang w:val="en-US" w:eastAsia="zh-CN"/>
              </w:rPr>
              <w:t xml:space="preserve">  </w:t>
            </w:r>
            <w:r>
              <w:rPr>
                <w:rFonts w:hint="eastAsia"/>
                <w:b/>
                <w:caps/>
                <w:kern w:val="0"/>
                <w:sz w:val="20"/>
                <w:szCs w:val="20"/>
                <w:lang w:eastAsia="zh-CN"/>
              </w:rPr>
              <w:t>出</w:t>
            </w:r>
          </w:p>
        </w:tc>
        <w:tc>
          <w:tcPr>
            <w:tcW w:w="2106" w:type="dxa"/>
            <w:tcBorders>
              <w:top w:val="single" w:color="auto" w:sz="12" w:space="0"/>
              <w:left w:val="nil"/>
              <w:bottom w:val="single" w:color="auto" w:sz="6" w:space="0"/>
              <w:right w:val="nil"/>
            </w:tcBorders>
            <w:noWrap w:val="0"/>
            <w:vAlign w:val="center"/>
          </w:tcPr>
          <w:p>
            <w:pPr>
              <w:jc w:val="center"/>
              <w:rPr>
                <w:rFonts w:hint="eastAsia"/>
                <w:b/>
                <w:caps/>
                <w:kern w:val="0"/>
                <w:sz w:val="20"/>
                <w:szCs w:val="20"/>
                <w:lang w:eastAsia="zh-CN"/>
              </w:rPr>
            </w:pPr>
            <w:r>
              <w:rPr>
                <w:rFonts w:hint="eastAsia"/>
                <w:b/>
                <w:caps/>
                <w:kern w:val="0"/>
                <w:sz w:val="20"/>
                <w:szCs w:val="20"/>
                <w:lang w:eastAsia="zh-CN"/>
              </w:rPr>
              <w:t>上年（本年）结转结余</w:t>
            </w:r>
          </w:p>
        </w:tc>
      </w:tr>
      <w:tr>
        <w:tblPrEx>
          <w:tblCellMar>
            <w:top w:w="0" w:type="dxa"/>
            <w:left w:w="108" w:type="dxa"/>
            <w:bottom w:w="0" w:type="dxa"/>
            <w:right w:w="108" w:type="dxa"/>
          </w:tblCellMar>
        </w:tblPrEx>
        <w:trPr>
          <w:trHeight w:val="607" w:hRule="atLeast"/>
        </w:trPr>
        <w:tc>
          <w:tcPr>
            <w:tcW w:w="2415" w:type="dxa"/>
            <w:tcBorders>
              <w:top w:val="nil"/>
              <w:left w:val="nil"/>
              <w:bottom w:val="nil"/>
              <w:right w:val="single" w:color="7F7F7F" w:sz="4" w:space="0"/>
            </w:tcBorders>
            <w:noWrap w:val="0"/>
            <w:vAlign w:val="center"/>
          </w:tcPr>
          <w:p>
            <w:pPr>
              <w:jc w:val="center"/>
              <w:rPr>
                <w:rFonts w:hint="default"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年初预算数</w:t>
            </w:r>
          </w:p>
        </w:tc>
        <w:tc>
          <w:tcPr>
            <w:tcW w:w="2290"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842.17</w:t>
            </w:r>
          </w:p>
        </w:tc>
        <w:tc>
          <w:tcPr>
            <w:tcW w:w="2047"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875.17</w:t>
            </w:r>
          </w:p>
        </w:tc>
        <w:tc>
          <w:tcPr>
            <w:tcW w:w="2106"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33</w:t>
            </w:r>
          </w:p>
        </w:tc>
      </w:tr>
      <w:tr>
        <w:tblPrEx>
          <w:tblCellMar>
            <w:top w:w="0" w:type="dxa"/>
            <w:left w:w="108" w:type="dxa"/>
            <w:bottom w:w="0" w:type="dxa"/>
            <w:right w:w="108" w:type="dxa"/>
          </w:tblCellMar>
        </w:tblPrEx>
        <w:trPr>
          <w:trHeight w:val="593" w:hRule="atLeast"/>
        </w:trPr>
        <w:tc>
          <w:tcPr>
            <w:tcW w:w="2415" w:type="dxa"/>
            <w:tcBorders>
              <w:top w:val="nil"/>
              <w:left w:val="nil"/>
              <w:bottom w:val="nil"/>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调整预算数</w:t>
            </w:r>
          </w:p>
        </w:tc>
        <w:tc>
          <w:tcPr>
            <w:tcW w:w="2290"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1119.95</w:t>
            </w:r>
          </w:p>
        </w:tc>
        <w:tc>
          <w:tcPr>
            <w:tcW w:w="2047"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1152.95</w:t>
            </w:r>
          </w:p>
        </w:tc>
        <w:tc>
          <w:tcPr>
            <w:tcW w:w="2106"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33</w:t>
            </w:r>
          </w:p>
        </w:tc>
      </w:tr>
      <w:tr>
        <w:tblPrEx>
          <w:tblCellMar>
            <w:top w:w="0" w:type="dxa"/>
            <w:left w:w="108" w:type="dxa"/>
            <w:bottom w:w="0" w:type="dxa"/>
            <w:right w:w="108" w:type="dxa"/>
          </w:tblCellMar>
        </w:tblPrEx>
        <w:trPr>
          <w:trHeight w:val="593" w:hRule="atLeast"/>
        </w:trPr>
        <w:tc>
          <w:tcPr>
            <w:tcW w:w="2415" w:type="dxa"/>
            <w:tcBorders>
              <w:top w:val="nil"/>
              <w:left w:val="nil"/>
              <w:bottom w:val="nil"/>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决算数</w:t>
            </w:r>
          </w:p>
        </w:tc>
        <w:tc>
          <w:tcPr>
            <w:tcW w:w="2290"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1119.95</w:t>
            </w:r>
          </w:p>
        </w:tc>
        <w:tc>
          <w:tcPr>
            <w:tcW w:w="2047"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1152.95</w:t>
            </w:r>
          </w:p>
        </w:tc>
        <w:tc>
          <w:tcPr>
            <w:tcW w:w="2106"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0</w:t>
            </w:r>
          </w:p>
        </w:tc>
      </w:tr>
      <w:tr>
        <w:tblPrEx>
          <w:tblCellMar>
            <w:top w:w="0" w:type="dxa"/>
            <w:left w:w="108" w:type="dxa"/>
            <w:bottom w:w="0" w:type="dxa"/>
            <w:right w:w="108" w:type="dxa"/>
          </w:tblCellMar>
        </w:tblPrEx>
        <w:trPr>
          <w:trHeight w:val="621" w:hRule="atLeast"/>
        </w:trPr>
        <w:tc>
          <w:tcPr>
            <w:tcW w:w="2415" w:type="dxa"/>
            <w:tcBorders>
              <w:top w:val="nil"/>
              <w:left w:val="nil"/>
              <w:bottom w:val="single" w:color="auto" w:sz="12" w:space="0"/>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完成比率</w:t>
            </w:r>
          </w:p>
        </w:tc>
        <w:tc>
          <w:tcPr>
            <w:tcW w:w="2290"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100%</w:t>
            </w:r>
          </w:p>
        </w:tc>
        <w:tc>
          <w:tcPr>
            <w:tcW w:w="2047"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100%</w:t>
            </w:r>
          </w:p>
        </w:tc>
        <w:tc>
          <w:tcPr>
            <w:tcW w:w="2106" w:type="dxa"/>
            <w:tcBorders>
              <w:top w:val="nil"/>
              <w:left w:val="nil"/>
              <w:bottom w:val="single" w:color="auto" w:sz="12" w:space="0"/>
              <w:right w:val="nil"/>
            </w:tcBorders>
            <w:noWrap w:val="0"/>
            <w:vAlign w:val="center"/>
          </w:tcPr>
          <w:p>
            <w:pPr>
              <w:jc w:val="center"/>
              <w:rPr>
                <w:rFonts w:hint="eastAsia" w:ascii="等线" w:hAnsi="等线" w:eastAsia="等线" w:cs="Times New Roman"/>
                <w:kern w:val="0"/>
                <w:sz w:val="20"/>
                <w:szCs w:val="20"/>
                <w:lang w:val="en-US" w:eastAsia="zh-CN" w:bidi="ar"/>
              </w:rPr>
            </w:pPr>
          </w:p>
        </w:tc>
      </w:tr>
    </w:tbl>
    <w:p>
      <w:pPr>
        <w:pStyle w:val="5"/>
        <w:numPr>
          <w:ilvl w:val="0"/>
          <w:numId w:val="4"/>
        </w:numPr>
        <w:spacing w:before="0" w:beforeAutospacing="0" w:after="0" w:afterAutospacing="0" w:line="560" w:lineRule="exact"/>
        <w:ind w:firstLine="643" w:firstLineChars="200"/>
        <w:rPr>
          <w:rFonts w:hint="eastAsia" w:ascii="仿宋" w:hAnsi="仿宋" w:eastAsia="仿宋" w:cs="华文仿宋"/>
          <w:b/>
          <w:bCs/>
          <w:sz w:val="32"/>
          <w:szCs w:val="32"/>
        </w:rPr>
      </w:pPr>
      <w:r>
        <w:rPr>
          <w:rFonts w:hint="eastAsia" w:ascii="仿宋" w:hAnsi="仿宋" w:eastAsia="仿宋" w:cs="华文仿宋"/>
          <w:b/>
          <w:bCs/>
          <w:sz w:val="32"/>
          <w:szCs w:val="32"/>
        </w:rPr>
        <w:t>一般公共预算财政拨款支出情况</w:t>
      </w:r>
    </w:p>
    <w:p>
      <w:pPr>
        <w:pStyle w:val="5"/>
        <w:numPr>
          <w:ilvl w:val="0"/>
          <w:numId w:val="5"/>
        </w:numPr>
        <w:spacing w:before="0" w:beforeAutospacing="0" w:after="0" w:afterAutospacing="0" w:line="560" w:lineRule="exact"/>
        <w:ind w:firstLine="643" w:firstLineChars="200"/>
        <w:rPr>
          <w:rFonts w:hint="eastAsia" w:ascii="仿宋" w:hAnsi="仿宋" w:eastAsia="仿宋" w:cs="华文仿宋"/>
          <w:b/>
          <w:bCs/>
          <w:sz w:val="32"/>
          <w:szCs w:val="32"/>
          <w:lang w:eastAsia="zh-CN"/>
        </w:rPr>
      </w:pPr>
      <w:r>
        <w:rPr>
          <w:rFonts w:hint="eastAsia" w:ascii="仿宋" w:hAnsi="仿宋" w:eastAsia="仿宋" w:cs="华文仿宋"/>
          <w:b/>
          <w:bCs/>
          <w:sz w:val="32"/>
          <w:szCs w:val="32"/>
          <w:lang w:eastAsia="zh-CN"/>
        </w:rPr>
        <w:t>财政拨款支出决算总体情况说明</w:t>
      </w:r>
    </w:p>
    <w:p>
      <w:pPr>
        <w:spacing w:line="540" w:lineRule="exact"/>
        <w:ind w:firstLine="640" w:firstLineChars="200"/>
        <w:jc w:val="left"/>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年财政拨款支</w:t>
      </w:r>
      <w:r>
        <w:rPr>
          <w:rFonts w:hint="eastAsia" w:ascii="仿宋_GB2312" w:hAnsi="华文仿宋" w:eastAsia="仿宋_GB2312" w:cs="华文仿宋"/>
          <w:sz w:val="32"/>
          <w:szCs w:val="32"/>
          <w:lang w:eastAsia="zh-CN"/>
        </w:rPr>
        <w:t>出</w:t>
      </w:r>
      <w:r>
        <w:rPr>
          <w:rFonts w:hint="eastAsia" w:ascii="仿宋_GB2312" w:hAnsi="华文仿宋" w:eastAsia="仿宋_GB2312" w:cs="华文仿宋"/>
          <w:sz w:val="32"/>
          <w:szCs w:val="32"/>
          <w:u w:val="none"/>
          <w:lang w:val="en-US" w:eastAsia="zh-CN"/>
        </w:rPr>
        <w:t>1152.95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占本年支出合计</w:t>
      </w:r>
      <w:r>
        <w:rPr>
          <w:rFonts w:hint="eastAsia" w:ascii="仿宋_GB2312" w:hAnsi="华文仿宋" w:eastAsia="仿宋_GB2312" w:cs="华文仿宋"/>
          <w:sz w:val="32"/>
          <w:szCs w:val="32"/>
          <w:lang w:val="en-US" w:eastAsia="zh-CN"/>
        </w:rPr>
        <w:t>100%，</w:t>
      </w:r>
      <w:r>
        <w:rPr>
          <w:rFonts w:hint="eastAsia" w:ascii="仿宋_GB2312" w:hAnsi="华文仿宋" w:eastAsia="仿宋_GB2312" w:cs="华文仿宋"/>
          <w:sz w:val="32"/>
          <w:szCs w:val="32"/>
          <w:lang w:eastAsia="zh-CN"/>
        </w:rPr>
        <w:t>较</w:t>
      </w:r>
      <w:r>
        <w:rPr>
          <w:rFonts w:hint="eastAsia" w:ascii="仿宋_GB2312" w:hAnsi="华文仿宋" w:eastAsia="仿宋_GB2312" w:cs="华文仿宋"/>
          <w:sz w:val="32"/>
          <w:szCs w:val="32"/>
        </w:rPr>
        <w:t>上年增加</w:t>
      </w:r>
      <w:r>
        <w:rPr>
          <w:rFonts w:hint="eastAsia" w:ascii="仿宋_GB2312" w:hAnsi="华文仿宋" w:eastAsia="仿宋_GB2312" w:cs="华文仿宋"/>
          <w:sz w:val="32"/>
          <w:szCs w:val="32"/>
          <w:lang w:val="en-US" w:eastAsia="zh-CN"/>
        </w:rPr>
        <w:t>34.77</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增长</w:t>
      </w:r>
      <w:r>
        <w:rPr>
          <w:rFonts w:hint="eastAsia" w:ascii="仿宋_GB2312" w:hAnsi="华文仿宋" w:eastAsia="仿宋_GB2312" w:cs="华文仿宋"/>
          <w:sz w:val="32"/>
          <w:szCs w:val="32"/>
          <w:lang w:val="en-US" w:eastAsia="zh-CN"/>
        </w:rPr>
        <w:t>3%，</w:t>
      </w:r>
      <w:r>
        <w:rPr>
          <w:rFonts w:hint="eastAsia" w:ascii="仿宋" w:hAnsi="仿宋" w:eastAsia="仿宋"/>
          <w:sz w:val="32"/>
          <w:szCs w:val="32"/>
        </w:rPr>
        <w:t>主要原因是</w:t>
      </w:r>
      <w:r>
        <w:rPr>
          <w:rFonts w:hint="eastAsia" w:ascii="仿宋" w:hAnsi="仿宋" w:eastAsia="仿宋"/>
          <w:sz w:val="32"/>
          <w:szCs w:val="32"/>
          <w:lang w:val="en-US" w:eastAsia="zh-CN"/>
        </w:rPr>
        <w:t>2018年</w:t>
      </w:r>
      <w:r>
        <w:rPr>
          <w:rFonts w:hint="eastAsia" w:ascii="仿宋" w:hAnsi="仿宋" w:eastAsia="仿宋"/>
          <w:sz w:val="32"/>
          <w:szCs w:val="32"/>
          <w:lang w:eastAsia="zh-CN"/>
        </w:rPr>
        <w:t>城乡社区公共设施资金结转至</w:t>
      </w:r>
      <w:r>
        <w:rPr>
          <w:rFonts w:hint="eastAsia" w:ascii="仿宋" w:hAnsi="仿宋" w:eastAsia="仿宋"/>
          <w:sz w:val="32"/>
          <w:szCs w:val="32"/>
          <w:lang w:val="en-US" w:eastAsia="zh-CN"/>
        </w:rPr>
        <w:t>2019年33万元，</w:t>
      </w:r>
      <w:r>
        <w:rPr>
          <w:rFonts w:hint="eastAsia" w:ascii="仿宋" w:hAnsi="仿宋" w:eastAsia="仿宋"/>
          <w:sz w:val="32"/>
          <w:szCs w:val="32"/>
          <w:lang w:eastAsia="zh-CN"/>
        </w:rPr>
        <w:t>增加</w:t>
      </w:r>
      <w:r>
        <w:rPr>
          <w:rFonts w:hint="eastAsia" w:ascii="仿宋" w:hAnsi="仿宋" w:eastAsia="仿宋"/>
          <w:sz w:val="32"/>
          <w:szCs w:val="32"/>
        </w:rPr>
        <w:t>一事一议项目</w:t>
      </w:r>
      <w:r>
        <w:rPr>
          <w:rFonts w:hint="eastAsia" w:ascii="仿宋" w:hAnsi="仿宋" w:eastAsia="仿宋"/>
          <w:sz w:val="32"/>
          <w:szCs w:val="32"/>
          <w:lang w:eastAsia="zh-CN"/>
        </w:rPr>
        <w:t>等</w:t>
      </w:r>
      <w:r>
        <w:rPr>
          <w:rFonts w:hint="eastAsia" w:ascii="仿宋" w:hAnsi="仿宋" w:eastAsia="仿宋"/>
          <w:sz w:val="32"/>
          <w:szCs w:val="32"/>
        </w:rPr>
        <w:t>资金</w:t>
      </w:r>
      <w:r>
        <w:rPr>
          <w:rFonts w:hint="eastAsia" w:ascii="仿宋" w:hAnsi="仿宋" w:eastAsia="仿宋"/>
          <w:sz w:val="32"/>
          <w:szCs w:val="32"/>
          <w:lang w:eastAsia="zh-CN"/>
        </w:rPr>
        <w:t>。</w:t>
      </w:r>
    </w:p>
    <w:p>
      <w:pPr>
        <w:spacing w:line="540" w:lineRule="exact"/>
        <w:jc w:val="center"/>
        <w:rPr>
          <w:rFonts w:hint="eastAsia" w:ascii="仿宋" w:hAnsi="仿宋" w:eastAsia="仿宋" w:cs="仿宋"/>
          <w:b/>
          <w:i w:val="0"/>
          <w:caps w:val="0"/>
          <w:color w:val="333333"/>
          <w:spacing w:val="0"/>
          <w:sz w:val="32"/>
          <w:szCs w:val="32"/>
          <w:shd w:val="clear" w:color="auto" w:fill="FFFFFF"/>
          <w:lang w:val="en-US" w:eastAsia="zh-CN"/>
        </w:rPr>
      </w:pPr>
      <w:r>
        <w:rPr>
          <w:rFonts w:hint="eastAsia" w:ascii="仿宋" w:hAnsi="仿宋" w:eastAsia="仿宋" w:cs="仿宋"/>
          <w:b/>
          <w:i w:val="0"/>
          <w:caps w:val="0"/>
          <w:color w:val="333333"/>
          <w:spacing w:val="0"/>
          <w:sz w:val="32"/>
          <w:szCs w:val="32"/>
          <w:shd w:val="clear" w:color="auto" w:fill="FFFFFF"/>
          <w:lang w:val="en-US" w:eastAsia="zh-CN"/>
        </w:rPr>
        <w:t>2018、2019年度财政拨款支出总体情况表（万元）</w:t>
      </w:r>
    </w:p>
    <w:tbl>
      <w:tblPr>
        <w:tblStyle w:val="14"/>
        <w:tblpPr w:leftFromText="180" w:rightFromText="180" w:vertAnchor="text" w:horzAnchor="page" w:tblpXSpec="center" w:tblpY="295"/>
        <w:tblOverlap w:val="never"/>
        <w:tblW w:w="6899" w:type="dxa"/>
        <w:jc w:val="center"/>
        <w:tblLayout w:type="fixed"/>
        <w:tblCellMar>
          <w:top w:w="0" w:type="dxa"/>
          <w:left w:w="108" w:type="dxa"/>
          <w:bottom w:w="0" w:type="dxa"/>
          <w:right w:w="108" w:type="dxa"/>
        </w:tblCellMar>
      </w:tblPr>
      <w:tblGrid>
        <w:gridCol w:w="3571"/>
        <w:gridCol w:w="3328"/>
      </w:tblGrid>
      <w:tr>
        <w:tblPrEx>
          <w:tblCellMar>
            <w:top w:w="0" w:type="dxa"/>
            <w:left w:w="108" w:type="dxa"/>
            <w:bottom w:w="0" w:type="dxa"/>
            <w:right w:w="108" w:type="dxa"/>
          </w:tblCellMar>
        </w:tblPrEx>
        <w:trPr>
          <w:trHeight w:val="340" w:hRule="atLeast"/>
          <w:jc w:val="center"/>
        </w:trPr>
        <w:tc>
          <w:tcPr>
            <w:tcW w:w="3571" w:type="dxa"/>
            <w:tcBorders>
              <w:top w:val="single" w:color="auto" w:sz="12" w:space="0"/>
              <w:left w:val="nil"/>
              <w:bottom w:val="single" w:color="auto" w:sz="6" w:space="0"/>
              <w:right w:val="single" w:color="7F7F7F" w:sz="4" w:space="0"/>
            </w:tcBorders>
            <w:noWrap w:val="0"/>
            <w:vAlign w:val="center"/>
          </w:tcPr>
          <w:p>
            <w:pPr>
              <w:jc w:val="center"/>
              <w:rPr>
                <w:rFonts w:hint="eastAsia" w:eastAsia="等线"/>
                <w:b/>
                <w:bCs/>
                <w:caps/>
                <w:kern w:val="0"/>
                <w:sz w:val="20"/>
                <w:szCs w:val="20"/>
                <w:lang w:eastAsia="zh-CN"/>
              </w:rPr>
            </w:pPr>
            <w:r>
              <w:rPr>
                <w:rFonts w:hint="eastAsia"/>
                <w:b/>
                <w:bCs/>
                <w:caps/>
                <w:kern w:val="0"/>
                <w:sz w:val="20"/>
                <w:szCs w:val="20"/>
                <w:lang w:eastAsia="zh-CN"/>
              </w:rPr>
              <w:t>年</w:t>
            </w:r>
            <w:r>
              <w:rPr>
                <w:rFonts w:hint="eastAsia"/>
                <w:b/>
                <w:bCs/>
                <w:caps/>
                <w:kern w:val="0"/>
                <w:sz w:val="20"/>
                <w:szCs w:val="20"/>
                <w:lang w:val="en-US" w:eastAsia="zh-CN"/>
              </w:rPr>
              <w:t xml:space="preserve">  </w:t>
            </w:r>
            <w:r>
              <w:rPr>
                <w:rFonts w:hint="eastAsia"/>
                <w:b/>
                <w:bCs/>
                <w:caps/>
                <w:kern w:val="0"/>
                <w:sz w:val="20"/>
                <w:szCs w:val="20"/>
                <w:lang w:eastAsia="zh-CN"/>
              </w:rPr>
              <w:t>份</w:t>
            </w:r>
          </w:p>
        </w:tc>
        <w:tc>
          <w:tcPr>
            <w:tcW w:w="3328" w:type="dxa"/>
            <w:tcBorders>
              <w:top w:val="single" w:color="auto" w:sz="12" w:space="0"/>
              <w:left w:val="nil"/>
              <w:bottom w:val="single" w:color="auto" w:sz="6" w:space="0"/>
              <w:right w:val="nil"/>
            </w:tcBorders>
            <w:noWrap w:val="0"/>
            <w:vAlign w:val="center"/>
          </w:tcPr>
          <w:p>
            <w:pPr>
              <w:jc w:val="center"/>
              <w:rPr>
                <w:rFonts w:hint="eastAsia" w:eastAsia="等线"/>
                <w:b/>
                <w:caps/>
                <w:kern w:val="0"/>
                <w:sz w:val="20"/>
                <w:szCs w:val="20"/>
                <w:lang w:eastAsia="zh-CN"/>
              </w:rPr>
            </w:pPr>
            <w:r>
              <w:rPr>
                <w:rFonts w:hint="eastAsia"/>
                <w:b/>
                <w:caps/>
                <w:kern w:val="0"/>
                <w:sz w:val="20"/>
                <w:szCs w:val="20"/>
                <w:lang w:eastAsia="zh-CN"/>
              </w:rPr>
              <w:t>支</w:t>
            </w:r>
            <w:r>
              <w:rPr>
                <w:rFonts w:hint="eastAsia"/>
                <w:b/>
                <w:caps/>
                <w:kern w:val="0"/>
                <w:sz w:val="20"/>
                <w:szCs w:val="20"/>
                <w:lang w:val="en-US" w:eastAsia="zh-CN"/>
              </w:rPr>
              <w:t xml:space="preserve">  </w:t>
            </w:r>
            <w:r>
              <w:rPr>
                <w:rFonts w:hint="eastAsia"/>
                <w:b/>
                <w:caps/>
                <w:kern w:val="0"/>
                <w:sz w:val="20"/>
                <w:szCs w:val="20"/>
                <w:lang w:eastAsia="zh-CN"/>
              </w:rPr>
              <w:t>出</w:t>
            </w:r>
          </w:p>
        </w:tc>
      </w:tr>
      <w:tr>
        <w:tblPrEx>
          <w:tblCellMar>
            <w:top w:w="0" w:type="dxa"/>
            <w:left w:w="108" w:type="dxa"/>
            <w:bottom w:w="0" w:type="dxa"/>
            <w:right w:w="108" w:type="dxa"/>
          </w:tblCellMar>
        </w:tblPrEx>
        <w:trPr>
          <w:trHeight w:val="553" w:hRule="atLeast"/>
          <w:jc w:val="center"/>
        </w:trPr>
        <w:tc>
          <w:tcPr>
            <w:tcW w:w="3571" w:type="dxa"/>
            <w:tcBorders>
              <w:top w:val="single" w:color="auto" w:sz="6" w:space="0"/>
              <w:left w:val="nil"/>
              <w:bottom w:val="nil"/>
              <w:right w:val="single" w:color="7F7F7F" w:sz="4" w:space="0"/>
            </w:tcBorders>
            <w:noWrap w:val="0"/>
            <w:vAlign w:val="center"/>
          </w:tcPr>
          <w:p>
            <w:pPr>
              <w:jc w:val="center"/>
              <w:rPr>
                <w:rFonts w:hint="default" w:eastAsia="等线"/>
                <w:b w:val="0"/>
                <w:bCs/>
                <w:caps w:val="0"/>
                <w:kern w:val="0"/>
                <w:sz w:val="20"/>
                <w:szCs w:val="20"/>
                <w:lang w:val="en-US" w:eastAsia="zh-CN"/>
              </w:rPr>
            </w:pPr>
            <w:r>
              <w:rPr>
                <w:rFonts w:hint="eastAsia" w:ascii="等线" w:hAnsi="等线" w:eastAsia="等线" w:cs="Times New Roman"/>
                <w:b/>
                <w:bCs/>
                <w:caps/>
                <w:kern w:val="0"/>
                <w:sz w:val="20"/>
                <w:szCs w:val="20"/>
                <w:lang w:val="en-US" w:eastAsia="zh-CN" w:bidi="ar"/>
              </w:rPr>
              <w:t>2018</w:t>
            </w:r>
          </w:p>
        </w:tc>
        <w:tc>
          <w:tcPr>
            <w:tcW w:w="3328" w:type="dxa"/>
            <w:tcBorders>
              <w:top w:val="single" w:color="auto" w:sz="6" w:space="0"/>
              <w:left w:val="nil"/>
              <w:bottom w:val="nil"/>
              <w:right w:val="nil"/>
            </w:tcBorders>
            <w:noWrap w:val="0"/>
            <w:vAlign w:val="center"/>
          </w:tcPr>
          <w:p>
            <w:pPr>
              <w:jc w:val="center"/>
              <w:rPr>
                <w:rFonts w:hint="default" w:eastAsia="等线"/>
                <w:kern w:val="0"/>
                <w:sz w:val="20"/>
                <w:szCs w:val="20"/>
                <w:lang w:val="en-US" w:eastAsia="zh-CN"/>
              </w:rPr>
            </w:pPr>
            <w:r>
              <w:rPr>
                <w:rFonts w:hint="eastAsia" w:ascii="等线" w:hAnsi="等线" w:eastAsia="等线" w:cs="Times New Roman"/>
                <w:kern w:val="0"/>
                <w:sz w:val="20"/>
                <w:szCs w:val="20"/>
                <w:lang w:val="en-US" w:eastAsia="zh-CN" w:bidi="ar"/>
              </w:rPr>
              <w:t>1118.18</w:t>
            </w:r>
          </w:p>
        </w:tc>
      </w:tr>
      <w:tr>
        <w:tblPrEx>
          <w:tblCellMar>
            <w:top w:w="0" w:type="dxa"/>
            <w:left w:w="108" w:type="dxa"/>
            <w:bottom w:w="0" w:type="dxa"/>
            <w:right w:w="108" w:type="dxa"/>
          </w:tblCellMar>
        </w:tblPrEx>
        <w:trPr>
          <w:trHeight w:val="540" w:hRule="atLeast"/>
          <w:jc w:val="center"/>
        </w:trPr>
        <w:tc>
          <w:tcPr>
            <w:tcW w:w="3571" w:type="dxa"/>
            <w:tcBorders>
              <w:top w:val="nil"/>
              <w:left w:val="nil"/>
              <w:bottom w:val="nil"/>
              <w:right w:val="single" w:color="7F7F7F" w:sz="4" w:space="0"/>
            </w:tcBorders>
            <w:noWrap w:val="0"/>
            <w:vAlign w:val="center"/>
          </w:tcPr>
          <w:p>
            <w:pPr>
              <w:jc w:val="center"/>
              <w:rPr>
                <w:rFonts w:hint="default"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2019</w:t>
            </w:r>
          </w:p>
        </w:tc>
        <w:tc>
          <w:tcPr>
            <w:tcW w:w="3328" w:type="dxa"/>
            <w:tcBorders>
              <w:top w:val="nil"/>
              <w:left w:val="nil"/>
              <w:bottom w:val="nil"/>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1152.95</w:t>
            </w:r>
          </w:p>
        </w:tc>
      </w:tr>
      <w:tr>
        <w:tblPrEx>
          <w:tblCellMar>
            <w:top w:w="0" w:type="dxa"/>
            <w:left w:w="108" w:type="dxa"/>
            <w:bottom w:w="0" w:type="dxa"/>
            <w:right w:w="108" w:type="dxa"/>
          </w:tblCellMar>
        </w:tblPrEx>
        <w:trPr>
          <w:trHeight w:val="581" w:hRule="atLeast"/>
          <w:jc w:val="center"/>
        </w:trPr>
        <w:tc>
          <w:tcPr>
            <w:tcW w:w="3571" w:type="dxa"/>
            <w:tcBorders>
              <w:top w:val="nil"/>
              <w:left w:val="nil"/>
              <w:bottom w:val="single" w:color="auto" w:sz="12" w:space="0"/>
              <w:right w:val="single" w:color="7F7F7F" w:sz="4" w:space="0"/>
            </w:tcBorders>
            <w:noWrap w:val="0"/>
            <w:vAlign w:val="center"/>
          </w:tcPr>
          <w:p>
            <w:pPr>
              <w:jc w:val="center"/>
              <w:rPr>
                <w:rFonts w:hint="eastAsia" w:ascii="等线" w:hAnsi="等线" w:eastAsia="等线" w:cs="Times New Roman"/>
                <w:b/>
                <w:bCs/>
                <w:caps/>
                <w:kern w:val="0"/>
                <w:sz w:val="20"/>
                <w:szCs w:val="20"/>
                <w:lang w:val="en-US" w:eastAsia="zh-CN" w:bidi="ar"/>
              </w:rPr>
            </w:pPr>
            <w:r>
              <w:rPr>
                <w:rFonts w:hint="eastAsia" w:ascii="等线" w:hAnsi="等线" w:eastAsia="等线" w:cs="Times New Roman"/>
                <w:b/>
                <w:bCs/>
                <w:caps/>
                <w:kern w:val="0"/>
                <w:sz w:val="20"/>
                <w:szCs w:val="20"/>
                <w:lang w:val="en-US" w:eastAsia="zh-CN" w:bidi="ar"/>
              </w:rPr>
              <w:t>增幅</w:t>
            </w:r>
          </w:p>
        </w:tc>
        <w:tc>
          <w:tcPr>
            <w:tcW w:w="3328" w:type="dxa"/>
            <w:tcBorders>
              <w:top w:val="nil"/>
              <w:left w:val="nil"/>
              <w:bottom w:val="single" w:color="auto" w:sz="12" w:space="0"/>
              <w:right w:val="nil"/>
            </w:tcBorders>
            <w:noWrap w:val="0"/>
            <w:vAlign w:val="center"/>
          </w:tcPr>
          <w:p>
            <w:pPr>
              <w:jc w:val="center"/>
              <w:rPr>
                <w:rFonts w:hint="default" w:ascii="等线" w:hAnsi="等线" w:eastAsia="等线" w:cs="Times New Roman"/>
                <w:kern w:val="0"/>
                <w:sz w:val="20"/>
                <w:szCs w:val="20"/>
                <w:lang w:val="en-US" w:eastAsia="zh-CN" w:bidi="ar"/>
              </w:rPr>
            </w:pPr>
            <w:r>
              <w:rPr>
                <w:rFonts w:hint="eastAsia" w:ascii="等线" w:hAnsi="等线" w:eastAsia="等线" w:cs="Times New Roman"/>
                <w:kern w:val="0"/>
                <w:sz w:val="20"/>
                <w:szCs w:val="20"/>
                <w:lang w:val="en-US" w:eastAsia="zh-CN" w:bidi="ar"/>
              </w:rPr>
              <w:t>34.77</w:t>
            </w:r>
          </w:p>
        </w:tc>
      </w:tr>
    </w:tbl>
    <w:p>
      <w:pPr>
        <w:spacing w:line="220" w:lineRule="atLeast"/>
        <w:ind w:firstLine="643" w:firstLineChars="200"/>
        <w:rPr>
          <w:rFonts w:hint="eastAsia" w:ascii="仿宋" w:hAnsi="仿宋" w:eastAsia="仿宋"/>
          <w:b/>
          <w:bCs/>
          <w:sz w:val="32"/>
          <w:szCs w:val="32"/>
          <w:lang w:eastAsia="zh-CN"/>
        </w:rPr>
      </w:pPr>
    </w:p>
    <w:p>
      <w:pPr>
        <w:spacing w:line="220" w:lineRule="atLeast"/>
        <w:ind w:firstLine="643" w:firstLineChars="200"/>
        <w:rPr>
          <w:rFonts w:hint="eastAsia" w:ascii="仿宋" w:hAnsi="仿宋" w:eastAsia="仿宋"/>
          <w:b/>
          <w:bCs/>
          <w:sz w:val="32"/>
          <w:szCs w:val="32"/>
          <w:lang w:eastAsia="zh-CN"/>
        </w:rPr>
      </w:pPr>
    </w:p>
    <w:p>
      <w:pPr>
        <w:spacing w:line="220" w:lineRule="atLeast"/>
        <w:ind w:firstLine="643" w:firstLineChars="200"/>
        <w:rPr>
          <w:rFonts w:hint="eastAsia" w:ascii="仿宋" w:hAnsi="仿宋" w:eastAsia="仿宋"/>
          <w:b/>
          <w:bCs/>
          <w:sz w:val="32"/>
          <w:szCs w:val="32"/>
          <w:lang w:eastAsia="zh-CN"/>
        </w:rPr>
      </w:pPr>
    </w:p>
    <w:p>
      <w:pPr>
        <w:spacing w:line="220" w:lineRule="atLeast"/>
        <w:ind w:firstLine="643" w:firstLineChars="200"/>
        <w:rPr>
          <w:rFonts w:hint="eastAsia" w:ascii="仿宋" w:hAnsi="仿宋" w:eastAsia="仿宋"/>
          <w:b/>
          <w:bCs/>
          <w:sz w:val="32"/>
          <w:szCs w:val="32"/>
          <w:lang w:eastAsia="zh-CN"/>
        </w:rPr>
      </w:pPr>
    </w:p>
    <w:p>
      <w:pPr>
        <w:spacing w:line="220" w:lineRule="atLeast"/>
        <w:ind w:firstLine="643" w:firstLineChars="200"/>
        <w:rPr>
          <w:rFonts w:hint="eastAsia" w:ascii="仿宋" w:hAnsi="仿宋" w:eastAsia="仿宋"/>
          <w:b/>
          <w:bCs/>
          <w:sz w:val="32"/>
          <w:szCs w:val="32"/>
          <w:lang w:eastAsia="zh-CN"/>
        </w:rPr>
      </w:pPr>
    </w:p>
    <w:p>
      <w:pPr>
        <w:spacing w:line="220" w:lineRule="atLeas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（二）财政拨款支出决算具体情况说明</w:t>
      </w:r>
    </w:p>
    <w:p>
      <w:pPr>
        <w:spacing w:line="220" w:lineRule="atLeast"/>
        <w:ind w:firstLine="640" w:firstLineChars="200"/>
        <w:rPr>
          <w:rFonts w:hint="eastAsia" w:ascii="仿宋" w:hAnsi="仿宋" w:eastAsia="仿宋"/>
          <w:sz w:val="32"/>
          <w:szCs w:val="32"/>
        </w:rPr>
      </w:pPr>
      <w:r>
        <w:rPr>
          <w:rFonts w:hint="eastAsia" w:ascii="仿宋" w:hAnsi="仿宋" w:eastAsia="仿宋"/>
          <w:sz w:val="32"/>
          <w:szCs w:val="32"/>
          <w:lang w:eastAsia="zh-CN"/>
        </w:rPr>
        <w:t>201</w:t>
      </w:r>
      <w:r>
        <w:rPr>
          <w:rFonts w:hint="eastAsia" w:ascii="仿宋" w:hAnsi="仿宋" w:eastAsia="仿宋"/>
          <w:sz w:val="32"/>
          <w:szCs w:val="32"/>
          <w:lang w:val="en-US" w:eastAsia="zh-CN"/>
        </w:rPr>
        <w:t>9</w:t>
      </w:r>
      <w:r>
        <w:rPr>
          <w:rFonts w:hint="eastAsia" w:ascii="仿宋" w:hAnsi="仿宋" w:eastAsia="仿宋"/>
          <w:sz w:val="32"/>
          <w:szCs w:val="32"/>
        </w:rPr>
        <w:t>年度预算财政拨款支出</w:t>
      </w:r>
      <w:r>
        <w:rPr>
          <w:rFonts w:hint="eastAsia" w:ascii="仿宋" w:hAnsi="仿宋" w:eastAsia="仿宋"/>
          <w:sz w:val="32"/>
          <w:szCs w:val="32"/>
          <w:lang w:eastAsia="zh-CN"/>
        </w:rPr>
        <w:t>年初预算数为</w:t>
      </w:r>
      <w:r>
        <w:rPr>
          <w:rFonts w:hint="eastAsia" w:ascii="仿宋" w:hAnsi="仿宋" w:eastAsia="仿宋"/>
          <w:sz w:val="32"/>
          <w:szCs w:val="32"/>
          <w:lang w:val="en-US" w:eastAsia="zh-CN"/>
        </w:rPr>
        <w:t>875.17</w:t>
      </w:r>
      <w:r>
        <w:rPr>
          <w:rFonts w:hint="eastAsia" w:ascii="仿宋" w:hAnsi="仿宋" w:eastAsia="仿宋"/>
          <w:sz w:val="32"/>
          <w:szCs w:val="32"/>
        </w:rPr>
        <w:t>万元，</w:t>
      </w:r>
      <w:r>
        <w:rPr>
          <w:rFonts w:hint="eastAsia" w:ascii="仿宋" w:hAnsi="仿宋" w:eastAsia="仿宋"/>
          <w:sz w:val="32"/>
          <w:szCs w:val="32"/>
          <w:lang w:eastAsia="zh-CN"/>
        </w:rPr>
        <w:t>支出决算数为</w:t>
      </w:r>
      <w:r>
        <w:rPr>
          <w:rFonts w:hint="eastAsia" w:ascii="仿宋" w:hAnsi="仿宋" w:eastAsia="仿宋"/>
          <w:sz w:val="32"/>
          <w:szCs w:val="32"/>
          <w:lang w:val="en-US" w:eastAsia="zh-CN"/>
        </w:rPr>
        <w:t>1152.95万元，完成年初预算数的100%。</w:t>
      </w:r>
      <w:r>
        <w:rPr>
          <w:rFonts w:hint="eastAsia" w:ascii="仿宋" w:hAnsi="仿宋" w:eastAsia="仿宋"/>
          <w:sz w:val="32"/>
          <w:szCs w:val="32"/>
        </w:rPr>
        <w:t>按支出功能科目分，包括:</w:t>
      </w:r>
    </w:p>
    <w:p>
      <w:pPr>
        <w:keepNext w:val="0"/>
        <w:keepLines w:val="0"/>
        <w:pageBreakBefore w:val="0"/>
        <w:widowControl w:val="0"/>
        <w:numPr>
          <w:ilvl w:val="0"/>
          <w:numId w:val="6"/>
        </w:numPr>
        <w:kinsoku/>
        <w:wordWrap/>
        <w:overflowPunct/>
        <w:topLinePunct w:val="0"/>
        <w:autoSpaceDE/>
        <w:autoSpaceDN/>
        <w:bidi w:val="0"/>
        <w:adjustRightInd/>
        <w:snapToGrid/>
        <w:spacing w:line="560" w:lineRule="atLeast"/>
        <w:ind w:firstLine="480" w:firstLineChars="150"/>
        <w:textAlignment w:val="auto"/>
        <w:rPr>
          <w:rFonts w:hint="eastAsia" w:ascii="仿宋" w:hAnsi="仿宋" w:eastAsia="仿宋"/>
          <w:sz w:val="32"/>
          <w:szCs w:val="32"/>
        </w:rPr>
      </w:pPr>
      <w:r>
        <w:rPr>
          <w:rFonts w:hint="eastAsia" w:ascii="仿宋" w:hAnsi="仿宋" w:eastAsia="仿宋"/>
          <w:sz w:val="32"/>
          <w:szCs w:val="32"/>
        </w:rPr>
        <w:t>一般公共服务支出</w:t>
      </w:r>
      <w:r>
        <w:rPr>
          <w:rFonts w:hint="eastAsia" w:ascii="仿宋" w:hAnsi="仿宋" w:eastAsia="仿宋"/>
          <w:sz w:val="32"/>
          <w:szCs w:val="32"/>
          <w:lang w:val="en-US" w:eastAsia="zh-CN"/>
        </w:rPr>
        <w:t>985.8</w:t>
      </w:r>
      <w:r>
        <w:rPr>
          <w:rFonts w:hint="eastAsia" w:ascii="仿宋" w:hAnsi="仿宋" w:eastAsia="仿宋"/>
          <w:sz w:val="32"/>
          <w:szCs w:val="32"/>
        </w:rPr>
        <w:t>万元。其中：行政运行</w:t>
      </w:r>
      <w:r>
        <w:rPr>
          <w:rFonts w:hint="eastAsia" w:ascii="仿宋" w:hAnsi="仿宋" w:eastAsia="仿宋"/>
          <w:sz w:val="32"/>
          <w:szCs w:val="32"/>
          <w:lang w:val="en-US" w:eastAsia="zh-CN"/>
        </w:rPr>
        <w:t>604.38</w:t>
      </w:r>
      <w:r>
        <w:rPr>
          <w:rFonts w:hint="eastAsia" w:ascii="仿宋" w:hAnsi="仿宋" w:eastAsia="仿宋"/>
          <w:sz w:val="32"/>
          <w:szCs w:val="32"/>
        </w:rPr>
        <w:t>万元，主要反映机关人员工资等支出，一般行政管理事务</w:t>
      </w:r>
      <w:r>
        <w:rPr>
          <w:rFonts w:hint="eastAsia" w:ascii="仿宋" w:hAnsi="仿宋" w:eastAsia="仿宋"/>
          <w:sz w:val="32"/>
          <w:szCs w:val="32"/>
          <w:lang w:val="en-US" w:eastAsia="zh-CN"/>
        </w:rPr>
        <w:t>12.35</w:t>
      </w:r>
      <w:r>
        <w:rPr>
          <w:rFonts w:hint="eastAsia" w:ascii="仿宋" w:hAnsi="仿宋" w:eastAsia="仿宋"/>
          <w:sz w:val="32"/>
          <w:szCs w:val="32"/>
        </w:rPr>
        <w:t>万元，主要反映市场和机关日常运行等支出</w:t>
      </w:r>
      <w:r>
        <w:rPr>
          <w:rFonts w:hint="eastAsia" w:ascii="仿宋" w:hAnsi="仿宋" w:eastAsia="仿宋"/>
          <w:sz w:val="32"/>
          <w:szCs w:val="32"/>
          <w:lang w:eastAsia="zh-CN"/>
        </w:rPr>
        <w:t>；</w:t>
      </w:r>
      <w:r>
        <w:rPr>
          <w:rFonts w:hint="eastAsia" w:ascii="仿宋" w:hAnsi="仿宋" w:eastAsia="仿宋"/>
          <w:sz w:val="32"/>
          <w:szCs w:val="32"/>
        </w:rPr>
        <w:t>其他政府办公厅（室）及相关机构事务支出</w:t>
      </w:r>
      <w:r>
        <w:rPr>
          <w:rFonts w:hint="eastAsia" w:ascii="仿宋" w:hAnsi="仿宋" w:eastAsia="仿宋"/>
          <w:sz w:val="32"/>
          <w:szCs w:val="32"/>
          <w:lang w:val="en-US" w:eastAsia="zh-CN"/>
        </w:rPr>
        <w:t>97万元，</w:t>
      </w:r>
      <w:r>
        <w:rPr>
          <w:rFonts w:hint="eastAsia" w:ascii="仿宋" w:hAnsi="仿宋" w:eastAsia="仿宋"/>
          <w:sz w:val="32"/>
          <w:szCs w:val="32"/>
        </w:rPr>
        <w:t>内容为</w:t>
      </w:r>
      <w:r>
        <w:rPr>
          <w:rFonts w:hint="eastAsia" w:ascii="仿宋" w:hAnsi="仿宋" w:eastAsia="仿宋"/>
          <w:sz w:val="32"/>
          <w:szCs w:val="32"/>
          <w:lang w:eastAsia="zh-CN"/>
        </w:rPr>
        <w:t>人员经费、日常公用经费</w:t>
      </w:r>
      <w:r>
        <w:rPr>
          <w:rFonts w:hint="eastAsia" w:ascii="仿宋" w:hAnsi="仿宋" w:eastAsia="仿宋"/>
          <w:sz w:val="32"/>
          <w:szCs w:val="32"/>
        </w:rPr>
        <w:t>；事业运行费</w:t>
      </w:r>
      <w:r>
        <w:rPr>
          <w:rFonts w:hint="eastAsia" w:ascii="仿宋" w:hAnsi="仿宋" w:eastAsia="仿宋"/>
          <w:sz w:val="32"/>
          <w:szCs w:val="32"/>
          <w:lang w:val="en-US" w:eastAsia="zh-CN"/>
        </w:rPr>
        <w:t>272.06</w:t>
      </w:r>
      <w:r>
        <w:rPr>
          <w:rFonts w:hint="eastAsia" w:ascii="仿宋" w:hAnsi="仿宋" w:eastAsia="仿宋"/>
          <w:sz w:val="32"/>
          <w:szCs w:val="32"/>
        </w:rPr>
        <w:t>万元，内容为</w:t>
      </w:r>
      <w:r>
        <w:rPr>
          <w:rFonts w:hint="eastAsia" w:ascii="仿宋" w:hAnsi="仿宋" w:eastAsia="仿宋"/>
          <w:sz w:val="32"/>
          <w:szCs w:val="32"/>
          <w:lang w:eastAsia="zh-CN"/>
        </w:rPr>
        <w:t>治污减霾工作经费、人员经费；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atLeast"/>
        <w:ind w:firstLine="480" w:firstLineChars="150"/>
        <w:textAlignment w:val="auto"/>
        <w:rPr>
          <w:rFonts w:hint="eastAsia" w:ascii="仿宋" w:hAnsi="仿宋" w:eastAsia="仿宋"/>
          <w:sz w:val="32"/>
          <w:szCs w:val="32"/>
        </w:rPr>
      </w:pPr>
      <w:r>
        <w:rPr>
          <w:rFonts w:hint="eastAsia" w:ascii="仿宋" w:hAnsi="仿宋" w:eastAsia="仿宋"/>
          <w:sz w:val="32"/>
          <w:szCs w:val="32"/>
          <w:lang w:eastAsia="zh-CN"/>
        </w:rPr>
        <w:t>城乡社区支出</w:t>
      </w:r>
      <w:r>
        <w:rPr>
          <w:rFonts w:hint="eastAsia" w:ascii="仿宋" w:hAnsi="仿宋" w:eastAsia="仿宋"/>
          <w:sz w:val="32"/>
          <w:szCs w:val="32"/>
          <w:lang w:val="en-US" w:eastAsia="zh-CN"/>
        </w:rPr>
        <w:t>33</w:t>
      </w:r>
      <w:r>
        <w:rPr>
          <w:rFonts w:hint="eastAsia" w:ascii="仿宋" w:hAnsi="仿宋" w:eastAsia="仿宋"/>
          <w:sz w:val="32"/>
          <w:szCs w:val="32"/>
        </w:rPr>
        <w:t>万元，内容为人员工资及办公经费。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atLeast"/>
        <w:ind w:left="0" w:leftChars="0" w:firstLine="480" w:firstLineChars="15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农林水支出</w:t>
      </w:r>
      <w:r>
        <w:rPr>
          <w:rFonts w:hint="eastAsia" w:ascii="仿宋" w:hAnsi="仿宋" w:eastAsia="仿宋"/>
          <w:sz w:val="32"/>
          <w:szCs w:val="32"/>
          <w:lang w:val="en-US" w:eastAsia="zh-CN"/>
        </w:rPr>
        <w:t>63.5</w:t>
      </w:r>
      <w:r>
        <w:rPr>
          <w:rFonts w:hint="eastAsia" w:ascii="仿宋" w:hAnsi="仿宋" w:eastAsia="仿宋"/>
          <w:sz w:val="32"/>
          <w:szCs w:val="32"/>
        </w:rPr>
        <w:t>万元</w:t>
      </w:r>
      <w:r>
        <w:rPr>
          <w:rFonts w:hint="eastAsia" w:ascii="仿宋" w:hAnsi="仿宋" w:eastAsia="仿宋"/>
          <w:sz w:val="32"/>
          <w:szCs w:val="32"/>
          <w:lang w:eastAsia="zh-CN"/>
        </w:rPr>
        <w:t>主要为一事一议项目资金。</w:t>
      </w:r>
    </w:p>
    <w:p>
      <w:pPr>
        <w:keepNext w:val="0"/>
        <w:keepLines w:val="0"/>
        <w:pageBreakBefore w:val="0"/>
        <w:widowControl w:val="0"/>
        <w:numPr>
          <w:ilvl w:val="0"/>
          <w:numId w:val="6"/>
        </w:numPr>
        <w:kinsoku/>
        <w:wordWrap/>
        <w:overflowPunct/>
        <w:topLinePunct w:val="0"/>
        <w:autoSpaceDE/>
        <w:autoSpaceDN/>
        <w:bidi w:val="0"/>
        <w:adjustRightInd/>
        <w:snapToGrid/>
        <w:spacing w:line="560" w:lineRule="atLeast"/>
        <w:ind w:left="0" w:leftChars="0" w:firstLine="480" w:firstLineChars="150"/>
        <w:textAlignment w:val="auto"/>
        <w:rPr>
          <w:rFonts w:hint="eastAsia" w:ascii="仿宋" w:hAnsi="仿宋" w:eastAsia="仿宋"/>
          <w:sz w:val="32"/>
          <w:szCs w:val="32"/>
        </w:rPr>
      </w:pPr>
      <w:r>
        <w:rPr>
          <w:rFonts w:hint="eastAsia" w:ascii="仿宋" w:hAnsi="仿宋" w:eastAsia="仿宋"/>
          <w:sz w:val="32"/>
          <w:szCs w:val="32"/>
          <w:lang w:eastAsia="zh-CN"/>
        </w:rPr>
        <w:t>社会保障和就业</w:t>
      </w:r>
      <w:r>
        <w:rPr>
          <w:rFonts w:hint="eastAsia" w:ascii="仿宋" w:hAnsi="仿宋" w:eastAsia="仿宋"/>
          <w:sz w:val="32"/>
          <w:szCs w:val="32"/>
        </w:rPr>
        <w:t>支出</w:t>
      </w:r>
      <w:r>
        <w:rPr>
          <w:rFonts w:hint="eastAsia" w:ascii="仿宋" w:hAnsi="仿宋" w:eastAsia="仿宋"/>
          <w:sz w:val="32"/>
          <w:szCs w:val="32"/>
          <w:lang w:val="en-US" w:eastAsia="zh-CN"/>
        </w:rPr>
        <w:t>56.03</w:t>
      </w:r>
      <w:r>
        <w:rPr>
          <w:rFonts w:hint="eastAsia" w:ascii="仿宋" w:hAnsi="仿宋" w:eastAsia="仿宋"/>
          <w:sz w:val="32"/>
          <w:szCs w:val="32"/>
        </w:rPr>
        <w:t>万元，</w:t>
      </w:r>
      <w:r>
        <w:rPr>
          <w:rFonts w:hint="eastAsia" w:ascii="仿宋" w:hAnsi="仿宋" w:eastAsia="仿宋"/>
          <w:sz w:val="32"/>
          <w:szCs w:val="32"/>
          <w:lang w:eastAsia="zh-CN"/>
        </w:rPr>
        <w:t>主要为人员社会保险缴费。</w:t>
      </w:r>
    </w:p>
    <w:p>
      <w:pPr>
        <w:pStyle w:val="10"/>
        <w:rPr>
          <w:rFonts w:hint="default"/>
          <w:lang w:val="en-US"/>
        </w:rPr>
      </w:pPr>
      <w:r>
        <w:rPr>
          <w:rFonts w:hint="eastAsia" w:ascii="仿宋" w:hAnsi="仿宋" w:eastAsia="仿宋"/>
          <w:sz w:val="32"/>
          <w:szCs w:val="32"/>
          <w:lang w:val="en-US" w:eastAsia="zh-CN"/>
        </w:rPr>
        <w:t>（5）卫生健康支出14.63万元，主要为国卫复审资金。</w:t>
      </w:r>
    </w:p>
    <w:p>
      <w:pPr>
        <w:keepNext w:val="0"/>
        <w:keepLines w:val="0"/>
        <w:pageBreakBefore w:val="0"/>
        <w:widowControl w:val="0"/>
        <w:kinsoku/>
        <w:wordWrap/>
        <w:overflowPunct/>
        <w:topLinePunct w:val="0"/>
        <w:autoSpaceDE/>
        <w:autoSpaceDN/>
        <w:bidi w:val="0"/>
        <w:adjustRightInd/>
        <w:snapToGrid/>
        <w:spacing w:line="560" w:lineRule="atLeast"/>
        <w:ind w:left="0" w:firstLine="640" w:firstLineChars="200"/>
        <w:jc w:val="left"/>
        <w:textAlignment w:val="auto"/>
        <w:rPr>
          <w:rFonts w:ascii="仿宋" w:hAnsi="仿宋" w:eastAsia="仿宋"/>
          <w:sz w:val="32"/>
          <w:szCs w:val="32"/>
        </w:rPr>
      </w:pPr>
      <w:r>
        <w:rPr>
          <w:rFonts w:hint="eastAsia" w:ascii="仿宋" w:hAnsi="仿宋" w:eastAsia="仿宋"/>
          <w:sz w:val="32"/>
          <w:szCs w:val="32"/>
        </w:rPr>
        <w:drawing>
          <wp:inline distT="0" distB="0" distL="0" distR="0">
            <wp:extent cx="4460240" cy="2384425"/>
            <wp:effectExtent l="4445" t="4445" r="12065"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仿宋" w:hAnsi="仿宋" w:eastAsia="仿宋"/>
          <w:b/>
          <w:bCs/>
          <w:sz w:val="32"/>
          <w:szCs w:val="32"/>
        </w:rPr>
      </w:pPr>
      <w:r>
        <w:rPr>
          <w:rFonts w:hint="eastAsia" w:ascii="仿宋" w:hAnsi="仿宋" w:eastAsia="仿宋"/>
          <w:b/>
          <w:bCs/>
          <w:sz w:val="32"/>
          <w:szCs w:val="32"/>
          <w:lang w:eastAsia="zh-CN"/>
        </w:rPr>
        <w:t>六、</w:t>
      </w:r>
      <w:r>
        <w:rPr>
          <w:rFonts w:hint="eastAsia" w:ascii="仿宋" w:hAnsi="仿宋" w:eastAsia="仿宋"/>
          <w:b/>
          <w:bCs/>
          <w:sz w:val="32"/>
          <w:szCs w:val="32"/>
        </w:rPr>
        <w:t>一般公共预算财政拨款基本支出决算情况</w:t>
      </w:r>
    </w:p>
    <w:p>
      <w:pPr>
        <w:keepNext w:val="0"/>
        <w:keepLines w:val="0"/>
        <w:pageBreakBefore w:val="0"/>
        <w:widowControl w:val="0"/>
        <w:kinsoku/>
        <w:wordWrap/>
        <w:overflowPunct/>
        <w:topLinePunct w:val="0"/>
        <w:autoSpaceDE/>
        <w:autoSpaceDN/>
        <w:bidi w:val="0"/>
        <w:adjustRightInd/>
        <w:snapToGrid/>
        <w:spacing w:line="560" w:lineRule="atLeast"/>
        <w:ind w:firstLine="480" w:firstLineChars="150"/>
        <w:textAlignment w:val="auto"/>
        <w:rPr>
          <w:rFonts w:hint="eastAsia" w:ascii="仿宋" w:hAnsi="仿宋" w:eastAsia="仿宋"/>
          <w:sz w:val="32"/>
          <w:szCs w:val="32"/>
        </w:rPr>
      </w:pPr>
      <w:r>
        <w:rPr>
          <w:rFonts w:hint="eastAsia" w:ascii="仿宋" w:hAnsi="仿宋" w:eastAsia="仿宋"/>
          <w:sz w:val="32"/>
          <w:szCs w:val="32"/>
          <w:lang w:eastAsia="zh-CN"/>
        </w:rPr>
        <w:t>201</w:t>
      </w:r>
      <w:r>
        <w:rPr>
          <w:rFonts w:hint="eastAsia" w:ascii="仿宋" w:hAnsi="仿宋" w:eastAsia="仿宋"/>
          <w:sz w:val="32"/>
          <w:szCs w:val="32"/>
          <w:lang w:val="en-US" w:eastAsia="zh-CN"/>
        </w:rPr>
        <w:t>9</w:t>
      </w:r>
      <w:r>
        <w:rPr>
          <w:rFonts w:hint="eastAsia" w:ascii="仿宋" w:hAnsi="仿宋" w:eastAsia="仿宋"/>
          <w:sz w:val="32"/>
          <w:szCs w:val="32"/>
        </w:rPr>
        <w:t>年度一般公共预算财政拨款基本支出</w:t>
      </w:r>
      <w:r>
        <w:rPr>
          <w:rFonts w:hint="eastAsia" w:ascii="仿宋" w:hAnsi="仿宋" w:eastAsia="仿宋"/>
          <w:sz w:val="32"/>
          <w:szCs w:val="32"/>
          <w:lang w:val="en-US" w:eastAsia="zh-CN"/>
        </w:rPr>
        <w:t>928.1</w:t>
      </w:r>
      <w:r>
        <w:rPr>
          <w:rFonts w:hint="eastAsia" w:ascii="仿宋" w:hAnsi="仿宋" w:eastAsia="仿宋"/>
          <w:sz w:val="32"/>
          <w:szCs w:val="32"/>
        </w:rPr>
        <w:t>万元，其中：人员经费</w:t>
      </w:r>
      <w:r>
        <w:rPr>
          <w:rFonts w:hint="eastAsia" w:ascii="仿宋" w:hAnsi="仿宋" w:eastAsia="仿宋"/>
          <w:sz w:val="32"/>
          <w:szCs w:val="32"/>
          <w:lang w:val="en-US" w:eastAsia="zh-CN"/>
        </w:rPr>
        <w:t>846</w:t>
      </w:r>
      <w:r>
        <w:rPr>
          <w:rFonts w:hint="eastAsia" w:ascii="仿宋" w:hAnsi="仿宋" w:eastAsia="仿宋"/>
          <w:sz w:val="32"/>
          <w:szCs w:val="32"/>
        </w:rPr>
        <w:t>元，公用经费</w:t>
      </w:r>
      <w:r>
        <w:rPr>
          <w:rFonts w:hint="eastAsia" w:ascii="仿宋" w:hAnsi="仿宋" w:eastAsia="仿宋"/>
          <w:sz w:val="32"/>
          <w:szCs w:val="32"/>
          <w:lang w:val="en-US" w:eastAsia="zh-CN"/>
        </w:rPr>
        <w:t>82.12</w:t>
      </w:r>
      <w:r>
        <w:rPr>
          <w:rFonts w:hint="eastAsia" w:ascii="仿宋" w:hAnsi="仿宋" w:eastAsia="仿宋"/>
          <w:sz w:val="32"/>
          <w:szCs w:val="32"/>
        </w:rPr>
        <w:t>万元，用于保障机构正常运转和日常工作需要。</w:t>
      </w:r>
    </w:p>
    <w:p>
      <w:pPr>
        <w:keepNext w:val="0"/>
        <w:keepLines w:val="0"/>
        <w:pageBreakBefore w:val="0"/>
        <w:widowControl w:val="0"/>
        <w:kinsoku/>
        <w:wordWrap/>
        <w:overflowPunct/>
        <w:topLinePunct w:val="0"/>
        <w:autoSpaceDE/>
        <w:autoSpaceDN/>
        <w:bidi w:val="0"/>
        <w:adjustRightInd/>
        <w:snapToGrid/>
        <w:spacing w:line="560" w:lineRule="atLeast"/>
        <w:ind w:firstLine="480" w:firstLineChars="150"/>
        <w:textAlignment w:val="auto"/>
        <w:rPr>
          <w:rFonts w:hint="eastAsia" w:ascii="仿宋" w:hAnsi="仿宋" w:eastAsia="仿宋"/>
          <w:sz w:val="32"/>
          <w:szCs w:val="32"/>
        </w:rPr>
      </w:pPr>
    </w:p>
    <w:p>
      <w:pPr>
        <w:pStyle w:val="10"/>
        <w:rPr>
          <w:rFonts w:hint="eastAsia" w:eastAsia="仿宋"/>
          <w:b/>
          <w:bCs/>
          <w:lang w:eastAsia="zh-CN"/>
        </w:rPr>
      </w:pPr>
      <w:r>
        <w:rPr>
          <w:rFonts w:hint="eastAsia" w:ascii="仿宋" w:hAnsi="仿宋" w:eastAsia="仿宋"/>
          <w:b/>
          <w:bCs/>
          <w:sz w:val="32"/>
          <w:szCs w:val="32"/>
          <w:lang w:eastAsia="zh-CN"/>
        </w:rPr>
        <w:t>七、一般公共预算财政拨款“三公”经费会议费、培训费支出决算情况说明</w:t>
      </w:r>
    </w:p>
    <w:p>
      <w:pPr>
        <w:keepNext w:val="0"/>
        <w:keepLines w:val="0"/>
        <w:pageBreakBefore w:val="0"/>
        <w:widowControl w:val="0"/>
        <w:kinsoku/>
        <w:wordWrap/>
        <w:overflowPunct/>
        <w:topLinePunct w:val="0"/>
        <w:autoSpaceDE/>
        <w:autoSpaceDN/>
        <w:bidi w:val="0"/>
        <w:adjustRightInd/>
        <w:snapToGrid/>
        <w:spacing w:line="560" w:lineRule="atLeast"/>
        <w:ind w:firstLine="803" w:firstLineChars="250"/>
        <w:textAlignment w:val="auto"/>
        <w:rPr>
          <w:rFonts w:hint="eastAsia" w:ascii="仿宋" w:hAnsi="仿宋" w:eastAsia="仿宋"/>
          <w:b/>
          <w:bCs/>
          <w:sz w:val="32"/>
          <w:szCs w:val="32"/>
          <w:lang w:eastAsia="zh-CN"/>
        </w:rPr>
      </w:pPr>
      <w:r>
        <w:rPr>
          <w:rFonts w:hint="eastAsia" w:ascii="仿宋" w:hAnsi="仿宋" w:eastAsia="仿宋"/>
          <w:b/>
          <w:bCs/>
          <w:sz w:val="32"/>
          <w:szCs w:val="32"/>
        </w:rPr>
        <w:t>(</w:t>
      </w:r>
      <w:r>
        <w:rPr>
          <w:rFonts w:hint="eastAsia" w:ascii="仿宋" w:hAnsi="仿宋" w:eastAsia="仿宋"/>
          <w:b/>
          <w:bCs/>
          <w:sz w:val="32"/>
          <w:szCs w:val="32"/>
          <w:lang w:eastAsia="zh-CN"/>
        </w:rPr>
        <w:t>一</w:t>
      </w:r>
      <w:r>
        <w:rPr>
          <w:rFonts w:hint="eastAsia" w:ascii="仿宋" w:hAnsi="仿宋" w:eastAsia="仿宋"/>
          <w:b/>
          <w:bCs/>
          <w:sz w:val="32"/>
          <w:szCs w:val="32"/>
        </w:rPr>
        <w:t>)“三公”经费</w:t>
      </w:r>
      <w:r>
        <w:rPr>
          <w:rFonts w:hint="eastAsia" w:ascii="仿宋" w:hAnsi="仿宋" w:eastAsia="仿宋"/>
          <w:b/>
          <w:bCs/>
          <w:sz w:val="32"/>
          <w:szCs w:val="32"/>
          <w:lang w:eastAsia="zh-CN"/>
        </w:rPr>
        <w:t>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atLeast"/>
        <w:ind w:firstLine="480" w:firstLineChars="150"/>
        <w:textAlignment w:val="auto"/>
        <w:rPr>
          <w:rFonts w:hint="eastAsia" w:ascii="仿宋" w:hAnsi="仿宋" w:eastAsia="仿宋" w:cs="华文仿宋"/>
          <w:sz w:val="32"/>
          <w:szCs w:val="32"/>
          <w:lang w:eastAsia="zh-CN"/>
        </w:rPr>
      </w:pPr>
      <w:r>
        <w:rPr>
          <w:rFonts w:hint="eastAsia" w:ascii="仿宋" w:hAnsi="仿宋" w:eastAsia="仿宋"/>
          <w:sz w:val="32"/>
          <w:szCs w:val="32"/>
          <w:lang w:eastAsia="zh-CN"/>
        </w:rPr>
        <w:t>201</w:t>
      </w:r>
      <w:r>
        <w:rPr>
          <w:rFonts w:hint="eastAsia" w:ascii="仿宋" w:hAnsi="仿宋" w:eastAsia="仿宋"/>
          <w:sz w:val="32"/>
          <w:szCs w:val="32"/>
          <w:lang w:val="en-US" w:eastAsia="zh-CN"/>
        </w:rPr>
        <w:t>9</w:t>
      </w:r>
      <w:r>
        <w:rPr>
          <w:rFonts w:hint="eastAsia" w:ascii="仿宋" w:hAnsi="仿宋" w:eastAsia="仿宋"/>
          <w:sz w:val="32"/>
          <w:szCs w:val="32"/>
        </w:rPr>
        <w:t>年度一般公共预算财政拨款</w:t>
      </w:r>
      <w:r>
        <w:rPr>
          <w:rFonts w:hint="eastAsia" w:ascii="仿宋" w:hAnsi="仿宋" w:eastAsia="仿宋"/>
          <w:sz w:val="32"/>
          <w:szCs w:val="32"/>
          <w:lang w:eastAsia="zh-CN"/>
        </w:rPr>
        <w:t>支出预算数为</w:t>
      </w:r>
      <w:r>
        <w:rPr>
          <w:rFonts w:hint="eastAsia" w:ascii="仿宋" w:hAnsi="仿宋" w:eastAsia="仿宋"/>
          <w:sz w:val="32"/>
          <w:szCs w:val="32"/>
          <w:lang w:val="en-US" w:eastAsia="zh-CN"/>
        </w:rPr>
        <w:t>10.26万元，支出决算数为5.34万元，完成预算的52%，决算数较预算数减少4.92万元，主要原因为</w:t>
      </w:r>
      <w:r>
        <w:rPr>
          <w:rFonts w:hint="eastAsia" w:ascii="仿宋" w:hAnsi="仿宋" w:eastAsia="仿宋" w:cs="华文仿宋"/>
          <w:sz w:val="32"/>
          <w:szCs w:val="32"/>
        </w:rPr>
        <w:t>压缩开支，减少接待数量</w:t>
      </w:r>
      <w:r>
        <w:rPr>
          <w:rFonts w:hint="eastAsia" w:ascii="仿宋" w:hAnsi="仿宋" w:eastAsia="仿宋" w:cs="华文仿宋"/>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atLeast"/>
        <w:ind w:left="0" w:leftChars="0"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rPr>
        <w:t>“三公”经费</w:t>
      </w:r>
      <w:r>
        <w:rPr>
          <w:rFonts w:hint="eastAsia" w:ascii="仿宋" w:hAnsi="仿宋" w:eastAsia="仿宋"/>
          <w:b/>
          <w:bCs/>
          <w:sz w:val="32"/>
          <w:szCs w:val="32"/>
          <w:lang w:eastAsia="zh-CN"/>
        </w:rPr>
        <w:t>财政拨款支出决算总体情况说明。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2019年度“三公”经费财政拨款支出决算中因公出国（境）费支出决算0万元，占0%，公务用车购置费支出0万元，占0%，公务用车运行维护支出决算5.34万元，占100%.</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仿宋" w:hAnsi="仿宋" w:eastAsia="仿宋" w:cs="华文仿宋"/>
          <w:b/>
          <w:bCs/>
          <w:sz w:val="32"/>
          <w:szCs w:val="32"/>
          <w:lang w:val="en-US" w:eastAsia="zh-CN"/>
        </w:rPr>
      </w:pPr>
      <w:r>
        <w:rPr>
          <w:rFonts w:hint="eastAsia" w:ascii="仿宋" w:hAnsi="仿宋" w:eastAsia="仿宋" w:cs="华文仿宋"/>
          <w:b/>
          <w:bCs/>
          <w:sz w:val="32"/>
          <w:szCs w:val="32"/>
          <w:lang w:val="en-US" w:eastAsia="zh-CN"/>
        </w:rPr>
        <w:t>1.因公出国（境）支出情况说明。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2019年无因公出国（境）</w:t>
      </w:r>
    </w:p>
    <w:p>
      <w:pPr>
        <w:pStyle w:val="10"/>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华文仿宋"/>
          <w:b/>
          <w:bCs/>
          <w:sz w:val="32"/>
          <w:szCs w:val="32"/>
          <w:lang w:val="en-US" w:eastAsia="zh-CN"/>
        </w:rPr>
      </w:pPr>
      <w:r>
        <w:rPr>
          <w:rFonts w:hint="eastAsia" w:ascii="仿宋" w:hAnsi="仿宋" w:eastAsia="仿宋" w:cs="华文仿宋"/>
          <w:b/>
          <w:bCs/>
          <w:sz w:val="32"/>
          <w:szCs w:val="32"/>
          <w:lang w:val="en-US" w:eastAsia="zh-CN"/>
        </w:rPr>
        <w:t>公务用车购置费情况说明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2019年未采购公务用车</w:t>
      </w:r>
    </w:p>
    <w:p>
      <w:pPr>
        <w:pStyle w:val="10"/>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华文仿宋"/>
          <w:b/>
          <w:bCs/>
          <w:sz w:val="32"/>
          <w:szCs w:val="32"/>
          <w:lang w:val="en-US" w:eastAsia="zh-CN"/>
        </w:rPr>
      </w:pPr>
      <w:r>
        <w:rPr>
          <w:rFonts w:hint="eastAsia" w:ascii="仿宋" w:hAnsi="仿宋" w:eastAsia="仿宋" w:cs="华文仿宋"/>
          <w:b/>
          <w:bCs/>
          <w:sz w:val="32"/>
          <w:szCs w:val="32"/>
          <w:lang w:val="en-US" w:eastAsia="zh-CN"/>
        </w:rPr>
        <w:t>公务用车运行维护费用支出情况说明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2019年度公务用车运行维护费预算为5.7万元支出决算数为5.34万元，完成预算的93.7%，决算数较预算数减少0.36万元，主要原因为缩减开支。</w:t>
      </w:r>
    </w:p>
    <w:p>
      <w:pPr>
        <w:pStyle w:val="10"/>
        <w:keepNext w:val="0"/>
        <w:keepLines w:val="0"/>
        <w:pageBreakBefore w:val="0"/>
        <w:widowControl w:val="0"/>
        <w:numPr>
          <w:ilvl w:val="0"/>
          <w:numId w:val="3"/>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华文仿宋"/>
          <w:b/>
          <w:bCs/>
          <w:sz w:val="32"/>
          <w:szCs w:val="32"/>
          <w:lang w:val="en-US" w:eastAsia="zh-CN"/>
        </w:rPr>
      </w:pPr>
      <w:r>
        <w:rPr>
          <w:rFonts w:hint="eastAsia" w:ascii="仿宋" w:hAnsi="仿宋" w:eastAsia="仿宋" w:cs="华文仿宋"/>
          <w:b/>
          <w:bCs/>
          <w:sz w:val="32"/>
          <w:szCs w:val="32"/>
          <w:lang w:val="en-US" w:eastAsia="zh-CN"/>
        </w:rPr>
        <w:t>公务接待费支出情况说明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2019年无公务接待支出</w:t>
      </w:r>
    </w:p>
    <w:p>
      <w:pPr>
        <w:pStyle w:val="10"/>
        <w:keepNext w:val="0"/>
        <w:keepLines w:val="0"/>
        <w:pageBreakBefore w:val="0"/>
        <w:widowControl w:val="0"/>
        <w:numPr>
          <w:ilvl w:val="0"/>
          <w:numId w:val="5"/>
        </w:numPr>
        <w:kinsoku/>
        <w:wordWrap/>
        <w:overflowPunct/>
        <w:topLinePunct w:val="0"/>
        <w:autoSpaceDE/>
        <w:autoSpaceDN/>
        <w:bidi w:val="0"/>
        <w:adjustRightInd/>
        <w:snapToGrid/>
        <w:ind w:left="0" w:leftChars="0" w:firstLine="643" w:firstLineChars="200"/>
        <w:textAlignment w:val="auto"/>
        <w:rPr>
          <w:rFonts w:hint="default" w:ascii="仿宋" w:hAnsi="仿宋" w:eastAsia="仿宋"/>
          <w:b/>
          <w:bCs/>
          <w:sz w:val="32"/>
          <w:szCs w:val="32"/>
          <w:lang w:val="en-US" w:eastAsia="zh-CN"/>
        </w:rPr>
      </w:pPr>
      <w:r>
        <w:rPr>
          <w:rFonts w:hint="eastAsia" w:ascii="仿宋" w:hAnsi="仿宋" w:eastAsia="仿宋"/>
          <w:b/>
          <w:bCs/>
          <w:sz w:val="32"/>
          <w:szCs w:val="32"/>
          <w:lang w:eastAsia="zh-CN"/>
        </w:rPr>
        <w:t>培训费支出情况说明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2019年度无培训支出</w:t>
      </w:r>
    </w:p>
    <w:p>
      <w:pPr>
        <w:pStyle w:val="10"/>
        <w:keepNext w:val="0"/>
        <w:keepLines w:val="0"/>
        <w:pageBreakBefore w:val="0"/>
        <w:widowControl w:val="0"/>
        <w:numPr>
          <w:ilvl w:val="0"/>
          <w:numId w:val="5"/>
        </w:numPr>
        <w:kinsoku/>
        <w:wordWrap/>
        <w:overflowPunct/>
        <w:topLinePunct w:val="0"/>
        <w:autoSpaceDE/>
        <w:autoSpaceDN/>
        <w:bidi w:val="0"/>
        <w:adjustRightInd/>
        <w:snapToGrid/>
        <w:ind w:left="0" w:leftChars="0" w:firstLine="643" w:firstLineChars="200"/>
        <w:jc w:val="both"/>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会议费支出情况说明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2019年无会议费支出</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华文仿宋"/>
          <w:color w:val="000000"/>
          <w:sz w:val="32"/>
          <w:szCs w:val="32"/>
        </w:rPr>
      </w:pPr>
      <w:r>
        <w:rPr>
          <w:rFonts w:hint="eastAsia" w:ascii="仿宋" w:hAnsi="仿宋" w:eastAsia="仿宋"/>
          <w:b/>
          <w:bCs/>
          <w:sz w:val="32"/>
          <w:szCs w:val="32"/>
          <w:lang w:val="en-US" w:eastAsia="zh-CN"/>
        </w:rPr>
        <w:t>八、政府基金预算财政拨款收入支出情况说明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华文仿宋"/>
          <w:color w:val="000000"/>
          <w:sz w:val="32"/>
          <w:szCs w:val="32"/>
        </w:rPr>
      </w:pPr>
      <w:r>
        <w:rPr>
          <w:rFonts w:hint="eastAsia" w:ascii="仿宋" w:hAnsi="仿宋" w:eastAsia="仿宋" w:cs="华文仿宋"/>
          <w:color w:val="000000"/>
          <w:sz w:val="32"/>
          <w:szCs w:val="32"/>
        </w:rPr>
        <w:t>本部门无政府性基金决算收支，并已公开空表</w:t>
      </w:r>
    </w:p>
    <w:p>
      <w:pPr>
        <w:pStyle w:val="10"/>
        <w:keepNext w:val="0"/>
        <w:keepLines w:val="0"/>
        <w:pageBreakBefore w:val="0"/>
        <w:widowControl w:val="0"/>
        <w:numPr>
          <w:ilvl w:val="0"/>
          <w:numId w:val="7"/>
        </w:numPr>
        <w:kinsoku/>
        <w:wordWrap/>
        <w:overflowPunct/>
        <w:topLinePunct w:val="0"/>
        <w:autoSpaceDE/>
        <w:autoSpaceDN/>
        <w:bidi w:val="0"/>
        <w:adjustRightInd/>
        <w:snapToGrid/>
        <w:ind w:left="481" w:leftChars="0" w:firstLine="0" w:firstLineChars="0"/>
        <w:jc w:val="left"/>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国有资本经营财政拨款收入支出情况说明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left="481" w:leftChars="0"/>
        <w:jc w:val="left"/>
        <w:textAlignment w:val="auto"/>
        <w:rPr>
          <w:rFonts w:hint="eastAsia" w:ascii="仿宋" w:hAnsi="仿宋" w:eastAsia="仿宋"/>
          <w:sz w:val="32"/>
          <w:szCs w:val="32"/>
        </w:rPr>
      </w:pPr>
      <w:r>
        <w:rPr>
          <w:rFonts w:hint="eastAsia" w:ascii="仿宋" w:hAnsi="仿宋" w:eastAsia="仿宋"/>
          <w:sz w:val="32"/>
          <w:szCs w:val="32"/>
        </w:rPr>
        <w:t>本部门无国有资本经营决算拨款收支</w:t>
      </w:r>
    </w:p>
    <w:p>
      <w:pPr>
        <w:pStyle w:val="10"/>
        <w:keepNext w:val="0"/>
        <w:keepLines w:val="0"/>
        <w:pageBreakBefore w:val="0"/>
        <w:widowControl w:val="0"/>
        <w:numPr>
          <w:ilvl w:val="0"/>
          <w:numId w:val="7"/>
        </w:numPr>
        <w:kinsoku/>
        <w:wordWrap/>
        <w:overflowPunct/>
        <w:topLinePunct w:val="0"/>
        <w:autoSpaceDE/>
        <w:autoSpaceDN/>
        <w:bidi w:val="0"/>
        <w:adjustRightInd/>
        <w:snapToGrid/>
        <w:ind w:left="481" w:leftChars="0" w:firstLine="0" w:firstLineChars="0"/>
        <w:jc w:val="left"/>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预算绩效情况说明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left="481" w:leftChars="0"/>
        <w:jc w:val="left"/>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（一）预算绩效管理工作开展情况说明</w:t>
      </w:r>
    </w:p>
    <w:p>
      <w:pPr>
        <w:pStyle w:val="10"/>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根据预算绩效管理要求本部门组织对2019年一般公共预算4个项目支出开展了绩效自评，共涉及资金190.6万元，占一般公共预算项目支出总额的100%。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sz w:val="32"/>
          <w:szCs w:val="32"/>
          <w:lang w:val="en-US" w:eastAsia="zh-CN"/>
        </w:rPr>
        <w:t>190.6</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b/>
          <w:bCs/>
          <w:color w:val="000000"/>
          <w:kern w:val="0"/>
          <w:sz w:val="31"/>
          <w:szCs w:val="31"/>
          <w:lang w:eastAsia="zh-CN" w:bidi="ar"/>
        </w:rPr>
        <w:t>一事一议工作经费</w:t>
      </w:r>
      <w:r>
        <w:rPr>
          <w:rFonts w:ascii="仿宋_GB2312" w:hAnsi="仿宋_GB2312" w:eastAsia="仿宋_GB2312" w:cs="仿宋_GB2312"/>
          <w:b/>
          <w:bCs/>
          <w:color w:val="000000"/>
          <w:kern w:val="0"/>
          <w:sz w:val="31"/>
          <w:szCs w:val="31"/>
          <w:lang w:bidi="ar"/>
        </w:rPr>
        <w:t>项目</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10</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通过一事一议项目建设，进一步提升我街办环卫质量、完善基础设施建设、提高人民生活水平。</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一事一议项目资金有限，只能解决最急迫的群众需求，不能全部解决问题</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积极争取上级补助资金，解决群众更多的需求上的问题，改善村内的基础设施建设</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b/>
          <w:bCs/>
          <w:color w:val="000000"/>
          <w:kern w:val="0"/>
          <w:sz w:val="31"/>
          <w:szCs w:val="31"/>
          <w:lang w:eastAsia="zh-CN" w:bidi="ar"/>
        </w:rPr>
        <w:t>治污减霾经费</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用于街办内环境的保护工作经费，保证群众拥有良好的生活工作环境；2019年，全区优良天数达到257天，细颗粒物（PM2.5)浓度达到54微克/立方米，可吸入颗粒物(PM10)浓度达到116微克/立方米。</w:t>
      </w:r>
    </w:p>
    <w:p>
      <w:pPr>
        <w:keepNext w:val="0"/>
        <w:keepLines w:val="0"/>
        <w:pageBreakBefore w:val="0"/>
        <w:widowControl/>
        <w:kinsoku/>
        <w:wordWrap/>
        <w:overflowPunct/>
        <w:topLinePunct w:val="0"/>
        <w:autoSpaceDE/>
        <w:autoSpaceDN/>
        <w:bidi w:val="0"/>
        <w:adjustRightInd/>
        <w:snapToGrid/>
        <w:spacing w:line="560" w:lineRule="exact"/>
        <w:ind w:left="614" w:leftChars="192" w:firstLine="0" w:firstLineChars="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群众自我参与意思薄弱，行动感较差。</w:t>
      </w: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正确引导群众提高治污减霾思想意识，</w:t>
      </w:r>
    </w:p>
    <w:p>
      <w:pPr>
        <w:keepNext w:val="0"/>
        <w:keepLines w:val="0"/>
        <w:pageBreakBefore w:val="0"/>
        <w:widowControl/>
        <w:tabs>
          <w:tab w:val="left" w:pos="366"/>
        </w:tabs>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eastAsia="zh-CN" w:bidi="ar"/>
        </w:rPr>
        <w:t>参与到治污减霾行动中来，自觉养成爱护环境的习惯。</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b/>
          <w:bCs/>
          <w:color w:val="000000"/>
          <w:kern w:val="0"/>
          <w:sz w:val="31"/>
          <w:szCs w:val="31"/>
          <w:lang w:eastAsia="zh-CN" w:bidi="ar"/>
        </w:rPr>
        <w:t>综治维稳项目</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13</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 xml:space="preserve">化解重大矛盾纠纷和不稳定因素，最大限度的将问题解决在基层。同时提升街办内群众的平安建设意识，在敏感期间做好社会治安综合治理工作。 </w:t>
      </w:r>
    </w:p>
    <w:p>
      <w:pPr>
        <w:ind w:firstLine="620" w:firstLineChars="200"/>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综治维稳宣传手段多元化有待加强；未能广泛征集社会意见，只限于讲座、宣传册等手段，传统单一。</w:t>
      </w:r>
    </w:p>
    <w:p>
      <w:pPr>
        <w:ind w:firstLine="620" w:firstLineChars="200"/>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强化资金管理使用效果，提高资金使用效率，突出以结果为导向的预算，促进项目管理的科学化、精细化、合理化。</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b/>
          <w:bCs/>
          <w:color w:val="000000"/>
          <w:kern w:val="0"/>
          <w:sz w:val="31"/>
          <w:szCs w:val="31"/>
          <w:lang w:eastAsia="zh-CN" w:bidi="ar"/>
        </w:rPr>
        <w:t>复转军人补助</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93</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75.6</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75.6</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 xml:space="preserve">用于单位复转军人工资、五险一金等费用，保障他人基本生活。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随着复转军人待遇的提升，相对的人员经费增加，但是财政预算保持不变造成街办资金紧张</w:t>
      </w:r>
      <w:r>
        <w:rPr>
          <w:rFonts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积极争取上级资金，保障复转军人的工资日常发放。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842.17</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1119.95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132</w:t>
      </w:r>
      <w:r>
        <w:rPr>
          <w:rFonts w:ascii="仿宋_GB2312" w:hAnsi="仿宋_GB2312" w:eastAsia="仿宋_GB2312" w:cs="仿宋_GB2312"/>
          <w:color w:val="000000"/>
          <w:kern w:val="0"/>
          <w:sz w:val="31"/>
          <w:szCs w:val="31"/>
          <w:lang w:bidi="ar"/>
        </w:rPr>
        <w:t>%。</w:t>
      </w:r>
    </w:p>
    <w:p>
      <w:pPr>
        <w:pBdr>
          <w:bottom w:val="single" w:color="FFFFFF" w:sz="4" w:space="31"/>
        </w:pBdr>
        <w:snapToGrid w:val="0"/>
        <w:spacing w:line="540" w:lineRule="exact"/>
        <w:ind w:firstLine="620" w:firstLineChars="200"/>
        <w:rPr>
          <w:rFonts w:hint="eastAsia" w:ascii="仿宋_GB2312" w:hAnsi="楷体" w:eastAsia="仿宋_GB2312" w:cs="楷体"/>
          <w:bCs/>
          <w:sz w:val="32"/>
          <w:szCs w:val="32"/>
        </w:rPr>
      </w:pPr>
      <w:r>
        <w:rPr>
          <w:rFonts w:ascii="仿宋_GB2312" w:hAnsi="仿宋_GB2312" w:eastAsia="仿宋_GB2312" w:cs="仿宋_GB2312"/>
          <w:color w:val="000000"/>
          <w:kern w:val="0"/>
          <w:sz w:val="31"/>
          <w:szCs w:val="31"/>
          <w:lang w:bidi="ar"/>
        </w:rPr>
        <w:t>主要产出和效果：</w:t>
      </w:r>
      <w:r>
        <w:rPr>
          <w:rFonts w:hint="eastAsia" w:ascii="仿宋_GB2312" w:hAnsi="楷体" w:eastAsia="仿宋_GB2312" w:cs="楷体"/>
          <w:bCs/>
          <w:sz w:val="32"/>
          <w:szCs w:val="32"/>
          <w:lang w:eastAsia="zh-CN"/>
        </w:rPr>
        <w:t>产出</w:t>
      </w:r>
      <w:r>
        <w:rPr>
          <w:rFonts w:hint="eastAsia" w:ascii="仿宋_GB2312" w:hAnsi="楷体" w:eastAsia="仿宋_GB2312" w:cs="楷体"/>
          <w:bCs/>
          <w:sz w:val="32"/>
          <w:szCs w:val="32"/>
        </w:rPr>
        <w:t>重点评价项目支出实际完成率、完成及时率、质量达标率、成本节约率及分析等四方面职责履行情况。</w:t>
      </w:r>
    </w:p>
    <w:p>
      <w:pPr>
        <w:pBdr>
          <w:bottom w:val="single" w:color="FFFFFF" w:sz="4" w:space="31"/>
        </w:pBd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效果</w:t>
      </w:r>
      <w:r>
        <w:rPr>
          <w:rFonts w:hint="eastAsia" w:ascii="仿宋_GB2312" w:hAnsi="仿宋" w:eastAsia="仿宋_GB2312"/>
          <w:sz w:val="32"/>
          <w:szCs w:val="32"/>
        </w:rPr>
        <w:t>重点评价项目支出经济效益、社会效益、生态效益，以及市级目标责任考核和服务对象满意度等履职效益情况。</w:t>
      </w:r>
    </w:p>
    <w:p>
      <w:pPr>
        <w:pBdr>
          <w:bottom w:val="single" w:color="FFFFFF" w:sz="4" w:space="31"/>
        </w:pBdr>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本街办</w:t>
      </w:r>
      <w:r>
        <w:rPr>
          <w:rFonts w:hint="eastAsia" w:ascii="仿宋_GB2312" w:hAnsi="仿宋" w:eastAsia="仿宋_GB2312"/>
          <w:sz w:val="32"/>
          <w:szCs w:val="32"/>
          <w:lang w:val="en-US" w:eastAsia="zh-CN"/>
        </w:rPr>
        <w:t>2019年单位绩效</w:t>
      </w:r>
      <w:r>
        <w:rPr>
          <w:rFonts w:ascii="仿宋_GB2312" w:hAnsi="仿宋" w:eastAsia="仿宋_GB2312"/>
          <w:sz w:val="32"/>
          <w:szCs w:val="32"/>
        </w:rPr>
        <w:t>目标合理</w:t>
      </w:r>
      <w:r>
        <w:rPr>
          <w:rFonts w:hint="eastAsia" w:ascii="仿宋_GB2312" w:hAnsi="仿宋" w:eastAsia="仿宋_GB2312"/>
          <w:sz w:val="32"/>
          <w:szCs w:val="32"/>
        </w:rPr>
        <w:t>，符合部门“三定”方案确定的职责，预算执行及预算管理均较好。</w:t>
      </w:r>
    </w:p>
    <w:p>
      <w:pPr>
        <w:pBdr>
          <w:bottom w:val="single" w:color="FFFFFF" w:sz="4" w:space="31"/>
        </w:pBdr>
        <w:snapToGrid w:val="0"/>
        <w:spacing w:line="540" w:lineRule="exact"/>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1是抓好绩效目标编制，及时报送绩效目标。2探索绩效跟踪监控，加强过程监控。3是深入开展财政支出绩效评价。4是强化评价结果应用，组织绩效自评。5是健全绩效管理工作机制，明确职责分工</w:t>
      </w:r>
      <w:r>
        <w:rPr>
          <w:rFonts w:ascii="仿宋_GB2312" w:hAnsi="仿宋_GB2312" w:eastAsia="仿宋_GB2312" w:cs="仿宋_GB2312"/>
          <w:color w:val="000000"/>
          <w:kern w:val="0"/>
          <w:sz w:val="31"/>
          <w:szCs w:val="31"/>
          <w:lang w:bidi="ar"/>
        </w:rPr>
        <w:t>。</w:t>
      </w:r>
    </w:p>
    <w:p>
      <w:pPr>
        <w:pBdr>
          <w:bottom w:val="single" w:color="FFFFFF" w:sz="4" w:space="31"/>
        </w:pBdr>
        <w:snapToGrid w:val="0"/>
        <w:spacing w:line="540" w:lineRule="exact"/>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（一）投入方面存在问题</w:t>
      </w:r>
    </w:p>
    <w:p>
      <w:pPr>
        <w:pBdr>
          <w:bottom w:val="single" w:color="FFFFFF" w:sz="4" w:space="31"/>
        </w:pBdr>
        <w:snapToGrid w:val="0"/>
        <w:spacing w:line="540" w:lineRule="exact"/>
        <w:ind w:firstLine="640" w:firstLineChars="200"/>
        <w:rPr>
          <w:rFonts w:hint="eastAsia" w:ascii="仿宋_GB2312" w:hAnsi="楷体" w:eastAsia="仿宋_GB2312" w:cs="楷体"/>
          <w:b/>
          <w:bCs/>
          <w:sz w:val="32"/>
          <w:szCs w:val="32"/>
        </w:rPr>
      </w:pPr>
      <w:r>
        <w:rPr>
          <w:rFonts w:hint="eastAsia" w:ascii="仿宋_GB2312" w:hAnsi="仿宋" w:eastAsia="仿宋_GB2312" w:cs="仿宋"/>
          <w:sz w:val="32"/>
          <w:szCs w:val="32"/>
        </w:rPr>
        <w:t>目前财政绩效管理工作在实践中已取得成效，但绩效管理依然缺乏约束和制度保障，预算资金分配的科学性与预算执行的严肃性都有待提高，财政资金使用不合理现象仍然存在。</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w:t>
      </w:r>
      <w:r>
        <w:rPr>
          <w:rFonts w:hint="eastAsia" w:ascii="仿宋_GB2312" w:hAnsi="楷体" w:eastAsia="仿宋_GB2312" w:cs="楷体"/>
          <w:b/>
          <w:bCs/>
          <w:sz w:val="32"/>
          <w:szCs w:val="32"/>
          <w:lang w:eastAsia="zh-CN"/>
        </w:rPr>
        <w:t>二</w:t>
      </w:r>
      <w:r>
        <w:rPr>
          <w:rFonts w:hint="eastAsia" w:ascii="仿宋_GB2312" w:hAnsi="楷体" w:eastAsia="仿宋_GB2312" w:cs="楷体"/>
          <w:b/>
          <w:bCs/>
          <w:sz w:val="32"/>
          <w:szCs w:val="32"/>
        </w:rPr>
        <w:t>）重点项目完成存在问题</w:t>
      </w:r>
    </w:p>
    <w:p>
      <w:pPr>
        <w:pBdr>
          <w:bottom w:val="single" w:color="FFFFFF" w:sz="4" w:space="31"/>
        </w:pBdr>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现行的施工项目体制，没有很好的将责权利三者结合起来，制度不完善，管理水平不高，意识不强，监控不力等问题，造成项目成本支出大，效益低，直接影响项目施工方的进度。</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w:t>
      </w:r>
      <w:r>
        <w:rPr>
          <w:rFonts w:hint="eastAsia" w:ascii="仿宋_GB2312" w:hAnsi="楷体" w:eastAsia="仿宋_GB2312" w:cs="楷体"/>
          <w:b/>
          <w:bCs/>
          <w:sz w:val="32"/>
          <w:szCs w:val="32"/>
          <w:lang w:eastAsia="zh-CN"/>
        </w:rPr>
        <w:t>三</w:t>
      </w:r>
      <w:r>
        <w:rPr>
          <w:rFonts w:hint="eastAsia" w:ascii="仿宋_GB2312" w:hAnsi="楷体" w:eastAsia="仿宋_GB2312" w:cs="楷体"/>
          <w:b/>
          <w:bCs/>
          <w:sz w:val="32"/>
          <w:szCs w:val="32"/>
        </w:rPr>
        <w:t>）重点项目效益存在问题</w:t>
      </w:r>
    </w:p>
    <w:p>
      <w:pPr>
        <w:pBdr>
          <w:bottom w:val="single" w:color="FFFFFF" w:sz="4" w:space="31"/>
        </w:pBdr>
        <w:snapToGrid w:val="0"/>
        <w:spacing w:line="540" w:lineRule="exact"/>
        <w:ind w:firstLine="640" w:firstLineChars="200"/>
        <w:rPr>
          <w:rFonts w:hint="eastAsia" w:ascii="仿宋_GB2312" w:hAnsi="楷体" w:eastAsia="仿宋_GB2312" w:cs="楷体"/>
          <w:bCs/>
          <w:sz w:val="32"/>
          <w:szCs w:val="32"/>
        </w:rPr>
      </w:pPr>
      <w:r>
        <w:rPr>
          <w:rFonts w:hint="eastAsia" w:ascii="仿宋_GB2312" w:hAnsi="楷体" w:eastAsia="仿宋_GB2312" w:cs="楷体"/>
          <w:bCs/>
          <w:sz w:val="32"/>
          <w:szCs w:val="32"/>
        </w:rPr>
        <w:t>重点项目在经济工作虽取得明显成效，但由于长期以来形成的思想观念、经济基础等多方面因素影响，目前项目经济工作仍然面临许多问题和困难。一是对重点项目前期工作的重要性、紧迫性认识不足，存在重在建、轻前期的倾向。二是项目前期工作质量有待加强。三是项目建设资金筹措困难，资金瓶颈难以突破。</w:t>
      </w:r>
    </w:p>
    <w:p>
      <w:pPr>
        <w:pBdr>
          <w:bottom w:val="single" w:color="FFFFFF" w:sz="4" w:space="31"/>
        </w:pBdr>
        <w:snapToGrid w:val="0"/>
        <w:spacing w:line="540" w:lineRule="exact"/>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（一）改进投入方面的建议</w:t>
      </w:r>
    </w:p>
    <w:p>
      <w:pPr>
        <w:pBdr>
          <w:bottom w:val="single" w:color="FFFFFF" w:sz="4" w:space="31"/>
        </w:pBdr>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制定资产配置方案，开展行政事业单位现有存量资产的清算和摸底，充分了解资产情况，通过编制资产配置预算，可以实现资产与预算有机结合，切实降低行政事业单位实际运营的行政成本。</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（二）改进预算管理的建议</w:t>
      </w:r>
    </w:p>
    <w:p>
      <w:pPr>
        <w:pBdr>
          <w:bottom w:val="single" w:color="FFFFFF" w:sz="4" w:space="31"/>
        </w:pBdr>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首先应该注重优化行政事业单位的支出结构，严格控制一般性支出。其次应该提高预算编制质量，根据项目情况，统筹安排、优先保障。同时综合采用增量预算、弹性预算、零基预算、滚动预算等多种方式，确保预算编制能够与事业单位的实际业务紧密联系，提高预算编制的科学性、预见性。  </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（三）项目产出整改建议</w:t>
      </w:r>
    </w:p>
    <w:p>
      <w:pPr>
        <w:pBdr>
          <w:bottom w:val="single" w:color="FFFFFF" w:sz="4" w:space="31"/>
        </w:pBdr>
        <w:snapToGrid w:val="0"/>
        <w:spacing w:line="540" w:lineRule="exact"/>
        <w:ind w:firstLine="640" w:firstLineChars="200"/>
        <w:rPr>
          <w:rFonts w:hint="eastAsia" w:ascii="仿宋_GB2312" w:hAnsi="楷体" w:eastAsia="仿宋_GB2312" w:cs="楷体"/>
          <w:bCs/>
          <w:sz w:val="32"/>
          <w:szCs w:val="32"/>
        </w:rPr>
      </w:pPr>
      <w:r>
        <w:rPr>
          <w:rFonts w:hint="eastAsia" w:ascii="仿宋_GB2312" w:hAnsi="楷体" w:eastAsia="仿宋_GB2312" w:cs="楷体"/>
          <w:bCs/>
          <w:sz w:val="32"/>
          <w:szCs w:val="32"/>
        </w:rPr>
        <w:t>制定项目绩效考核办法，细化考核内容，提高考核的标准，满足相应的建设质量标准与项目进度要求等。</w:t>
      </w:r>
    </w:p>
    <w:p>
      <w:pPr>
        <w:pBdr>
          <w:bottom w:val="single" w:color="FFFFFF" w:sz="4" w:space="31"/>
        </w:pBdr>
        <w:snapToGrid w:val="0"/>
        <w:spacing w:line="54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（四）项目效益完善建议</w:t>
      </w:r>
    </w:p>
    <w:p>
      <w:pPr>
        <w:pBdr>
          <w:bottom w:val="single" w:color="FFFFFF" w:sz="4" w:space="31"/>
        </w:pBdr>
        <w:snapToGrid w:val="0"/>
        <w:spacing w:line="540" w:lineRule="exact"/>
        <w:ind w:firstLine="640" w:firstLineChars="200"/>
        <w:rPr>
          <w:rFonts w:hint="eastAsia" w:ascii="仿宋_GB2312" w:hAnsi="楷体" w:eastAsia="仿宋_GB2312" w:cs="楷体"/>
          <w:bCs/>
          <w:sz w:val="32"/>
          <w:szCs w:val="32"/>
        </w:rPr>
      </w:pPr>
      <w:r>
        <w:rPr>
          <w:rFonts w:hint="eastAsia" w:ascii="仿宋_GB2312" w:hAnsi="楷体" w:eastAsia="仿宋_GB2312" w:cs="楷体"/>
          <w:bCs/>
          <w:sz w:val="32"/>
          <w:szCs w:val="32"/>
        </w:rPr>
        <w:t>从源头抓起，提高项目的成功率，综合当地的产业优势，前瞻性的引进相关项目；大力引进产业关联度高、辐射广、带动性强的大项目。促进产业转型升级；三是严格控制效益扩张，提出适应的优惠措施。</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tbl>
      <w:tblPr>
        <w:tblStyle w:val="6"/>
        <w:tblW w:w="9285" w:type="dxa"/>
        <w:tblInd w:w="0" w:type="dxa"/>
        <w:tblLayout w:type="autofit"/>
        <w:tblCellMar>
          <w:top w:w="0" w:type="dxa"/>
          <w:left w:w="0" w:type="dxa"/>
          <w:bottom w:w="0" w:type="dxa"/>
          <w:right w:w="0" w:type="dxa"/>
        </w:tblCellMar>
      </w:tblPr>
      <w:tblGrid>
        <w:gridCol w:w="555"/>
        <w:gridCol w:w="555"/>
        <w:gridCol w:w="1035"/>
        <w:gridCol w:w="1980"/>
        <w:gridCol w:w="1185"/>
        <w:gridCol w:w="1320"/>
        <w:gridCol w:w="1140"/>
        <w:gridCol w:w="1515"/>
      </w:tblGrid>
      <w:tr>
        <w:tblPrEx>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Style w:val="15"/>
                <w:lang w:val="en-US" w:eastAsia="zh-CN" w:bidi="ar"/>
              </w:rPr>
            </w:pPr>
          </w:p>
          <w:p>
            <w:pPr>
              <w:keepNext w:val="0"/>
              <w:keepLines w:val="0"/>
              <w:widowControl/>
              <w:suppressLineNumbers w:val="0"/>
              <w:jc w:val="center"/>
              <w:textAlignment w:val="center"/>
              <w:rPr>
                <w:rStyle w:val="15"/>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Style w:val="15"/>
                <w:lang w:val="en-US" w:eastAsia="zh-CN" w:bidi="ar"/>
              </w:rPr>
              <w:t>市级预算（项目）绩效目标自评表</w:t>
            </w:r>
            <w:r>
              <w:rPr>
                <w:rStyle w:val="16"/>
                <w:lang w:val="en-US" w:eastAsia="zh-CN" w:bidi="ar"/>
              </w:rPr>
              <w:t xml:space="preserve"> </w:t>
            </w:r>
          </w:p>
        </w:tc>
      </w:tr>
      <w:tr>
        <w:tblPrEx>
          <w:tblCellMar>
            <w:top w:w="0" w:type="dxa"/>
            <w:left w:w="0" w:type="dxa"/>
            <w:bottom w:w="0" w:type="dxa"/>
            <w:right w:w="0" w:type="dxa"/>
          </w:tblCellMar>
        </w:tblPrEx>
        <w:trPr>
          <w:trHeight w:val="280" w:hRule="atLeast"/>
        </w:trPr>
        <w:tc>
          <w:tcPr>
            <w:tcW w:w="9285" w:type="dxa"/>
            <w:gridSpan w:val="8"/>
            <w:tcBorders>
              <w:top w:val="nil"/>
              <w:left w:val="nil"/>
              <w:bottom w:val="single" w:color="000000" w:sz="4" w:space="0"/>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村级一事一议项目</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066005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西安市阎良区北屯街道办事处</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7"/>
                <w:lang w:val="en-US" w:eastAsia="zh-CN" w:bidi="ar"/>
              </w:rPr>
              <w:t xml:space="preserve"> </w:t>
            </w:r>
            <w:r>
              <w:rPr>
                <w:rStyle w:val="18"/>
                <w:lang w:val="en-US" w:eastAsia="zh-CN" w:bidi="ar"/>
              </w:rPr>
              <w:t>其中：市级财政资金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7"/>
                <w:lang w:val="en-US" w:eastAsia="zh-CN" w:bidi="ar"/>
              </w:rPr>
              <w:t xml:space="preserve"> </w:t>
            </w:r>
            <w:r>
              <w:rPr>
                <w:rStyle w:val="18"/>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9"/>
                <w:lang w:val="en-US" w:eastAsia="zh-CN" w:bidi="ar"/>
              </w:rPr>
              <w:t xml:space="preserve">      </w:t>
            </w:r>
            <w:r>
              <w:rPr>
                <w:rStyle w:val="20"/>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此资金用于一事一议项目建设，完善我街办基础设施建设。</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按实际发生额100%列支</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行政村</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总成本</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为群众提供一个良好的工作生活环境，提升群众幸福感</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执行年度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38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r>
        <w:tblPrEx>
          <w:tblCellMar>
            <w:top w:w="0" w:type="dxa"/>
            <w:left w:w="0" w:type="dxa"/>
            <w:bottom w:w="0" w:type="dxa"/>
            <w:right w:w="0" w:type="dxa"/>
          </w:tblCellMar>
        </w:tblPrEx>
        <w:trPr>
          <w:trHeight w:val="480" w:hRule="atLeast"/>
        </w:trPr>
        <w:tc>
          <w:tcPr>
            <w:tcW w:w="9285"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市级预算（项目）绩效目标自评表</w:t>
            </w:r>
          </w:p>
        </w:tc>
      </w:tr>
      <w:tr>
        <w:tblPrEx>
          <w:tblCellMar>
            <w:top w:w="0" w:type="dxa"/>
            <w:left w:w="0" w:type="dxa"/>
            <w:bottom w:w="0" w:type="dxa"/>
            <w:right w:w="0" w:type="dxa"/>
          </w:tblCellMar>
        </w:tblPrEx>
        <w:trPr>
          <w:trHeight w:val="280" w:hRule="atLeast"/>
        </w:trPr>
        <w:tc>
          <w:tcPr>
            <w:tcW w:w="9285" w:type="dxa"/>
            <w:gridSpan w:val="8"/>
            <w:tcBorders>
              <w:top w:val="nil"/>
              <w:left w:val="nil"/>
              <w:bottom w:val="single" w:color="000000" w:sz="4" w:space="0"/>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治污减霾经费</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066005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西安市阎良区北屯街道办事处</w:t>
            </w:r>
          </w:p>
        </w:tc>
      </w:tr>
      <w:tr>
        <w:tblPrEx>
          <w:tblCellMar>
            <w:top w:w="0" w:type="dxa"/>
            <w:left w:w="0" w:type="dxa"/>
            <w:bottom w:w="0" w:type="dxa"/>
            <w:right w:w="0" w:type="dxa"/>
          </w:tblCellMar>
        </w:tblPrEx>
        <w:trPr>
          <w:trHeight w:val="52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96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用于街办内环境的保护工作经费，保证群众拥有良好的生活工作环境。</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按实际发生额100%列支</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洒水车司机</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宣传资料</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10000份</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洒水车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1辆</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司机出勤率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总成本</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人员工资</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宣传资料</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保证街办群众的生活工作质量</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降低扬尘污染</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达标</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PM10浓度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≦116毫克/立方米</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≦116毫克/立方米</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执行年度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32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tbl>
      <w:tblPr>
        <w:tblStyle w:val="6"/>
        <w:tblpPr w:leftFromText="180" w:rightFromText="180" w:vertAnchor="text" w:horzAnchor="page" w:tblpX="1830" w:tblpY="147"/>
        <w:tblOverlap w:val="never"/>
        <w:tblW w:w="9285" w:type="dxa"/>
        <w:tblInd w:w="0" w:type="dxa"/>
        <w:tblLayout w:type="autofit"/>
        <w:tblCellMar>
          <w:top w:w="0" w:type="dxa"/>
          <w:left w:w="0" w:type="dxa"/>
          <w:bottom w:w="0" w:type="dxa"/>
          <w:right w:w="0" w:type="dxa"/>
        </w:tblCellMar>
      </w:tblPr>
      <w:tblGrid>
        <w:gridCol w:w="555"/>
        <w:gridCol w:w="555"/>
        <w:gridCol w:w="1035"/>
        <w:gridCol w:w="1980"/>
        <w:gridCol w:w="1185"/>
        <w:gridCol w:w="1320"/>
        <w:gridCol w:w="1140"/>
        <w:gridCol w:w="1515"/>
      </w:tblGrid>
      <w:tr>
        <w:tblPrEx>
          <w:tblCellMar>
            <w:top w:w="0" w:type="dxa"/>
            <w:left w:w="0" w:type="dxa"/>
            <w:bottom w:w="0" w:type="dxa"/>
            <w:right w:w="0" w:type="dxa"/>
          </w:tblCellMar>
        </w:tblPrEx>
        <w:trPr>
          <w:trHeight w:val="460" w:hRule="atLeast"/>
        </w:trPr>
        <w:tc>
          <w:tcPr>
            <w:tcW w:w="9285"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市级预算（项目）绩效目标自评表</w:t>
            </w:r>
          </w:p>
        </w:tc>
      </w:tr>
      <w:tr>
        <w:tblPrEx>
          <w:tblCellMar>
            <w:top w:w="0" w:type="dxa"/>
            <w:left w:w="0" w:type="dxa"/>
            <w:bottom w:w="0" w:type="dxa"/>
            <w:right w:w="0" w:type="dxa"/>
          </w:tblCellMar>
        </w:tblPrEx>
        <w:trPr>
          <w:trHeight w:val="260" w:hRule="atLeast"/>
        </w:trPr>
        <w:tc>
          <w:tcPr>
            <w:tcW w:w="9285" w:type="dxa"/>
            <w:gridSpan w:val="8"/>
            <w:tcBorders>
              <w:top w:val="nil"/>
              <w:left w:val="nil"/>
              <w:bottom w:val="single" w:color="000000" w:sz="4" w:space="0"/>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综治维稳经费</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066005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西安市阎良区北屯街道办事处</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用于街办内社会治安综合治理及维稳工作经费，保障武屯镇域内群众的生活、工作安全。</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按实际发生额100%列支</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行政村</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政策宣传率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上访率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总成本</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政策的宣传、维护经费</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接访经费</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保障街办群众的生活工作安全</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3"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执行年度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保障街办群众的满意度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34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448"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r>
        <w:tblPrEx>
          <w:tblCellMar>
            <w:top w:w="0" w:type="dxa"/>
            <w:left w:w="0" w:type="dxa"/>
            <w:bottom w:w="0" w:type="dxa"/>
            <w:right w:w="0" w:type="dxa"/>
          </w:tblCellMar>
        </w:tblPrEx>
        <w:trPr>
          <w:trHeight w:val="480" w:hRule="atLeast"/>
        </w:trPr>
        <w:tc>
          <w:tcPr>
            <w:tcW w:w="9285"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市级预算（项目）绩效目标自评表</w:t>
            </w:r>
          </w:p>
        </w:tc>
      </w:tr>
      <w:tr>
        <w:tblPrEx>
          <w:tblCellMar>
            <w:top w:w="0" w:type="dxa"/>
            <w:left w:w="0" w:type="dxa"/>
            <w:bottom w:w="0" w:type="dxa"/>
            <w:right w:w="0" w:type="dxa"/>
          </w:tblCellMar>
        </w:tblPrEx>
        <w:trPr>
          <w:trHeight w:val="320" w:hRule="atLeast"/>
        </w:trPr>
        <w:tc>
          <w:tcPr>
            <w:tcW w:w="9285" w:type="dxa"/>
            <w:gridSpan w:val="8"/>
            <w:tcBorders>
              <w:top w:val="nil"/>
              <w:left w:val="nil"/>
              <w:bottom w:val="single" w:color="000000" w:sz="4" w:space="0"/>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复转军人补助</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066007</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西安市阎良区武屯街道办事处</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147.6</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147.6</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147.6</w:t>
            </w: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147.6</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用于单位复转军人工资、五险一金等费用，保障他人基本生活。 </w:t>
            </w:r>
          </w:p>
        </w:tc>
        <w:tc>
          <w:tcPr>
            <w:tcW w:w="39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按实际发生额100%列支</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人数</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人员出勤率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发放及时率</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2019.1-12</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总成本</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147.6</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复转军人工资</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147.6</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保障他人基本生活</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执行年度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复转军人满意度</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28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9285" w:type="dxa"/>
            <w:gridSpan w:val="8"/>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jc w:val="left"/>
        <w:rPr>
          <w:rFonts w:hint="eastAsia" w:ascii="宋体" w:hAnsi="宋体" w:eastAsia="宋体" w:cs="宋体"/>
          <w:i w:val="0"/>
          <w:color w:val="000000"/>
          <w:sz w:val="18"/>
          <w:szCs w:val="18"/>
          <w:u w:val="none"/>
        </w:rPr>
        <w:sectPr>
          <w:pgSz w:w="11906" w:h="16838"/>
          <w:pgMar w:top="1440" w:right="1800" w:bottom="1440" w:left="1800" w:header="851" w:footer="992" w:gutter="0"/>
          <w:cols w:space="720" w:num="1"/>
          <w:docGrid w:type="lines" w:linePitch="312" w:charSpace="0"/>
        </w:sectPr>
      </w:pPr>
    </w:p>
    <w:tbl>
      <w:tblPr>
        <w:tblStyle w:val="6"/>
        <w:tblpPr w:leftFromText="180" w:rightFromText="180" w:vertAnchor="text" w:horzAnchor="page" w:tblpX="1830" w:tblpY="147"/>
        <w:tblOverlap w:val="never"/>
        <w:tblW w:w="9285" w:type="dxa"/>
        <w:tblInd w:w="0" w:type="dxa"/>
        <w:tblLayout w:type="autofit"/>
        <w:tblCellMar>
          <w:top w:w="0" w:type="dxa"/>
          <w:left w:w="0" w:type="dxa"/>
          <w:bottom w:w="0" w:type="dxa"/>
          <w:right w:w="0" w:type="dxa"/>
        </w:tblCellMar>
      </w:tblPr>
      <w:tblGrid>
        <w:gridCol w:w="9285"/>
      </w:tblGrid>
      <w:tr>
        <w:tblPrEx>
          <w:tblCellMar>
            <w:top w:w="0" w:type="dxa"/>
            <w:left w:w="0" w:type="dxa"/>
            <w:bottom w:w="0" w:type="dxa"/>
            <w:right w:w="0" w:type="dxa"/>
          </w:tblCellMar>
        </w:tblPrEx>
        <w:trPr>
          <w:trHeight w:val="270" w:hRule="atLeast"/>
        </w:trPr>
        <w:tc>
          <w:tcPr>
            <w:tcW w:w="9285" w:type="dxa"/>
            <w:tcBorders>
              <w:top w:val="nil"/>
              <w:left w:val="nil"/>
              <w:bottom w:val="nil"/>
              <w:right w:val="nil"/>
            </w:tcBorders>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bl>
    <w:tbl>
      <w:tblPr>
        <w:tblStyle w:val="6"/>
        <w:tblW w:w="14360" w:type="dxa"/>
        <w:tblInd w:w="0" w:type="dxa"/>
        <w:shd w:val="clear" w:color="auto" w:fill="auto"/>
        <w:tblLayout w:type="fixed"/>
        <w:tblCellMar>
          <w:top w:w="0" w:type="dxa"/>
          <w:left w:w="0" w:type="dxa"/>
          <w:bottom w:w="0" w:type="dxa"/>
          <w:right w:w="0" w:type="dxa"/>
        </w:tblCellMar>
      </w:tblPr>
      <w:tblGrid>
        <w:gridCol w:w="632"/>
        <w:gridCol w:w="668"/>
        <w:gridCol w:w="550"/>
        <w:gridCol w:w="356"/>
        <w:gridCol w:w="2419"/>
        <w:gridCol w:w="3180"/>
        <w:gridCol w:w="2000"/>
        <w:gridCol w:w="1045"/>
        <w:gridCol w:w="970"/>
        <w:gridCol w:w="686"/>
        <w:gridCol w:w="955"/>
        <w:gridCol w:w="899"/>
      </w:tblGrid>
      <w:tr>
        <w:tblPrEx>
          <w:shd w:val="clear" w:color="auto" w:fill="auto"/>
          <w:tblCellMar>
            <w:top w:w="0" w:type="dxa"/>
            <w:left w:w="0" w:type="dxa"/>
            <w:bottom w:w="0" w:type="dxa"/>
            <w:right w:w="0" w:type="dxa"/>
          </w:tblCellMar>
        </w:tblPrEx>
        <w:trPr>
          <w:trHeight w:val="868" w:hRule="atLeast"/>
        </w:trPr>
        <w:tc>
          <w:tcPr>
            <w:tcW w:w="1436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部门整体支出绩效自评表</w:t>
            </w:r>
            <w:r>
              <w:rPr>
                <w:rFonts w:hint="eastAsia" w:ascii="黑体" w:hAnsi="宋体" w:eastAsia="黑体" w:cs="黑体"/>
                <w:i w:val="0"/>
                <w:color w:val="000000"/>
                <w:kern w:val="0"/>
                <w:sz w:val="40"/>
                <w:szCs w:val="4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CellMar>
            <w:top w:w="0" w:type="dxa"/>
            <w:left w:w="0" w:type="dxa"/>
            <w:bottom w:w="0" w:type="dxa"/>
            <w:right w:w="0" w:type="dxa"/>
          </w:tblCellMar>
        </w:tblPrEx>
        <w:trPr>
          <w:trHeight w:val="425" w:hRule="atLeast"/>
        </w:trPr>
        <w:tc>
          <w:tcPr>
            <w:tcW w:w="462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填报单位:西安市阎良区北屯街道办事处</w:t>
            </w:r>
          </w:p>
        </w:tc>
        <w:tc>
          <w:tcPr>
            <w:tcW w:w="318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自评得分：95</w:t>
            </w:r>
          </w:p>
        </w:tc>
        <w:tc>
          <w:tcPr>
            <w:tcW w:w="200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4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7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686"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698" w:hRule="atLeast"/>
        </w:trPr>
        <w:tc>
          <w:tcPr>
            <w:tcW w:w="4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（一）简要概述部门职能与职责。</w:t>
            </w:r>
          </w:p>
        </w:tc>
        <w:tc>
          <w:tcPr>
            <w:tcW w:w="97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 贯彻执行法律、法规、规章、政策，执行国家和省、市、区政府的决定、命令，依法依规管理基层公共事务。</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(二) 统筹推动辖区区域发展，负责经济发展服务工作；贯彻辖区建设规划，不断完善城市配套设施，推动城市更新；开展人居环境整治；负责做好辖区军民融合、项目建设、服务驻地企业等工作，优化营商环境；监督指导街道和社区(村)集体经济组织发展工作；配合做好辖区城中村(棚户区)、背街小巷改造提升和断头路打通、架空线落地等工作。</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(三) 组织公共服务，负责开展人社、医保、民政、教育、文化文物、旅游体育、卫生健康、退役军人等领域公共服务；组织开展群众性文化、体育、科普等活动，开展法治宣传和社会公德教育，推动辖区公益事业发展；参与辖区公共服务设施建设规划，推进配套服务设施的落地落实。</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(四) 实施综合管理，负责辖区城市管理、社会管理等工作；负责辖区市容环境卫生、绿化美化管理工作，落实“路长”“所长”“河长”等工作制度，推进城市精细化管理。</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(五) 依法或受委托开展辖区相关综合执法工作，负责日常巡查、接受投诉举报、协助调查取证等工作，建立与区级专业执法机构协调配合机制。</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(六)组织动员指导辖区各类单位、社会组织和村民等社会力量参与社会治理、履行社会责任，为街道、乡村发展服务。</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（七)负责加强领导基层自治，负责村民委员会建设指导村民委员会工作；发挥村民在基层社会治理中的主体作用，健全共建共治共享的基层社会治理制度。</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(八)负责辖区应急管理、安全生产管理、人民防空、防汛抗旱和防灾减灾等工作，处理群众来信来访，有效化解矛盾纠纷，防范化解各类风险。</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(九)负责推进乡村振兴，承担农业农村管理职责，落实强农惠农措施；负责辖区农业综合开发、农田水利建设、农村集体“三资”管理、农村产权流转交易等工作。</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(十）配合辖区重点项目推进工作。</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(十一）承办区委、区政府交办的其他任务。</w:t>
            </w:r>
          </w:p>
        </w:tc>
      </w:tr>
      <w:tr>
        <w:tblPrEx>
          <w:shd w:val="clear" w:color="auto" w:fill="auto"/>
          <w:tblCellMar>
            <w:top w:w="0" w:type="dxa"/>
            <w:left w:w="0" w:type="dxa"/>
            <w:bottom w:w="0" w:type="dxa"/>
            <w:right w:w="0" w:type="dxa"/>
          </w:tblCellMar>
        </w:tblPrEx>
        <w:trPr>
          <w:trHeight w:val="3442" w:hRule="atLeast"/>
        </w:trPr>
        <w:tc>
          <w:tcPr>
            <w:tcW w:w="4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（二）简要概述部门支出情况，按活动内容分类。</w:t>
            </w:r>
          </w:p>
        </w:tc>
        <w:tc>
          <w:tcPr>
            <w:tcW w:w="97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全年实现城镇新增就业155人，完成150人，失业率控制在3.2%以内，小额贷款550万元，完成350万元，19人享受到救助政策，救助资金8.96万元。提升环卫基础设施，加快垃圾分类工作，投资约120万元购置垃圾桶、洒水车、压缩车等环卫设施配备；农业增加值完成4.11亿元，增速4.6%；服务业增加值完成5.4亿元；社会消费品零售总额完成1.35亿元，增速13%；农业总产值完成6.4亿元，增速5.2%；多种经营产值完成5.95亿元，增速3.1%;农村居民人均可支配收入完成18000元。</w:t>
            </w:r>
          </w:p>
        </w:tc>
      </w:tr>
      <w:tr>
        <w:tblPrEx>
          <w:tblCellMar>
            <w:top w:w="0" w:type="dxa"/>
            <w:left w:w="0" w:type="dxa"/>
            <w:bottom w:w="0" w:type="dxa"/>
            <w:right w:w="0" w:type="dxa"/>
          </w:tblCellMar>
        </w:tblPrEx>
        <w:trPr>
          <w:trHeight w:val="2526" w:hRule="atLeast"/>
        </w:trPr>
        <w:tc>
          <w:tcPr>
            <w:tcW w:w="46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97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“大棚房”清理整治工作；扫黑除恶专项斗争；人居环境整治；基础设施建设项目等</w:t>
            </w:r>
          </w:p>
        </w:tc>
      </w:tr>
      <w:tr>
        <w:tblPrEx>
          <w:tblCellMar>
            <w:top w:w="0" w:type="dxa"/>
            <w:left w:w="0" w:type="dxa"/>
            <w:bottom w:w="0" w:type="dxa"/>
            <w:right w:w="0" w:type="dxa"/>
          </w:tblCellMar>
        </w:tblPrEx>
        <w:trPr>
          <w:trHeight w:val="87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3153"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完成率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（10分）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预算完成率＝100%的，得10分。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预算完成率≥95%的，得9分。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预算完成率在90%（含）和95%之间，得8分。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预算完成率在85%（含）和90%之间，得7分。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预算完成率在80%（含）和85%之间，得6分。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预算完成率在70%（含）和80%之间，得4分。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预算完成率＜70%的，得0分。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1152.95/842.17=136%预决算文件提取数字</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842.17</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1152.95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688"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预算包括一般公共预算与政府性基金预算。</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预算调整率绝对值≤5%，得5分。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1119.95/842.17=133%预决算文件提取数字</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842.17</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1119.95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未完成原因：根据实际情况，街办追加基本支出经费和项目经费。改进措施：严格控制支出，缩减经费。</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91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4007"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1152.95/875.17=313.33%预决算文件提取数字</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875.17</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1152.95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731"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预算编制准确率（5分）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预算编制准确率≤20%，得5分。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预算编制准确率在20%和40%（含）之间，得3分。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预算编制准确率＞40%，得0分。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预决算文件</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0</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本街办无财政拨款外的其他收入预算</w:t>
            </w:r>
          </w:p>
        </w:tc>
      </w:tr>
      <w:tr>
        <w:tblPrEx>
          <w:tblCellMar>
            <w:top w:w="0" w:type="dxa"/>
            <w:left w:w="0" w:type="dxa"/>
            <w:bottom w:w="0" w:type="dxa"/>
            <w:right w:w="0" w:type="dxa"/>
          </w:tblCellMar>
        </w:tblPrEx>
        <w:trPr>
          <w:trHeight w:val="3158"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5.34/10.26=52%预决算文件提取数字</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10.26</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5.34</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6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资产管理规范性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1.新增资产配置按预算执行。</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2.资产有偿使用、处置按规定程序审批。</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3.资产收益及时、足额上缴财政。</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全部符合5分，有1项不符扣2分,扣完为止。</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日常账务处理及相关文件要求</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77"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457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资金使用合规性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2.资金的拨付有完整的审批程序和手续；</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3.重大项目开支经过评估论证；</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4.符合部门预算批复的用途；</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5.不存在截留、挤占、挪用、虚列支出等情况。</w:t>
            </w:r>
          </w:p>
        </w:tc>
        <w:tc>
          <w:tcPr>
            <w:tcW w:w="3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该指标根据指标说明项，任一项不符扣减本指标分值的</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20%，哪项不完全相符在20%分值以内适度扣分。扣完为</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止。资金使用规范，无违规，满分。违规资金比例在</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20%以下时，酌情扣减30%--60%分值。违规资金比例在</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20%以上，不得分。</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514" w:hRule="atLeast"/>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效果</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履职尽责（60分）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项目产出</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（40分）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项目的实际完成率；完成及时率；质量达标率；成本节约率</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本指标分值*对应的完成率</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100%</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514" w:hRule="atLeast"/>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项目效益</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（20分）</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2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社会效益；可持续影响；社会公众或服务对象满意度</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采取社会调查的方式</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100%</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05" w:hRule="atLeast"/>
        </w:trPr>
        <w:tc>
          <w:tcPr>
            <w:tcW w:w="1436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rPr>
          <w:rFonts w:hint="eastAsia" w:ascii="仿宋_GB2312" w:hAnsi="仿宋_GB2312" w:eastAsia="仿宋_GB2312" w:cs="仿宋_GB2312"/>
          <w:color w:val="000000"/>
          <w:sz w:val="31"/>
          <w:szCs w:val="31"/>
          <w:lang w:bidi="ar"/>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color w:val="000000"/>
          <w:kern w:val="0"/>
          <w:sz w:val="31"/>
          <w:szCs w:val="31"/>
          <w:lang w:bidi="ar"/>
        </w:rPr>
        <w:br w:type="page"/>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41.5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210.47</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507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168.97</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人员增加，日常经费和公用经费相应增加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宋体" w:eastAsia="楷体_GB2312" w:cs="楷体_GB2312"/>
          <w:b/>
          <w:color w:val="000000"/>
          <w:kern w:val="0"/>
          <w:sz w:val="32"/>
          <w:szCs w:val="32"/>
          <w:lang w:eastAsia="zh-CN" w:bidi="ar"/>
        </w:rPr>
      </w:pPr>
      <w:r>
        <w:rPr>
          <w:rFonts w:hint="eastAsia" w:ascii="楷体_GB2312" w:hAnsi="宋体" w:eastAsia="楷体_GB2312" w:cs="楷体_GB2312"/>
          <w:b/>
          <w:color w:val="000000"/>
          <w:kern w:val="0"/>
          <w:sz w:val="32"/>
          <w:szCs w:val="32"/>
          <w:lang w:bidi="ar"/>
        </w:rPr>
        <w:t>（二）本部门201</w:t>
      </w:r>
      <w:r>
        <w:rPr>
          <w:rFonts w:ascii="楷体_GB2312" w:hAnsi="宋体" w:eastAsia="楷体_GB2312" w:cs="楷体_GB2312"/>
          <w:b/>
          <w:color w:val="000000"/>
          <w:kern w:val="0"/>
          <w:sz w:val="32"/>
          <w:szCs w:val="32"/>
          <w:lang w:bidi="ar"/>
        </w:rPr>
        <w:t>9</w:t>
      </w:r>
      <w:r>
        <w:rPr>
          <w:rFonts w:hint="eastAsia" w:ascii="楷体_GB2312" w:hAnsi="宋体" w:eastAsia="楷体_GB2312" w:cs="楷体_GB2312"/>
          <w:b/>
          <w:color w:val="000000"/>
          <w:kern w:val="0"/>
          <w:sz w:val="32"/>
          <w:szCs w:val="32"/>
          <w:lang w:bidi="ar"/>
        </w:rPr>
        <w:t>年</w:t>
      </w:r>
      <w:r>
        <w:rPr>
          <w:rFonts w:hint="eastAsia" w:ascii="楷体_GB2312" w:hAnsi="宋体" w:eastAsia="楷体_GB2312" w:cs="楷体_GB2312"/>
          <w:b/>
          <w:color w:val="000000"/>
          <w:kern w:val="0"/>
          <w:sz w:val="32"/>
          <w:szCs w:val="32"/>
          <w:lang w:eastAsia="zh-CN" w:bidi="ar"/>
        </w:rPr>
        <w:t>度</w:t>
      </w:r>
      <w:r>
        <w:rPr>
          <w:rFonts w:hint="eastAsia" w:ascii="楷体_GB2312" w:hAnsi="宋体" w:eastAsia="楷体_GB2312" w:cs="楷体_GB2312"/>
          <w:b/>
          <w:color w:val="000000"/>
          <w:kern w:val="0"/>
          <w:sz w:val="32"/>
          <w:szCs w:val="32"/>
          <w:lang w:bidi="ar"/>
        </w:rPr>
        <w:t>无政府采购支出</w:t>
      </w:r>
      <w:r>
        <w:rPr>
          <w:rFonts w:hint="eastAsia" w:ascii="楷体_GB2312" w:hAnsi="宋体" w:eastAsia="楷体_GB2312" w:cs="楷体_GB2312"/>
          <w:b/>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截至2019年末，本部门共有车辆</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其中，一般公务用车</w:t>
      </w:r>
      <w:r>
        <w:rPr>
          <w:rFonts w:hint="eastAsia" w:ascii="仿宋_GB2312" w:hAnsi="仿宋_GB2312" w:eastAsia="仿宋_GB2312" w:cs="仿宋_GB2312"/>
          <w:sz w:val="32"/>
          <w:szCs w:val="32"/>
          <w:lang w:val="en-US" w:eastAsia="zh-CN"/>
        </w:rPr>
        <w:t>2辆，其他用车7辆，主要是城乡环境摆臂车及垃圾运输车；</w:t>
      </w:r>
      <w:r>
        <w:rPr>
          <w:rFonts w:hint="eastAsia" w:ascii="仿宋_GB2312" w:hAnsi="仿宋_GB2312" w:eastAsia="仿宋_GB2312" w:cs="仿宋_GB2312"/>
          <w:sz w:val="32"/>
          <w:szCs w:val="32"/>
        </w:rPr>
        <w:t>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8"/>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p>
    <w:p>
      <w:pPr>
        <w:keepNext w:val="0"/>
        <w:keepLines w:val="0"/>
        <w:pageBreakBefore w:val="0"/>
        <w:widowControl w:val="0"/>
        <w:kinsoku/>
        <w:wordWrap/>
        <w:overflowPunct/>
        <w:topLinePunct w:val="0"/>
        <w:autoSpaceDE/>
        <w:autoSpaceDN/>
        <w:bidi w:val="0"/>
        <w:adjustRightInd/>
        <w:snapToGrid/>
        <w:spacing w:line="560" w:lineRule="atLeast"/>
        <w:ind w:firstLine="480" w:firstLineChars="150"/>
        <w:textAlignment w:val="auto"/>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1BD05DF"/>
    <w:multiLevelType w:val="singleLevel"/>
    <w:tmpl w:val="A1BD05DF"/>
    <w:lvl w:ilvl="0" w:tentative="0">
      <w:start w:val="9"/>
      <w:numFmt w:val="chineseCounting"/>
      <w:suff w:val="nothing"/>
      <w:lvlText w:val="%1、"/>
      <w:lvlJc w:val="left"/>
      <w:pPr>
        <w:ind w:left="481" w:leftChars="0" w:firstLine="0" w:firstLineChars="0"/>
      </w:pPr>
      <w:rPr>
        <w:rFonts w:hint="eastAsia"/>
      </w:rPr>
    </w:lvl>
  </w:abstractNum>
  <w:abstractNum w:abstractNumId="2">
    <w:nsid w:val="AE8D95D1"/>
    <w:multiLevelType w:val="singleLevel"/>
    <w:tmpl w:val="AE8D95D1"/>
    <w:lvl w:ilvl="0" w:tentative="0">
      <w:start w:val="5"/>
      <w:numFmt w:val="chineseCounting"/>
      <w:suff w:val="nothing"/>
      <w:lvlText w:val="%1、"/>
      <w:lvlJc w:val="left"/>
      <w:rPr>
        <w:rFonts w:hint="eastAsia"/>
      </w:rPr>
    </w:lvl>
  </w:abstractNum>
  <w:abstractNum w:abstractNumId="3">
    <w:nsid w:val="F0DA7668"/>
    <w:multiLevelType w:val="singleLevel"/>
    <w:tmpl w:val="F0DA7668"/>
    <w:lvl w:ilvl="0" w:tentative="0">
      <w:start w:val="1"/>
      <w:numFmt w:val="decimal"/>
      <w:suff w:val="nothing"/>
      <w:lvlText w:val="%1．"/>
      <w:lvlJc w:val="left"/>
    </w:lvl>
  </w:abstractNum>
  <w:abstractNum w:abstractNumId="4">
    <w:nsid w:val="F4FB3B7C"/>
    <w:multiLevelType w:val="singleLevel"/>
    <w:tmpl w:val="F4FB3B7C"/>
    <w:lvl w:ilvl="0" w:tentative="0">
      <w:start w:val="1"/>
      <w:numFmt w:val="chineseCounting"/>
      <w:suff w:val="nothing"/>
      <w:lvlText w:val="（%1）"/>
      <w:lvlJc w:val="left"/>
      <w:rPr>
        <w:rFonts w:hint="eastAsia"/>
      </w:rPr>
    </w:lvl>
  </w:abstractNum>
  <w:abstractNum w:abstractNumId="5">
    <w:nsid w:val="00AD2B12"/>
    <w:multiLevelType w:val="singleLevel"/>
    <w:tmpl w:val="00AD2B12"/>
    <w:lvl w:ilvl="0" w:tentative="0">
      <w:start w:val="1"/>
      <w:numFmt w:val="chineseCounting"/>
      <w:suff w:val="nothing"/>
      <w:lvlText w:val="%1、"/>
      <w:lvlJc w:val="left"/>
      <w:rPr>
        <w:rFonts w:hint="eastAsia"/>
      </w:rPr>
    </w:lvl>
  </w:abstractNum>
  <w:abstractNum w:abstractNumId="6">
    <w:nsid w:val="32E209B4"/>
    <w:multiLevelType w:val="singleLevel"/>
    <w:tmpl w:val="32E209B4"/>
    <w:lvl w:ilvl="0" w:tentative="0">
      <w:start w:val="1"/>
      <w:numFmt w:val="decimal"/>
      <w:suff w:val="nothing"/>
      <w:lvlText w:val="（%1）"/>
      <w:lvlJc w:val="left"/>
    </w:lvl>
  </w:abstractNum>
  <w:abstractNum w:abstractNumId="7">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1E02"/>
    <w:rsid w:val="003410E4"/>
    <w:rsid w:val="003B17DB"/>
    <w:rsid w:val="003E3DDC"/>
    <w:rsid w:val="004A3235"/>
    <w:rsid w:val="0051551B"/>
    <w:rsid w:val="00542CF0"/>
    <w:rsid w:val="007868AD"/>
    <w:rsid w:val="007B2784"/>
    <w:rsid w:val="007D1A6E"/>
    <w:rsid w:val="008432A3"/>
    <w:rsid w:val="00B22049"/>
    <w:rsid w:val="00B32BF8"/>
    <w:rsid w:val="00B55CD7"/>
    <w:rsid w:val="00BD10F7"/>
    <w:rsid w:val="00C64DFC"/>
    <w:rsid w:val="00D11CE0"/>
    <w:rsid w:val="00D27805"/>
    <w:rsid w:val="00DD14ED"/>
    <w:rsid w:val="00DE34A7"/>
    <w:rsid w:val="00F92B78"/>
    <w:rsid w:val="015D58FD"/>
    <w:rsid w:val="0163128F"/>
    <w:rsid w:val="01C746C6"/>
    <w:rsid w:val="020C150A"/>
    <w:rsid w:val="03636A53"/>
    <w:rsid w:val="03E86E0C"/>
    <w:rsid w:val="05124D89"/>
    <w:rsid w:val="06BC767A"/>
    <w:rsid w:val="06BE0E86"/>
    <w:rsid w:val="0A0E1646"/>
    <w:rsid w:val="0BE335F4"/>
    <w:rsid w:val="0DDD7063"/>
    <w:rsid w:val="0E5A223F"/>
    <w:rsid w:val="0E801B7C"/>
    <w:rsid w:val="119C09F7"/>
    <w:rsid w:val="13403F7B"/>
    <w:rsid w:val="139A1695"/>
    <w:rsid w:val="13F82963"/>
    <w:rsid w:val="14F5368D"/>
    <w:rsid w:val="14FE0F17"/>
    <w:rsid w:val="17ED475C"/>
    <w:rsid w:val="199C6A33"/>
    <w:rsid w:val="19B454A3"/>
    <w:rsid w:val="1A3031D1"/>
    <w:rsid w:val="1A746452"/>
    <w:rsid w:val="1C287AD1"/>
    <w:rsid w:val="1CD16C1B"/>
    <w:rsid w:val="1DE61F48"/>
    <w:rsid w:val="1E61170E"/>
    <w:rsid w:val="21FD5768"/>
    <w:rsid w:val="231827EB"/>
    <w:rsid w:val="23F77372"/>
    <w:rsid w:val="276F37C8"/>
    <w:rsid w:val="28742E2C"/>
    <w:rsid w:val="28DE08C7"/>
    <w:rsid w:val="299C7739"/>
    <w:rsid w:val="29B25DA3"/>
    <w:rsid w:val="2AB117E3"/>
    <w:rsid w:val="2D0868F7"/>
    <w:rsid w:val="2E6318DB"/>
    <w:rsid w:val="303869C2"/>
    <w:rsid w:val="31364B63"/>
    <w:rsid w:val="3159166E"/>
    <w:rsid w:val="316F0D5B"/>
    <w:rsid w:val="34241CB0"/>
    <w:rsid w:val="348A2841"/>
    <w:rsid w:val="3548736E"/>
    <w:rsid w:val="36664761"/>
    <w:rsid w:val="39BD5BDC"/>
    <w:rsid w:val="3CAB0547"/>
    <w:rsid w:val="3DF939EF"/>
    <w:rsid w:val="3EEE2575"/>
    <w:rsid w:val="3F7C3B40"/>
    <w:rsid w:val="41EC1ECC"/>
    <w:rsid w:val="42BA0293"/>
    <w:rsid w:val="447270FC"/>
    <w:rsid w:val="47FF6CF3"/>
    <w:rsid w:val="4B2B4FED"/>
    <w:rsid w:val="4C4A388C"/>
    <w:rsid w:val="4C9B1180"/>
    <w:rsid w:val="4D24001C"/>
    <w:rsid w:val="4DF92132"/>
    <w:rsid w:val="4E0B6239"/>
    <w:rsid w:val="4F104EB8"/>
    <w:rsid w:val="4F3B1704"/>
    <w:rsid w:val="4F9F1B0F"/>
    <w:rsid w:val="4FFC73B1"/>
    <w:rsid w:val="52CF09E6"/>
    <w:rsid w:val="52D21252"/>
    <w:rsid w:val="53646FB6"/>
    <w:rsid w:val="53A23B23"/>
    <w:rsid w:val="55700C69"/>
    <w:rsid w:val="56A21CD1"/>
    <w:rsid w:val="57BC2E39"/>
    <w:rsid w:val="57F362DC"/>
    <w:rsid w:val="59EE1FC0"/>
    <w:rsid w:val="5C392067"/>
    <w:rsid w:val="5C5E4D31"/>
    <w:rsid w:val="5C9659CE"/>
    <w:rsid w:val="5E440D48"/>
    <w:rsid w:val="60CA1F9A"/>
    <w:rsid w:val="62572A73"/>
    <w:rsid w:val="62862B1B"/>
    <w:rsid w:val="62FA633A"/>
    <w:rsid w:val="63EF275F"/>
    <w:rsid w:val="63FB1E6F"/>
    <w:rsid w:val="645E61BB"/>
    <w:rsid w:val="66555DA5"/>
    <w:rsid w:val="66975563"/>
    <w:rsid w:val="66FB0FA9"/>
    <w:rsid w:val="69CB374A"/>
    <w:rsid w:val="6A59679C"/>
    <w:rsid w:val="6A923491"/>
    <w:rsid w:val="6ADC1073"/>
    <w:rsid w:val="6E6F3391"/>
    <w:rsid w:val="71026245"/>
    <w:rsid w:val="742C4308"/>
    <w:rsid w:val="74983629"/>
    <w:rsid w:val="75652D82"/>
    <w:rsid w:val="75DF75A3"/>
    <w:rsid w:val="7919329D"/>
    <w:rsid w:val="792147B5"/>
    <w:rsid w:val="793C079B"/>
    <w:rsid w:val="796E7003"/>
    <w:rsid w:val="79C8501E"/>
    <w:rsid w:val="7A6B5A95"/>
    <w:rsid w:val="7AD509ED"/>
    <w:rsid w:val="7B642AAB"/>
    <w:rsid w:val="7B800A50"/>
    <w:rsid w:val="7BBA0262"/>
    <w:rsid w:val="7CA51292"/>
    <w:rsid w:val="7ECB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next w:val="4"/>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customStyle="1" w:styleId="1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批注框文本 Char"/>
    <w:basedOn w:val="8"/>
    <w:link w:val="2"/>
    <w:semiHidden/>
    <w:qFormat/>
    <w:uiPriority w:val="99"/>
    <w:rPr>
      <w:rFonts w:ascii="Times New Roman" w:hAnsi="Times New Roman" w:eastAsia="方正仿宋简体" w:cs="Times New Roman"/>
      <w:kern w:val="2"/>
      <w:sz w:val="18"/>
      <w:szCs w:val="18"/>
    </w:rPr>
  </w:style>
  <w:style w:type="table" w:customStyle="1" w:styleId="14">
    <w:name w:val="无格式表格 31"/>
    <w:basedOn w:val="6"/>
    <w:qFormat/>
    <w:uiPriority w:val="0"/>
    <w:rPr>
      <w:rFonts w:hint="eastAsia" w:cs="等线"/>
    </w:r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character" w:customStyle="1" w:styleId="15">
    <w:name w:val="font101"/>
    <w:basedOn w:val="8"/>
    <w:qFormat/>
    <w:uiPriority w:val="0"/>
    <w:rPr>
      <w:rFonts w:hint="eastAsia" w:ascii="宋体" w:hAnsi="宋体" w:eastAsia="宋体" w:cs="宋体"/>
      <w:b/>
      <w:color w:val="000000"/>
      <w:sz w:val="32"/>
      <w:szCs w:val="32"/>
      <w:u w:val="none"/>
    </w:rPr>
  </w:style>
  <w:style w:type="character" w:customStyle="1" w:styleId="16">
    <w:name w:val="font21"/>
    <w:basedOn w:val="8"/>
    <w:qFormat/>
    <w:uiPriority w:val="0"/>
    <w:rPr>
      <w:rFonts w:hint="eastAsia" w:ascii="宋体" w:hAnsi="宋体" w:eastAsia="宋体" w:cs="宋体"/>
      <w:color w:val="000000"/>
      <w:sz w:val="32"/>
      <w:szCs w:val="32"/>
      <w:u w:val="none"/>
    </w:rPr>
  </w:style>
  <w:style w:type="character" w:customStyle="1" w:styleId="17">
    <w:name w:val="font91"/>
    <w:basedOn w:val="8"/>
    <w:qFormat/>
    <w:uiPriority w:val="0"/>
    <w:rPr>
      <w:rFonts w:hint="eastAsia" w:ascii="宋体" w:hAnsi="宋体" w:eastAsia="宋体" w:cs="宋体"/>
      <w:color w:val="000000"/>
      <w:sz w:val="20"/>
      <w:szCs w:val="20"/>
      <w:u w:val="none"/>
    </w:rPr>
  </w:style>
  <w:style w:type="character" w:customStyle="1" w:styleId="18">
    <w:name w:val="font81"/>
    <w:basedOn w:val="8"/>
    <w:uiPriority w:val="0"/>
    <w:rPr>
      <w:rFonts w:hint="eastAsia" w:ascii="宋体" w:hAnsi="宋体" w:eastAsia="宋体" w:cs="宋体"/>
      <w:color w:val="000000"/>
      <w:sz w:val="20"/>
      <w:szCs w:val="20"/>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5150351887396"/>
          <c:y val="0.0486302824378849"/>
          <c:w val="0.772232885476647"/>
          <c:h val="0.840093438097261"/>
        </c:manualLayout>
      </c:layout>
      <c:barChart>
        <c:barDir val="col"/>
        <c:grouping val="clustered"/>
        <c:varyColors val="0"/>
        <c:ser>
          <c:idx val="0"/>
          <c:order val="0"/>
          <c:tx>
            <c:strRef>
              <c:f>Sheet1!$B$1</c:f>
              <c:strCache>
                <c:ptCount val="1"/>
                <c:pt idx="0">
                  <c:v>编制数</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ext>
            </c:extLst>
          </c:dLbls>
          <c:cat>
            <c:strRef>
              <c:f>Sheet1!$A$2:$A$4</c:f>
              <c:strCache>
                <c:ptCount val="3"/>
                <c:pt idx="0">
                  <c:v>总人数</c:v>
                </c:pt>
                <c:pt idx="1">
                  <c:v>行政</c:v>
                </c:pt>
                <c:pt idx="2">
                  <c:v>事业</c:v>
                </c:pt>
              </c:strCache>
            </c:strRef>
          </c:cat>
          <c:val>
            <c:numRef>
              <c:f>Sheet1!$B$2:$B$4</c:f>
              <c:numCache>
                <c:formatCode>General</c:formatCode>
                <c:ptCount val="3"/>
                <c:pt idx="0">
                  <c:v>57</c:v>
                </c:pt>
                <c:pt idx="1">
                  <c:v>19</c:v>
                </c:pt>
                <c:pt idx="2">
                  <c:v>38</c:v>
                </c:pt>
              </c:numCache>
            </c:numRef>
          </c:val>
        </c:ser>
        <c:ser>
          <c:idx val="1"/>
          <c:order val="1"/>
          <c:tx>
            <c:strRef>
              <c:f>Sheet1!$C$1</c:f>
              <c:strCache>
                <c:ptCount val="1"/>
                <c:pt idx="0">
                  <c:v>实有数</c:v>
                </c:pt>
              </c:strCache>
            </c:strRef>
          </c:tx>
          <c:invertIfNegative val="0"/>
          <c:dLbls>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34</a:t>
                    </a:r>
                    <a:endParaRPr lang="en-US" altLang="zh-CN"/>
                  </a:p>
                </c:rich>
              </c:tx>
              <c:dLblPos val="outEnd"/>
              <c:showLegendKey val="0"/>
              <c:showVal val="1"/>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ext>
            </c:extLst>
          </c:dLbls>
          <c:cat>
            <c:strRef>
              <c:f>Sheet1!$A$2:$A$4</c:f>
              <c:strCache>
                <c:ptCount val="3"/>
                <c:pt idx="0">
                  <c:v>总人数</c:v>
                </c:pt>
                <c:pt idx="1">
                  <c:v>行政</c:v>
                </c:pt>
                <c:pt idx="2">
                  <c:v>事业</c:v>
                </c:pt>
              </c:strCache>
            </c:strRef>
          </c:cat>
          <c:val>
            <c:numRef>
              <c:f>Sheet1!$C$2:$C$4</c:f>
              <c:numCache>
                <c:formatCode>General</c:formatCode>
                <c:ptCount val="3"/>
                <c:pt idx="0">
                  <c:v>56</c:v>
                </c:pt>
                <c:pt idx="1">
                  <c:v>22</c:v>
                </c:pt>
                <c:pt idx="2">
                  <c:v>34</c:v>
                </c:pt>
              </c:numCache>
            </c:numRef>
          </c:val>
        </c:ser>
        <c:dLbls>
          <c:showLegendKey val="0"/>
          <c:showVal val="1"/>
          <c:showCatName val="0"/>
          <c:showSerName val="0"/>
          <c:showPercent val="1"/>
          <c:showBubbleSize val="0"/>
        </c:dLbls>
        <c:gapWidth val="150"/>
        <c:overlap val="0"/>
        <c:axId val="887921229"/>
        <c:axId val="947363688"/>
      </c:barChart>
      <c:catAx>
        <c:axId val="887921229"/>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47363688"/>
        <c:crosses val="autoZero"/>
        <c:auto val="1"/>
        <c:lblAlgn val="ctr"/>
        <c:lblOffset val="100"/>
        <c:noMultiLvlLbl val="0"/>
      </c:catAx>
      <c:valAx>
        <c:axId val="9473636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7921229"/>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3199655023717"/>
          <c:y val="0.0317535545023697"/>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财政拨款</c:v>
                </c:pt>
              </c:strCache>
            </c:strRef>
          </c:cat>
          <c:val>
            <c:numRef>
              <c:f>Sheet1!$B$2</c:f>
              <c:numCache>
                <c:formatCode>General</c:formatCode>
                <c:ptCount val="1"/>
                <c:pt idx="0">
                  <c:v>100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24650685809512"/>
          <c:y val="0.5039202508960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928.1</c:v>
                </c:pt>
                <c:pt idx="1">
                  <c:v>224.85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城乡社区支出</c:v>
                </c:pt>
                <c:pt idx="4">
                  <c:v>农林水支出</c:v>
                </c:pt>
              </c:strCache>
            </c:strRef>
          </c:cat>
          <c:val>
            <c:numRef>
              <c:f>Sheet1!$B$2:$B$6</c:f>
              <c:numCache>
                <c:formatCode>General</c:formatCode>
                <c:ptCount val="5"/>
                <c:pt idx="0">
                  <c:v>985.8</c:v>
                </c:pt>
                <c:pt idx="1">
                  <c:v>56.03</c:v>
                </c:pt>
                <c:pt idx="2">
                  <c:v>14.63</c:v>
                </c:pt>
                <c:pt idx="3">
                  <c:v>33</c:v>
                </c:pt>
                <c:pt idx="4">
                  <c:v>63.5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821</Words>
  <Characters>4682</Characters>
  <Lines>39</Lines>
  <Paragraphs>10</Paragraphs>
  <TotalTime>1</TotalTime>
  <ScaleCrop>false</ScaleCrop>
  <LinksUpToDate>false</LinksUpToDate>
  <CharactersWithSpaces>5493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night</cp:lastModifiedBy>
  <cp:lastPrinted>2020-10-22T06:18:00Z</cp:lastPrinted>
  <dcterms:modified xsi:type="dcterms:W3CDTF">2020-10-22T08:12:40Z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