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7"/>
          <w:rFonts w:hint="default" w:ascii="方正小标宋简体" w:hAnsi="方正小标宋简体" w:eastAsia="方正小标宋简体" w:cs="方正小标宋简体"/>
          <w:b w:val="0"/>
          <w:bCs w:val="0"/>
          <w:sz w:val="44"/>
          <w:szCs w:val="44"/>
          <w:lang w:val="en-US"/>
        </w:rPr>
      </w:pPr>
      <w:r>
        <w:rPr>
          <w:rStyle w:val="7"/>
          <w:rFonts w:hint="eastAsia" w:ascii="方正小标宋简体" w:hAnsi="方正小标宋简体" w:eastAsia="方正小标宋简体" w:cs="方正小标宋简体"/>
          <w:sz w:val="44"/>
          <w:szCs w:val="44"/>
          <w:lang w:val="en-US" w:eastAsia="zh-CN"/>
        </w:rPr>
        <w:t xml:space="preserve"> 西安市阎良区广播电视台</w:t>
      </w:r>
    </w:p>
    <w:p>
      <w:pPr>
        <w:pStyle w:val="4"/>
        <w:shd w:val="clear" w:color="auto" w:fill="FFFFFF"/>
        <w:spacing w:before="0" w:beforeAutospacing="0" w:after="0" w:afterAutospacing="0" w:line="520" w:lineRule="exact"/>
        <w:jc w:val="center"/>
        <w:rPr>
          <w:rStyle w:val="7"/>
          <w:rFonts w:ascii="方正小标宋简体" w:hAnsi="方正小标宋简体" w:eastAsia="方正小标宋简体" w:cs="方正小标宋简体"/>
          <w:b w:val="0"/>
          <w:bCs w:val="0"/>
          <w:color w:val="000000"/>
          <w:sz w:val="44"/>
          <w:szCs w:val="44"/>
        </w:rPr>
      </w:pPr>
      <w:r>
        <w:rPr>
          <w:rStyle w:val="7"/>
          <w:rFonts w:hint="eastAsia" w:ascii="方正小标宋简体" w:hAnsi="方正小标宋简体" w:eastAsia="方正小标宋简体" w:cs="方正小标宋简体"/>
          <w:color w:val="000000"/>
          <w:sz w:val="44"/>
          <w:szCs w:val="44"/>
        </w:rPr>
        <w:t>201</w:t>
      </w:r>
      <w:r>
        <w:rPr>
          <w:rStyle w:val="7"/>
          <w:rFonts w:hint="eastAsia" w:ascii="方正小标宋简体" w:hAnsi="方正小标宋简体" w:eastAsia="方正小标宋简体" w:cs="方正小标宋简体"/>
          <w:color w:val="000000"/>
          <w:sz w:val="44"/>
          <w:szCs w:val="44"/>
          <w:lang w:val="en-US" w:eastAsia="zh-CN"/>
        </w:rPr>
        <w:t>9</w:t>
      </w:r>
      <w:r>
        <w:rPr>
          <w:rStyle w:val="7"/>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bookmarkStart w:id="0" w:name="_GoBack"/>
      <w:bookmarkEnd w:id="0"/>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val="en-US" w:eastAsia="zh-CN"/>
        </w:rPr>
        <w:t>可以公开</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val="en-US"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val="en-US" w:eastAsia="zh-CN"/>
        </w:rPr>
        <w:t>李震</w:t>
      </w: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ind w:firstLine="3960" w:firstLineChars="900"/>
        <w:jc w:val="both"/>
        <w:rPr>
          <w:rFonts w:ascii="黑体" w:hAnsi="宋体" w:eastAsia="黑体"/>
          <w:bCs/>
          <w:color w:val="000000"/>
          <w:kern w:val="0"/>
          <w:sz w:val="44"/>
          <w:szCs w:val="44"/>
        </w:rPr>
      </w:pPr>
    </w:p>
    <w:p>
      <w:pPr>
        <w:ind w:firstLine="3960" w:firstLineChars="900"/>
        <w:jc w:val="both"/>
        <w:rPr>
          <w:rFonts w:ascii="黑体" w:hAnsi="宋体" w:eastAsia="黑体"/>
          <w:bCs/>
          <w:color w:val="000000"/>
          <w:kern w:val="0"/>
          <w:sz w:val="44"/>
          <w:szCs w:val="44"/>
        </w:rPr>
      </w:pPr>
      <w:r>
        <w:rPr>
          <w:rFonts w:ascii="黑体" w:hAnsi="宋体" w:eastAsia="黑体"/>
          <w:bCs/>
          <w:color w:val="000000"/>
          <w:kern w:val="0"/>
          <w:sz w:val="44"/>
          <w:szCs w:val="44"/>
        </w:rPr>
        <w:t>目录</w:t>
      </w: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ind w:firstLine="3960" w:firstLineChars="900"/>
        <w:jc w:val="both"/>
        <w:rPr>
          <w:rFonts w:ascii="黑体" w:hAnsi="宋体" w:eastAsia="黑体"/>
          <w:bCs/>
          <w:color w:val="000000"/>
          <w:kern w:val="0"/>
          <w:sz w:val="44"/>
          <w:szCs w:val="44"/>
        </w:rPr>
      </w:pPr>
    </w:p>
    <w:p>
      <w:pPr>
        <w:jc w:val="center"/>
        <w:rPr>
          <w:rFonts w:ascii="黑体" w:hAnsi="宋体" w:eastAsia="黑体"/>
          <w:bCs/>
          <w:color w:val="000000"/>
          <w:kern w:val="0"/>
          <w:sz w:val="44"/>
          <w:szCs w:val="44"/>
        </w:rPr>
      </w:pPr>
    </w:p>
    <w:p>
      <w:pPr>
        <w:widowControl/>
        <w:jc w:val="center"/>
        <w:rPr>
          <w:rFonts w:hint="eastAsia" w:ascii="黑体" w:hAnsi="宋体" w:eastAsia="黑体"/>
          <w:color w:val="000000"/>
          <w:kern w:val="0"/>
          <w:sz w:val="44"/>
          <w:szCs w:val="44"/>
        </w:rPr>
      </w:pPr>
    </w:p>
    <w:p>
      <w:pPr>
        <w:widowControl/>
        <w:jc w:val="center"/>
        <w:rPr>
          <w:sz w:val="44"/>
          <w:szCs w:val="44"/>
        </w:rPr>
      </w:pPr>
      <w:r>
        <w:rPr>
          <w:rFonts w:hint="eastAsia" w:ascii="黑体" w:hAnsi="宋体" w:eastAsia="黑体"/>
          <w:color w:val="000000"/>
          <w:kern w:val="0"/>
          <w:sz w:val="44"/>
          <w:szCs w:val="44"/>
        </w:rPr>
        <w:t>第一部分 部门概况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spacing w:line="627" w:lineRule="atLeast"/>
        <w:rPr>
          <w:rFonts w:hint="eastAsia" w:ascii="仿宋" w:hAnsi="仿宋" w:eastAsia="仿宋"/>
          <w:szCs w:val="32"/>
        </w:rPr>
      </w:pPr>
      <w:r>
        <w:rPr>
          <w:rFonts w:hint="eastAsia" w:ascii="仿宋" w:hAnsi="仿宋" w:eastAsia="仿宋"/>
          <w:szCs w:val="32"/>
        </w:rPr>
        <w:t xml:space="preserve">    1、贯彻中央、省、市以及区委、区政府关于广播电视宣传的方针政策以及国家有关广播电影电视事业管理的法律、法规，把握宣传舆论导向。 </w:t>
      </w:r>
    </w:p>
    <w:p>
      <w:pPr>
        <w:spacing w:line="627" w:lineRule="atLeast"/>
        <w:ind w:firstLine="640" w:firstLineChars="200"/>
        <w:rPr>
          <w:rFonts w:hint="eastAsia" w:ascii="仿宋" w:hAnsi="仿宋" w:eastAsia="仿宋"/>
          <w:szCs w:val="32"/>
        </w:rPr>
      </w:pPr>
      <w:r>
        <w:rPr>
          <w:rFonts w:hint="eastAsia" w:ascii="仿宋" w:hAnsi="仿宋" w:eastAsia="仿宋"/>
          <w:szCs w:val="32"/>
        </w:rPr>
        <w:t>2、管理全区卫星电视广播地面接收设施；管理本区域内广播电视节目的交流、交易活动。</w:t>
      </w:r>
    </w:p>
    <w:p>
      <w:pPr>
        <w:spacing w:line="627" w:lineRule="atLeast"/>
        <w:rPr>
          <w:rFonts w:hint="eastAsia" w:ascii="仿宋" w:hAnsi="仿宋" w:eastAsia="仿宋"/>
          <w:szCs w:val="32"/>
          <w:lang w:eastAsia="zh-CN"/>
        </w:rPr>
      </w:pPr>
      <w:r>
        <w:rPr>
          <w:rFonts w:hint="eastAsia" w:ascii="仿宋" w:hAnsi="仿宋" w:eastAsia="仿宋"/>
          <w:szCs w:val="32"/>
        </w:rPr>
        <w:t xml:space="preserve">    3、保证广播电视节目的安全播出</w:t>
      </w:r>
      <w:r>
        <w:rPr>
          <w:rFonts w:hint="eastAsia" w:ascii="仿宋" w:hAnsi="仿宋" w:eastAsia="仿宋"/>
          <w:szCs w:val="32"/>
          <w:lang w:eastAsia="zh-CN"/>
        </w:rPr>
        <w:t>。</w:t>
      </w:r>
    </w:p>
    <w:p>
      <w:pPr>
        <w:spacing w:line="627" w:lineRule="atLeast"/>
        <w:ind w:firstLine="640"/>
        <w:rPr>
          <w:rFonts w:hint="eastAsia" w:ascii="仿宋" w:hAnsi="仿宋" w:eastAsia="仿宋"/>
          <w:szCs w:val="32"/>
        </w:rPr>
      </w:pPr>
      <w:r>
        <w:rPr>
          <w:rFonts w:hint="eastAsia" w:ascii="仿宋" w:hAnsi="仿宋" w:eastAsia="仿宋"/>
          <w:szCs w:val="32"/>
        </w:rPr>
        <w:t>4、承办区政府交办的其他事项。</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spacing w:line="627" w:lineRule="atLeast"/>
        <w:ind w:firstLine="640" w:firstLineChars="200"/>
        <w:rPr>
          <w:rFonts w:hint="eastAsia" w:ascii="仿宋" w:hAnsi="仿宋" w:eastAsia="仿宋"/>
          <w:szCs w:val="32"/>
          <w:lang w:val="en-US" w:eastAsia="zh-CN"/>
        </w:rPr>
      </w:pPr>
      <w:r>
        <w:rPr>
          <w:rFonts w:hint="eastAsia" w:ascii="仿宋" w:hAnsi="仿宋" w:eastAsia="仿宋"/>
          <w:szCs w:val="32"/>
          <w:lang w:val="en-US" w:eastAsia="zh-CN"/>
        </w:rPr>
        <w:t>本单位无“三定方案”，无内设机构。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从决算单位构成看，本部门的部门决算只包括部门本级决算，本部门无下属事业单位。</w:t>
      </w:r>
    </w:p>
    <w:p>
      <w:pPr>
        <w:spacing w:line="560" w:lineRule="exact"/>
        <w:ind w:firstLine="640" w:firstLineChars="200"/>
        <w:rPr>
          <w:rFonts w:hint="eastAsia" w:ascii="仿宋_GB2312" w:hAnsi="华文仿宋" w:eastAsia="仿宋_GB2312" w:cs="华文仿宋"/>
          <w:szCs w:val="32"/>
        </w:rPr>
      </w:pP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vAlign w:val="top"/>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top"/>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1</w:t>
            </w:r>
          </w:p>
        </w:tc>
        <w:tc>
          <w:tcPr>
            <w:tcW w:w="6923" w:type="dxa"/>
            <w:vAlign w:val="top"/>
          </w:tcPr>
          <w:p>
            <w:pPr>
              <w:spacing w:line="560" w:lineRule="exact"/>
              <w:rPr>
                <w:rFonts w:hint="eastAsia" w:ascii="仿宋_GB2312" w:hAnsi="华文仿宋" w:eastAsia="仿宋_GB2312" w:cs="华文仿宋"/>
                <w:szCs w:val="32"/>
                <w:lang w:eastAsia="zh-CN"/>
              </w:rPr>
            </w:pPr>
            <w:r>
              <w:rPr>
                <w:rFonts w:hint="eastAsia" w:ascii="仿宋_GB2312" w:hAnsi="华文仿宋" w:eastAsia="仿宋_GB2312" w:cs="华文仿宋"/>
                <w:szCs w:val="32"/>
                <w:lang w:val="en-US" w:eastAsia="zh-CN"/>
              </w:rPr>
              <w:t>西安市阎良区广播电视台</w:t>
            </w:r>
            <w:r>
              <w:rPr>
                <w:rFonts w:hint="eastAsia" w:ascii="仿宋_GB2312" w:hAnsi="华文仿宋" w:eastAsia="仿宋_GB2312" w:cs="华文仿宋"/>
                <w:szCs w:val="32"/>
              </w:rPr>
              <w:t>部门本级</w:t>
            </w:r>
          </w:p>
        </w:tc>
      </w:tr>
    </w:tbl>
    <w:p>
      <w:pPr>
        <w:ind w:firstLine="643" w:firstLineChars="200"/>
        <w:rPr>
          <w:rFonts w:ascii="黑体" w:hAnsi="黑体" w:eastAsia="黑体"/>
          <w:b/>
          <w:bCs/>
          <w:sz w:val="32"/>
          <w:szCs w:val="32"/>
        </w:rPr>
      </w:pPr>
      <w:r>
        <w:rPr>
          <w:rFonts w:hint="eastAsia" w:ascii="黑体" w:hAnsi="黑体" w:eastAsia="黑体"/>
          <w:b/>
          <w:bCs/>
          <w:sz w:val="32"/>
          <w:szCs w:val="32"/>
        </w:rPr>
        <w:t>三、部门人员情况</w:t>
      </w:r>
    </w:p>
    <w:p>
      <w:pPr>
        <w:spacing w:line="560" w:lineRule="exact"/>
        <w:ind w:firstLine="640" w:firstLineChars="200"/>
        <w:rPr>
          <w:rFonts w:hint="eastAsia"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w:t>
      </w:r>
      <w:r>
        <w:rPr>
          <w:rFonts w:hint="eastAsia" w:ascii="仿宋_GB2312" w:hAnsi="华文仿宋" w:eastAsia="仿宋_GB2312" w:cs="华文仿宋"/>
          <w:szCs w:val="32"/>
          <w:lang w:val="en-US" w:eastAsia="zh-CN"/>
        </w:rPr>
        <w:t>9</w:t>
      </w:r>
      <w:r>
        <w:rPr>
          <w:rFonts w:hint="eastAsia" w:ascii="仿宋_GB2312" w:hAnsi="华文仿宋" w:eastAsia="仿宋_GB2312" w:cs="华文仿宋"/>
          <w:szCs w:val="32"/>
        </w:rPr>
        <w:t>年底，本部门人员编制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人，其中行政编制</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人、事业编制</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人；实有人员</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人，其中行政</w:t>
      </w:r>
      <w:r>
        <w:rPr>
          <w:rFonts w:hint="eastAsia" w:ascii="仿宋_GB2312" w:hAnsi="华文仿宋" w:eastAsia="仿宋_GB2312" w:cs="华文仿宋"/>
          <w:szCs w:val="32"/>
          <w:lang w:val="en-US" w:eastAsia="zh-CN"/>
        </w:rPr>
        <w:t>0</w:t>
      </w:r>
      <w:r>
        <w:rPr>
          <w:rFonts w:hint="eastAsia" w:ascii="仿宋_GB2312" w:hAnsi="华文仿宋" w:eastAsia="仿宋_GB2312" w:cs="华文仿宋"/>
          <w:szCs w:val="32"/>
        </w:rPr>
        <w:t>人、事业</w:t>
      </w:r>
      <w:r>
        <w:rPr>
          <w:rFonts w:hint="eastAsia" w:ascii="仿宋_GB2312" w:hAnsi="华文仿宋" w:eastAsia="仿宋_GB2312" w:cs="华文仿宋"/>
          <w:szCs w:val="32"/>
          <w:lang w:val="en-US" w:eastAsia="zh-CN"/>
        </w:rPr>
        <w:t>14</w:t>
      </w:r>
      <w:r>
        <w:rPr>
          <w:rFonts w:hint="eastAsia" w:ascii="仿宋_GB2312" w:hAnsi="华文仿宋" w:eastAsia="仿宋_GB2312" w:cs="华文仿宋"/>
          <w:szCs w:val="32"/>
        </w:rPr>
        <w:t>人。单位管理的离退休人员</w:t>
      </w:r>
      <w:r>
        <w:rPr>
          <w:rFonts w:hint="eastAsia" w:ascii="仿宋_GB2312" w:hAnsi="华文仿宋" w:eastAsia="仿宋_GB2312" w:cs="华文仿宋"/>
          <w:szCs w:val="32"/>
          <w:lang w:val="en-US" w:eastAsia="zh-CN"/>
        </w:rPr>
        <w:t>6</w:t>
      </w:r>
      <w:r>
        <w:rPr>
          <w:rFonts w:hint="eastAsia" w:ascii="仿宋_GB2312" w:hAnsi="华文仿宋" w:eastAsia="仿宋_GB2312" w:cs="华文仿宋"/>
          <w:szCs w:val="32"/>
        </w:rPr>
        <w:t>人。</w:t>
      </w:r>
    </w:p>
    <w:p>
      <w:pPr>
        <w:spacing w:line="240" w:lineRule="auto"/>
        <w:ind w:firstLine="640" w:firstLineChars="200"/>
        <w:jc w:val="center"/>
        <w:rPr>
          <w:rFonts w:hint="eastAsia" w:ascii="仿宋_GB2312" w:hAnsi="华文仿宋" w:eastAsia="仿宋_GB2312" w:cs="华文仿宋"/>
          <w:szCs w:val="32"/>
          <w:lang w:eastAsia="zh-CN"/>
        </w:rPr>
      </w:pPr>
      <w:r>
        <w:rPr>
          <w:rFonts w:hint="eastAsia" w:ascii="仿宋_GB2312" w:hAnsi="华文仿宋" w:eastAsia="仿宋_GB2312" w:cs="华文仿宋"/>
          <w:szCs w:val="32"/>
          <w:lang w:eastAsia="zh-CN"/>
        </w:rPr>
        <w:drawing>
          <wp:inline distT="0" distB="0" distL="114300" distR="114300">
            <wp:extent cx="2552065" cy="2685415"/>
            <wp:effectExtent l="0" t="0" r="635" b="635"/>
            <wp:docPr id="1" name="图片 1" descr="微信图片_20181010152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010152415"/>
                    <pic:cNvPicPr>
                      <a:picLocks noChangeAspect="1"/>
                    </pic:cNvPicPr>
                  </pic:nvPicPr>
                  <pic:blipFill>
                    <a:blip r:embed="rId4"/>
                    <a:stretch>
                      <a:fillRect/>
                    </a:stretch>
                  </pic:blipFill>
                  <pic:spPr>
                    <a:xfrm>
                      <a:off x="0" y="0"/>
                      <a:ext cx="2552065" cy="2685415"/>
                    </a:xfrm>
                    <a:prstGeom prst="rect">
                      <a:avLst/>
                    </a:prstGeom>
                    <a:noFill/>
                    <a:ln>
                      <a:noFill/>
                    </a:ln>
                  </pic:spPr>
                </pic:pic>
              </a:graphicData>
            </a:graphic>
          </wp:inline>
        </w:drawing>
      </w:r>
    </w:p>
    <w:p>
      <w:pPr>
        <w:widowControl/>
        <w:numPr>
          <w:ilvl w:val="0"/>
          <w:numId w:val="1"/>
        </w:numPr>
        <w:jc w:val="center"/>
        <w:rPr>
          <w:rFonts w:hint="eastAsia" w:ascii="黑体" w:hAnsi="宋体" w:eastAsia="黑体"/>
          <w:color w:val="000000"/>
          <w:kern w:val="0"/>
          <w:sz w:val="44"/>
          <w:szCs w:val="44"/>
        </w:rPr>
      </w:pPr>
      <w:r>
        <w:rPr>
          <w:rFonts w:hint="eastAsia" w:ascii="黑体" w:hAnsi="宋体" w:eastAsia="黑体"/>
          <w:color w:val="000000"/>
          <w:kern w:val="0"/>
          <w:sz w:val="44"/>
          <w:szCs w:val="44"/>
        </w:rPr>
        <w:t xml:space="preserve"> 2019年度部门决算表</w:t>
      </w:r>
    </w:p>
    <w:tbl>
      <w:tblPr>
        <w:tblStyle w:val="5"/>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40"/>
              </w:tabs>
              <w:jc w:val="center"/>
              <w:rPr>
                <w:rFonts w:hint="eastAsia" w:ascii="宋体" w:hAnsi="宋体" w:eastAsia="方正仿宋简体" w:cs="宋体"/>
                <w:color w:val="000000"/>
                <w:sz w:val="24"/>
                <w:lang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496"/>
              </w:tabs>
              <w:jc w:val="center"/>
              <w:rPr>
                <w:rFonts w:hint="eastAsia" w:ascii="宋体" w:hAnsi="宋体" w:eastAsia="方正仿宋简体" w:cs="宋体"/>
                <w:color w:val="000000"/>
                <w:sz w:val="24"/>
                <w:lang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tabs>
                <w:tab w:val="left" w:pos="290"/>
              </w:tabs>
              <w:jc w:val="center"/>
              <w:rPr>
                <w:rFonts w:hint="eastAsia" w:ascii="宋体" w:hAnsi="宋体" w:eastAsia="方正仿宋简体" w:cs="宋体"/>
                <w:color w:val="000000"/>
                <w:sz w:val="24"/>
                <w:lang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default" w:ascii="宋体" w:hAnsi="宋体" w:eastAsia="方正仿宋简体" w:cs="宋体"/>
                <w:color w:val="000000"/>
                <w:sz w:val="24"/>
                <w:lang w:val="en-US" w:eastAsia="zh-CN"/>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空表</w:t>
            </w:r>
          </w:p>
        </w:tc>
      </w:tr>
    </w:tbl>
    <w:p>
      <w:pPr>
        <w:widowControl/>
        <w:numPr>
          <w:ilvl w:val="0"/>
          <w:numId w:val="0"/>
        </w:numPr>
        <w:jc w:val="both"/>
        <w:rPr>
          <w:rFonts w:hint="eastAsia" w:ascii="黑体" w:hAnsi="宋体" w:eastAsia="黑体"/>
          <w:color w:val="000000"/>
          <w:kern w:val="0"/>
          <w:sz w:val="44"/>
          <w:szCs w:val="44"/>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pacing w:val="-34"/>
          <w:kern w:val="10"/>
          <w:sz w:val="21"/>
          <w:szCs w:val="21"/>
        </w:rPr>
        <w:t xml:space="preserve">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tabs>
                <w:tab w:val="left" w:pos="380"/>
              </w:tabs>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227.55</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14.09</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3.51</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245.15</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245.15</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245.15</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pStyle w:val="4"/>
        <w:shd w:val="clear" w:color="auto" w:fill="FFFFFF"/>
        <w:spacing w:before="0" w:beforeAutospacing="0" w:after="0" w:afterAutospacing="0" w:line="520" w:lineRule="exact"/>
        <w:jc w:val="both"/>
        <w:rPr>
          <w:rFonts w:ascii="宋体" w:hAnsi="宋体" w:eastAsia="宋体" w:cs="宋体"/>
          <w:b/>
          <w:bCs/>
          <w:sz w:val="48"/>
          <w:szCs w:val="48"/>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9033" w:type="dxa"/>
        <w:tblInd w:w="0" w:type="dxa"/>
        <w:tblLayout w:type="fixed"/>
        <w:tblCellMar>
          <w:top w:w="15" w:type="dxa"/>
          <w:left w:w="15" w:type="dxa"/>
          <w:bottom w:w="15" w:type="dxa"/>
          <w:right w:w="15" w:type="dxa"/>
        </w:tblCellMar>
      </w:tblPr>
      <w:tblGrid>
        <w:gridCol w:w="1027"/>
        <w:gridCol w:w="1068"/>
        <w:gridCol w:w="639"/>
        <w:gridCol w:w="975"/>
        <w:gridCol w:w="619"/>
        <w:gridCol w:w="861"/>
        <w:gridCol w:w="1128"/>
        <w:gridCol w:w="916"/>
        <w:gridCol w:w="824"/>
        <w:gridCol w:w="976"/>
      </w:tblGrid>
      <w:tr>
        <w:tblPrEx>
          <w:tblCellMar>
            <w:top w:w="15" w:type="dxa"/>
            <w:left w:w="15" w:type="dxa"/>
            <w:bottom w:w="15" w:type="dxa"/>
            <w:right w:w="15" w:type="dxa"/>
          </w:tblCellMar>
        </w:tblPrEx>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项目</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本年收入合计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财政拨款收入</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上级补助收入</w:t>
            </w:r>
          </w:p>
        </w:tc>
        <w:tc>
          <w:tcPr>
            <w:tcW w:w="198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kern w:val="0"/>
                <w:sz w:val="21"/>
                <w:szCs w:val="21"/>
              </w:rPr>
            </w:pPr>
            <w:r>
              <w:rPr>
                <w:rFonts w:hint="eastAsia" w:ascii="宋体" w:hAnsi="宋体" w:eastAsia="宋体" w:cs="宋体"/>
                <w:i w:val="0"/>
                <w:color w:val="000000"/>
                <w:kern w:val="0"/>
                <w:sz w:val="22"/>
                <w:szCs w:val="22"/>
                <w:u w:val="none"/>
                <w:lang w:val="en-US" w:eastAsia="zh-CN" w:bidi="ar"/>
              </w:rPr>
              <w:t>事业收入</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经营收入</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附属单位上缴收入</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bCs/>
                <w:color w:val="000000"/>
                <w:sz w:val="21"/>
                <w:szCs w:val="21"/>
              </w:rPr>
            </w:pPr>
            <w:r>
              <w:rPr>
                <w:rFonts w:hint="eastAsia" w:ascii="宋体" w:hAnsi="宋体" w:eastAsia="宋体" w:cs="宋体"/>
                <w:i w:val="0"/>
                <w:color w:val="000000"/>
                <w:kern w:val="0"/>
                <w:sz w:val="22"/>
                <w:szCs w:val="22"/>
                <w:u w:val="none"/>
                <w:lang w:val="en-US" w:eastAsia="zh-CN" w:bidi="ar"/>
              </w:rPr>
              <w:t>其他收入</w:t>
            </w:r>
          </w:p>
        </w:tc>
      </w:tr>
      <w:tr>
        <w:tblPrEx>
          <w:tblCellMar>
            <w:top w:w="15" w:type="dxa"/>
            <w:left w:w="15" w:type="dxa"/>
            <w:bottom w:w="15" w:type="dxa"/>
            <w:right w:w="15" w:type="dxa"/>
          </w:tblCellMar>
        </w:tblPrEx>
        <w:trPr>
          <w:trHeight w:val="1125" w:hRule="atLeast"/>
        </w:trPr>
        <w:tc>
          <w:tcPr>
            <w:tcW w:w="102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功能分类科目编码</w:t>
            </w:r>
          </w:p>
        </w:tc>
        <w:tc>
          <w:tcPr>
            <w:tcW w:w="106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科目名称</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1989"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其中：教育收费</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合计</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439" w:hRule="atLeast"/>
        </w:trPr>
        <w:tc>
          <w:tcPr>
            <w:tcW w:w="102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2101102</w:t>
            </w:r>
          </w:p>
        </w:tc>
        <w:tc>
          <w:tcPr>
            <w:tcW w:w="10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事业单位医疗</w:t>
            </w:r>
          </w:p>
        </w:tc>
        <w:tc>
          <w:tcPr>
            <w:tcW w:w="6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6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0"/>
                <w:szCs w:val="20"/>
                <w:u w:val="none"/>
                <w:lang w:val="en-US" w:eastAsia="zh-CN" w:bidi="ar"/>
              </w:rPr>
              <w:t>0.00</w:t>
            </w:r>
          </w:p>
        </w:tc>
        <w:tc>
          <w:tcPr>
            <w:tcW w:w="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439" w:hRule="atLeast"/>
        </w:trPr>
        <w:tc>
          <w:tcPr>
            <w:tcW w:w="2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项目</w:t>
            </w:r>
          </w:p>
        </w:tc>
        <w:tc>
          <w:tcPr>
            <w:tcW w:w="63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本年收入合计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财政拨款收入</w:t>
            </w:r>
          </w:p>
        </w:tc>
        <w:tc>
          <w:tcPr>
            <w:tcW w:w="61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上级补助收入</w:t>
            </w:r>
          </w:p>
        </w:tc>
        <w:tc>
          <w:tcPr>
            <w:tcW w:w="1989" w:type="dxa"/>
            <w:gridSpan w:val="2"/>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事业收入</w:t>
            </w:r>
          </w:p>
        </w:tc>
        <w:tc>
          <w:tcPr>
            <w:tcW w:w="91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经营收入</w:t>
            </w:r>
          </w:p>
        </w:tc>
        <w:tc>
          <w:tcPr>
            <w:tcW w:w="8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附属单位上缴收入</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其他收入</w:t>
            </w:r>
          </w:p>
        </w:tc>
      </w:tr>
      <w:tr>
        <w:tblPrEx>
          <w:tblCellMar>
            <w:top w:w="15" w:type="dxa"/>
            <w:left w:w="15" w:type="dxa"/>
            <w:bottom w:w="15" w:type="dxa"/>
            <w:right w:w="15" w:type="dxa"/>
          </w:tblCellMar>
        </w:tblPrEx>
        <w:trPr>
          <w:trHeight w:val="439" w:hRule="atLeast"/>
        </w:trPr>
        <w:tc>
          <w:tcPr>
            <w:tcW w:w="102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功能分类科目编码</w:t>
            </w:r>
          </w:p>
        </w:tc>
        <w:tc>
          <w:tcPr>
            <w:tcW w:w="106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科目名称</w:t>
            </w: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989" w:type="dxa"/>
            <w:gridSpan w:val="2"/>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r>
        <w:tblPrEx>
          <w:tblCellMar>
            <w:top w:w="15" w:type="dxa"/>
            <w:left w:w="15" w:type="dxa"/>
            <w:bottom w:w="15" w:type="dxa"/>
            <w:right w:w="15" w:type="dxa"/>
          </w:tblCellMar>
        </w:tblPrEx>
        <w:trPr>
          <w:trHeight w:val="449" w:hRule="atLeast"/>
        </w:trPr>
        <w:tc>
          <w:tcPr>
            <w:tcW w:w="1027"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1068"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619"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小计</w:t>
            </w:r>
          </w:p>
        </w:tc>
        <w:tc>
          <w:tcPr>
            <w:tcW w:w="11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320"/>
              </w:tabs>
              <w:jc w:val="center"/>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其中：教育收费</w:t>
            </w:r>
          </w:p>
        </w:tc>
        <w:tc>
          <w:tcPr>
            <w:tcW w:w="91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824"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pPr>
              <w:tabs>
                <w:tab w:val="left" w:pos="320"/>
              </w:tabs>
              <w:jc w:val="center"/>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pStyle w:val="4"/>
        <w:shd w:val="clear" w:color="auto" w:fill="FFFFFF"/>
        <w:spacing w:before="0" w:beforeAutospacing="0" w:after="0" w:afterAutospacing="0" w:line="520" w:lineRule="exact"/>
        <w:jc w:val="both"/>
        <w:rPr>
          <w:rFonts w:ascii="宋体" w:hAnsi="宋体" w:eastAsia="宋体" w:cs="宋体"/>
          <w:b/>
          <w:bCs/>
          <w:sz w:val="48"/>
          <w:szCs w:val="48"/>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 xml:space="preserve">  金额单位：万元</w:t>
      </w:r>
    </w:p>
    <w:tbl>
      <w:tblPr>
        <w:tblStyle w:val="5"/>
        <w:tblW w:w="8896" w:type="dxa"/>
        <w:tblInd w:w="0" w:type="dxa"/>
        <w:tblLayout w:type="fixed"/>
        <w:tblCellMar>
          <w:top w:w="15" w:type="dxa"/>
          <w:left w:w="15" w:type="dxa"/>
          <w:bottom w:w="15" w:type="dxa"/>
          <w:right w:w="15" w:type="dxa"/>
        </w:tblCellMar>
      </w:tblPr>
      <w:tblGrid>
        <w:gridCol w:w="914"/>
        <w:gridCol w:w="83"/>
        <w:gridCol w:w="2111"/>
        <w:gridCol w:w="994"/>
        <w:gridCol w:w="918"/>
        <w:gridCol w:w="957"/>
        <w:gridCol w:w="1012"/>
        <w:gridCol w:w="881"/>
        <w:gridCol w:w="1026"/>
      </w:tblGrid>
      <w:tr>
        <w:tblPrEx>
          <w:tblCellMar>
            <w:top w:w="15" w:type="dxa"/>
            <w:left w:w="15" w:type="dxa"/>
            <w:bottom w:w="15" w:type="dxa"/>
            <w:right w:w="15" w:type="dxa"/>
          </w:tblCellMar>
        </w:tblPrEx>
        <w:trPr>
          <w:trHeight w:val="372" w:hRule="atLeast"/>
        </w:trPr>
        <w:tc>
          <w:tcPr>
            <w:tcW w:w="31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99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1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88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02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1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9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8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214.22</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196.63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219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9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1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88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227.55</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227.55</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r>
      <w:tr>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02"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84" w:type="dxa"/>
            <w:tcBorders>
              <w:top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0.00</w:t>
            </w: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06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245.15</w:t>
            </w:r>
          </w:p>
        </w:tc>
        <w:tc>
          <w:tcPr>
            <w:tcW w:w="11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kern w:val="0"/>
                <w:sz w:val="21"/>
                <w:szCs w:val="21"/>
              </w:rPr>
            </w:pPr>
            <w:r>
              <w:rPr>
                <w:rFonts w:hint="eastAsia" w:ascii="宋体" w:hAnsi="宋体" w:eastAsia="宋体" w:cs="宋体"/>
                <w:i w:val="0"/>
                <w:color w:val="000000"/>
                <w:kern w:val="0"/>
                <w:sz w:val="22"/>
                <w:szCs w:val="22"/>
                <w:u w:val="none"/>
                <w:lang w:val="en-US" w:eastAsia="zh-CN" w:bidi="ar"/>
              </w:rPr>
              <w:t>0.00</w:t>
            </w: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Pr>
        <w:ind w:firstLine="643" w:firstLineChars="200"/>
        <w:jc w:val="both"/>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214.22</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161.59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245.15</w:t>
            </w: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文化旅游体育与传媒支出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196.63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30.93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227.56</w:t>
            </w: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新闻出版电影</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2070699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其他新闻出版电影支出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20.18</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广播电视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63.38</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电视</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10.75</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2070899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其他广播电视支出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2079999</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其他文化体育与传媒支出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144.00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行政事业单位离退休</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9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c>
          <w:tcPr>
            <w:tcW w:w="10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 xml:space="preserve"> 金额单位：万元</w:t>
      </w:r>
    </w:p>
    <w:tbl>
      <w:tblPr>
        <w:tblStyle w:val="5"/>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214.23</w:t>
            </w:r>
          </w:p>
        </w:tc>
        <w:tc>
          <w:tcPr>
            <w:tcW w:w="1437"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363" w:type="dxa"/>
            <w:tcBorders>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b/>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161.60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48.03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48.03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39.00</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39.00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38.53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38.53</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14.09</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3.42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3.42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3.51</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15.02</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15.02</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52.63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22.55</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22.55</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0.49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0.49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1.38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0.37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0.58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8.97</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8.97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12.36</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12.36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3.34</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kern w:val="0"/>
                <w:sz w:val="21"/>
                <w:szCs w:val="21"/>
              </w:rPr>
            </w:pPr>
            <w:r>
              <w:rPr>
                <w:rFonts w:hint="eastAsia" w:ascii="宋体" w:hAnsi="宋体" w:eastAsia="宋体" w:cs="宋体"/>
                <w:i w:val="0"/>
                <w:color w:val="000000"/>
                <w:kern w:val="0"/>
                <w:sz w:val="22"/>
                <w:szCs w:val="22"/>
                <w:u w:val="none"/>
                <w:lang w:val="en-US" w:eastAsia="zh-CN" w:bidi="ar"/>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 xml:space="preserve">  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2.59</w:t>
            </w:r>
          </w:p>
        </w:tc>
        <w:tc>
          <w:tcPr>
            <w:tcW w:w="143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right"/>
              <w:textAlignment w:val="center"/>
              <w:rPr>
                <w:rFonts w:ascii="宋体" w:hAnsi="宋体" w:eastAsia="宋体" w:cs="宋体"/>
                <w:color w:val="000000"/>
                <w:sz w:val="21"/>
                <w:szCs w:val="21"/>
              </w:rPr>
            </w:pPr>
            <w:r>
              <w:rPr>
                <w:rFonts w:hint="eastAsia" w:ascii="宋体" w:hAnsi="宋体" w:eastAsia="宋体" w:cs="宋体"/>
                <w:i w:val="0"/>
                <w:color w:val="000000"/>
                <w:kern w:val="0"/>
                <w:sz w:val="22"/>
                <w:szCs w:val="22"/>
                <w:u w:val="none"/>
                <w:lang w:val="en-US" w:eastAsia="zh-CN" w:bidi="ar"/>
              </w:rPr>
              <w:t>2.59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公开07表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编制部门：</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307"/>
              </w:tabs>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tabs>
                <w:tab w:val="left" w:pos="573"/>
              </w:tabs>
              <w:ind w:firstLine="211" w:firstLineChars="100"/>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val="en-US" w:eastAsia="zh-CN"/>
              </w:rPr>
              <w:t>0.00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tabs>
                <w:tab w:val="left" w:pos="448"/>
              </w:tabs>
              <w:jc w:val="lef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lang w:eastAsia="zh-CN"/>
              </w:rPr>
              <w:tab/>
            </w: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Pr>
        <w:tabs>
          <w:tab w:val="left" w:pos="6076"/>
        </w:tabs>
        <w:rPr>
          <w:rFonts w:hint="eastAsia" w:eastAsia="方正仿宋简体"/>
          <w:lang w:eastAsia="zh-CN"/>
        </w:rPr>
      </w:pPr>
      <w:r>
        <w:rPr>
          <w:rFonts w:hint="eastAsia"/>
          <w:lang w:eastAsia="zh-CN"/>
        </w:rPr>
        <w:tab/>
      </w:r>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rPr>
          <w:rFonts w:ascii="宋体" w:hAnsi="宋体" w:eastAsia="宋体" w:cs="宋体"/>
          <w:b/>
          <w:bCs/>
          <w:sz w:val="21"/>
          <w:szCs w:val="21"/>
        </w:rPr>
      </w:pPr>
      <w:r>
        <w:rPr>
          <w:rFonts w:hint="eastAsia" w:ascii="宋体" w:hAnsi="宋体" w:eastAsia="宋体" w:cs="宋体"/>
          <w:b/>
          <w:bCs/>
          <w:sz w:val="21"/>
          <w:szCs w:val="21"/>
        </w:rPr>
        <w:t>公开08表</w:t>
      </w:r>
    </w:p>
    <w:p>
      <w:pPr>
        <w:pStyle w:val="4"/>
        <w:shd w:val="clear" w:color="auto" w:fill="FFFFFF"/>
        <w:spacing w:before="0" w:beforeAutospacing="0" w:after="0" w:afterAutospacing="0" w:line="520" w:lineRule="exact"/>
        <w:jc w:val="both"/>
        <w:rPr>
          <w:rFonts w:ascii="宋体" w:hAnsi="宋体" w:eastAsia="宋体" w:cs="宋体"/>
          <w:b/>
          <w:bCs/>
          <w:sz w:val="21"/>
          <w:szCs w:val="21"/>
        </w:rPr>
      </w:pPr>
      <w:r>
        <w:rPr>
          <w:rFonts w:hint="eastAsia" w:ascii="宋体" w:hAnsi="宋体" w:eastAsia="宋体" w:cs="宋体"/>
          <w:b/>
          <w:bCs/>
          <w:sz w:val="21"/>
          <w:szCs w:val="21"/>
        </w:rPr>
        <w:t xml:space="preserve">编制部门：     </w:t>
      </w:r>
      <w:r>
        <w:rPr>
          <w:rStyle w:val="7"/>
          <w:rFonts w:hint="eastAsia" w:ascii="方正小标宋简体" w:hAnsi="方正小标宋简体" w:eastAsia="方正小标宋简体" w:cs="方正小标宋简体"/>
          <w:sz w:val="21"/>
          <w:szCs w:val="21"/>
          <w:lang w:val="en-US" w:eastAsia="zh-CN"/>
        </w:rPr>
        <w:t xml:space="preserve">西安市阎良区广播电视台                        </w:t>
      </w:r>
      <w:r>
        <w:rPr>
          <w:rFonts w:hint="eastAsia" w:ascii="宋体" w:hAnsi="宋体" w:eastAsia="宋体" w:cs="宋体"/>
          <w:b/>
          <w:bCs/>
          <w:sz w:val="21"/>
          <w:szCs w:val="21"/>
        </w:rPr>
        <w:t>金额单位：万元</w:t>
      </w:r>
    </w:p>
    <w:tbl>
      <w:tblPr>
        <w:tblStyle w:val="5"/>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widowControl/>
        <w:jc w:val="center"/>
        <w:rPr>
          <w:rFonts w:hint="eastAsia"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r>
        <w:rPr>
          <w:rFonts w:hint="eastAsia" w:ascii="仿宋" w:hAnsi="仿宋" w:eastAsia="仿宋"/>
          <w:b w:val="0"/>
          <w:bCs/>
          <w:color w:val="000000"/>
          <w:sz w:val="32"/>
          <w:szCs w:val="32"/>
        </w:rPr>
        <w:t>（1）</w:t>
      </w:r>
      <w:r>
        <w:rPr>
          <w:rFonts w:hint="eastAsia" w:ascii="仿宋" w:hAnsi="仿宋" w:eastAsia="仿宋"/>
          <w:b w:val="0"/>
          <w:bCs/>
          <w:color w:val="000000"/>
          <w:sz w:val="32"/>
          <w:szCs w:val="32"/>
          <w:lang w:val="en-US" w:eastAsia="zh-CN"/>
        </w:rPr>
        <w:t>2019年度本年收入合计245.15</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kinsoku/>
        <w:wordWrap/>
        <w:overflowPunct/>
        <w:topLinePunct w:val="0"/>
        <w:autoSpaceDE/>
        <w:autoSpaceDN/>
        <w:bidi w:val="0"/>
        <w:adjustRightInd/>
        <w:snapToGrid/>
        <w:spacing w:line="560" w:lineRule="exact"/>
        <w:ind w:firstLine="320" w:firstLineChars="100"/>
        <w:jc w:val="left"/>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color w:val="000000"/>
          <w:sz w:val="32"/>
          <w:szCs w:val="32"/>
        </w:rPr>
        <w:t>（2）</w:t>
      </w:r>
      <w:r>
        <w:rPr>
          <w:rFonts w:hint="eastAsia" w:ascii="仿宋" w:hAnsi="仿宋" w:eastAsia="仿宋"/>
          <w:b w:val="0"/>
          <w:bCs/>
          <w:color w:val="000000"/>
          <w:sz w:val="32"/>
          <w:szCs w:val="32"/>
          <w:lang w:val="en-US" w:eastAsia="zh-CN"/>
        </w:rPr>
        <w:t>2019年度本年支出合计245.15</w:t>
      </w:r>
      <w:r>
        <w:rPr>
          <w:rFonts w:hint="eastAsia" w:ascii="仿宋" w:hAnsi="仿宋" w:eastAsia="仿宋"/>
          <w:b w:val="0"/>
          <w:bCs/>
          <w:color w:val="000000"/>
          <w:sz w:val="32"/>
          <w:szCs w:val="32"/>
        </w:rPr>
        <w:t>万元</w:t>
      </w:r>
      <w:r>
        <w:rPr>
          <w:rFonts w:hint="eastAsia" w:ascii="仿宋" w:hAnsi="仿宋" w:eastAsia="仿宋"/>
          <w:b w:val="0"/>
          <w:bCs/>
          <w:color w:val="000000"/>
          <w:sz w:val="32"/>
          <w:szCs w:val="32"/>
          <w:lang w:eastAsia="zh-CN"/>
        </w:rPr>
        <w:t>，</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kinsoku/>
        <w:wordWrap/>
        <w:overflowPunct/>
        <w:topLinePunct w:val="0"/>
        <w:autoSpaceDE/>
        <w:autoSpaceDN/>
        <w:bidi w:val="0"/>
        <w:adjustRightInd/>
        <w:snapToGrid/>
        <w:spacing w:line="240" w:lineRule="auto"/>
        <w:ind w:firstLine="320" w:firstLineChars="100"/>
        <w:jc w:val="left"/>
        <w:textAlignment w:val="auto"/>
        <w:outlineLvl w:val="9"/>
        <w:rPr>
          <w:rFonts w:hint="eastAsia" w:ascii="仿宋" w:hAnsi="仿宋" w:eastAsia="仿宋"/>
          <w:b w:val="0"/>
          <w:bCs/>
          <w:color w:val="000000"/>
          <w:sz w:val="32"/>
          <w:szCs w:val="32"/>
          <w:lang w:val="en-US" w:eastAsia="zh-CN"/>
        </w:rPr>
      </w:pPr>
      <w:r>
        <w:rPr>
          <w:rFonts w:hint="eastAsia" w:ascii="仿宋" w:hAnsi="仿宋" w:eastAsia="仿宋"/>
          <w:b w:val="0"/>
          <w:bCs/>
          <w:color w:val="000000"/>
          <w:sz w:val="32"/>
          <w:szCs w:val="32"/>
          <w:lang w:val="en-US" w:eastAsia="zh-CN"/>
        </w:rPr>
        <w:drawing>
          <wp:inline distT="0" distB="0" distL="114300" distR="114300">
            <wp:extent cx="4533900" cy="2714625"/>
            <wp:effectExtent l="0" t="0" r="0" b="9525"/>
            <wp:docPr id="8" name="图片 8" descr="微信图片_2020101616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1016165737"/>
                    <pic:cNvPicPr>
                      <a:picLocks noChangeAspect="1"/>
                    </pic:cNvPicPr>
                  </pic:nvPicPr>
                  <pic:blipFill>
                    <a:blip r:embed="rId5"/>
                    <a:stretch>
                      <a:fillRect/>
                    </a:stretch>
                  </pic:blipFill>
                  <pic:spPr>
                    <a:xfrm>
                      <a:off x="0" y="0"/>
                      <a:ext cx="4533900" cy="27146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年本年收入合计</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hd w:val="clear" w:color="auto" w:fill="FFFFFF"/>
        <w:spacing w:before="0" w:beforeAutospacing="0" w:after="0" w:afterAutospacing="0" w:line="240" w:lineRule="auto"/>
        <w:ind w:firstLine="640" w:firstLineChars="200"/>
        <w:rPr>
          <w:rFonts w:hint="eastAsia" w:ascii="仿宋_GB2312" w:hAnsi="华文仿宋" w:eastAsia="仿宋_GB2312" w:cs="华文仿宋"/>
          <w:sz w:val="32"/>
          <w:szCs w:val="32"/>
          <w:lang w:eastAsia="zh-CN"/>
        </w:rPr>
      </w:pPr>
      <w:r>
        <w:rPr>
          <w:rFonts w:hint="eastAsia" w:ascii="仿宋_GB2312" w:hAnsi="华文仿宋" w:eastAsia="仿宋_GB2312" w:cs="华文仿宋"/>
          <w:sz w:val="32"/>
          <w:szCs w:val="32"/>
        </w:rPr>
        <w:t>财政拨款</w:t>
      </w:r>
      <w:r>
        <w:rPr>
          <w:rFonts w:hint="eastAsia" w:ascii="仿宋_GB2312" w:hAnsi="华文仿宋" w:eastAsia="仿宋_GB2312" w:cs="华文仿宋"/>
          <w:sz w:val="32"/>
          <w:szCs w:val="32"/>
          <w:lang w:val="en-US" w:eastAsia="zh-CN"/>
        </w:rPr>
        <w:t>245.154</w:t>
      </w:r>
      <w:r>
        <w:rPr>
          <w:rFonts w:hint="eastAsia" w:ascii="仿宋_GB2312" w:hAnsi="华文仿宋" w:eastAsia="仿宋_GB2312" w:cs="华文仿宋"/>
          <w:sz w:val="32"/>
          <w:szCs w:val="32"/>
        </w:rPr>
        <w:t>万元，占总收入的</w:t>
      </w:r>
      <w:r>
        <w:rPr>
          <w:rFonts w:hint="eastAsia" w:ascii="仿宋_GB2312" w:hAnsi="华文仿宋" w:eastAsia="仿宋_GB2312" w:cs="华文仿宋"/>
          <w:sz w:val="32"/>
          <w:szCs w:val="32"/>
          <w:lang w:val="en-US" w:eastAsia="zh-CN"/>
        </w:rPr>
        <w:t>100</w:t>
      </w:r>
      <w:r>
        <w:rPr>
          <w:rFonts w:ascii="仿宋_GB2312" w:hAnsi="华文仿宋" w:eastAsia="仿宋_GB2312" w:cs="华文仿宋"/>
          <w:sz w:val="32"/>
          <w:szCs w:val="32"/>
        </w:rPr>
        <w:t>%</w:t>
      </w:r>
      <w:r>
        <w:rPr>
          <w:rFonts w:hint="eastAsia" w:ascii="仿宋_GB2312" w:hAnsi="华文仿宋" w:eastAsia="仿宋_GB2312" w:cs="华文仿宋"/>
          <w:sz w:val="32"/>
          <w:szCs w:val="32"/>
        </w:rPr>
        <w:t>，包括一般公共预算财政拨款</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hint="eastAsia" w:ascii="仿宋_GB2312" w:hAnsi="华文仿宋" w:eastAsia="仿宋_GB2312" w:cs="华文仿宋"/>
          <w:sz w:val="32"/>
          <w:szCs w:val="32"/>
          <w:lang w:eastAsia="zh-CN"/>
        </w:rPr>
        <w:drawing>
          <wp:inline distT="0" distB="0" distL="114300" distR="114300">
            <wp:extent cx="3800475" cy="2724150"/>
            <wp:effectExtent l="0" t="0" r="9525" b="0"/>
            <wp:docPr id="7" name="图片 7" descr="c8b91e2431f3523528b214e6868f7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8b91e2431f3523528b214e6868f72e"/>
                    <pic:cNvPicPr>
                      <a:picLocks noChangeAspect="1"/>
                    </pic:cNvPicPr>
                  </pic:nvPicPr>
                  <pic:blipFill>
                    <a:blip r:embed="rId6"/>
                    <a:stretch>
                      <a:fillRect/>
                    </a:stretch>
                  </pic:blipFill>
                  <pic:spPr>
                    <a:xfrm>
                      <a:off x="0" y="0"/>
                      <a:ext cx="3800475" cy="2724150"/>
                    </a:xfrm>
                    <a:prstGeom prst="rect">
                      <a:avLst/>
                    </a:prstGeom>
                  </pic:spPr>
                </pic:pic>
              </a:graphicData>
            </a:graphic>
          </wp:inline>
        </w:drawing>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年本年支出合计</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numPr>
          <w:ilvl w:val="0"/>
          <w:numId w:val="3"/>
        </w:numPr>
        <w:spacing w:before="0" w:beforeAutospacing="0" w:after="0" w:afterAutospacing="0" w:line="560" w:lineRule="exact"/>
        <w:ind w:firstLine="640" w:firstLineChars="200"/>
        <w:rPr>
          <w:rFonts w:hint="eastAsia"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214.23</w:t>
      </w:r>
      <w:r>
        <w:rPr>
          <w:rFonts w:hint="eastAsia" w:ascii="仿宋_GB2312" w:eastAsia="仿宋_GB2312"/>
          <w:sz w:val="32"/>
          <w:szCs w:val="32"/>
        </w:rPr>
        <w:t>万元，占总支出的</w:t>
      </w:r>
      <w:r>
        <w:rPr>
          <w:rFonts w:hint="eastAsia" w:ascii="仿宋_GB2312" w:eastAsia="仿宋_GB2312"/>
          <w:sz w:val="32"/>
          <w:szCs w:val="32"/>
          <w:lang w:val="en-US" w:eastAsia="zh-CN"/>
        </w:rPr>
        <w:t>87.39</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161.6</w:t>
      </w:r>
      <w:r>
        <w:rPr>
          <w:rFonts w:hint="eastAsia" w:ascii="仿宋_GB2312" w:eastAsia="仿宋_GB2312"/>
          <w:sz w:val="32"/>
          <w:szCs w:val="32"/>
        </w:rPr>
        <w:t>万元和公用经费</w:t>
      </w:r>
      <w:r>
        <w:rPr>
          <w:rFonts w:hint="eastAsia" w:ascii="仿宋_GB2312" w:eastAsia="仿宋_GB2312"/>
          <w:sz w:val="32"/>
          <w:szCs w:val="32"/>
          <w:lang w:val="en-US" w:eastAsia="zh-CN"/>
        </w:rPr>
        <w:t>52.63</w:t>
      </w:r>
      <w:r>
        <w:rPr>
          <w:rFonts w:hint="eastAsia" w:ascii="仿宋_GB2312" w:eastAsia="仿宋_GB2312"/>
          <w:sz w:val="32"/>
          <w:szCs w:val="32"/>
        </w:rPr>
        <w:t>万元。</w:t>
      </w:r>
    </w:p>
    <w:p>
      <w:pPr>
        <w:pStyle w:val="4"/>
        <w:numPr>
          <w:ilvl w:val="0"/>
          <w:numId w:val="3"/>
        </w:numPr>
        <w:spacing w:before="0" w:beforeAutospacing="0" w:after="0" w:afterAutospacing="0" w:line="240" w:lineRule="auto"/>
        <w:ind w:left="0" w:leftChars="0" w:firstLine="640" w:firstLineChars="200"/>
        <w:rPr>
          <w:rFonts w:hint="eastAsia" w:ascii="仿宋_GB2312" w:eastAsia="仿宋_GB2312"/>
          <w:sz w:val="32"/>
          <w:szCs w:val="32"/>
          <w:lang w:val="en-US" w:eastAsia="zh-CN"/>
        </w:rPr>
      </w:pPr>
      <w:r>
        <w:rPr>
          <w:rFonts w:hint="eastAsia" w:ascii="仿宋_GB2312" w:eastAsia="仿宋_GB2312"/>
          <w:sz w:val="32"/>
          <w:szCs w:val="32"/>
        </w:rPr>
        <w:t>项目支出</w:t>
      </w:r>
      <w:r>
        <w:rPr>
          <w:rFonts w:hint="eastAsia" w:ascii="仿宋_GB2312" w:eastAsia="仿宋_GB2312"/>
          <w:sz w:val="32"/>
          <w:szCs w:val="32"/>
          <w:lang w:val="en-US" w:eastAsia="zh-CN"/>
        </w:rPr>
        <w:t>30.92</w:t>
      </w:r>
      <w:r>
        <w:rPr>
          <w:rFonts w:hint="eastAsia" w:ascii="仿宋_GB2312" w:eastAsia="仿宋_GB2312"/>
          <w:sz w:val="32"/>
          <w:szCs w:val="32"/>
        </w:rPr>
        <w:t>万元，占总支出的</w:t>
      </w:r>
      <w:r>
        <w:rPr>
          <w:rFonts w:hint="eastAsia" w:ascii="仿宋_GB2312" w:eastAsia="仿宋_GB2312"/>
          <w:sz w:val="32"/>
          <w:szCs w:val="32"/>
          <w:lang w:val="en-US" w:eastAsia="zh-CN"/>
        </w:rPr>
        <w:t>12.61</w:t>
      </w:r>
      <w:r>
        <w:rPr>
          <w:rFonts w:hint="eastAsia" w:ascii="仿宋_GB2312" w:eastAsia="仿宋_GB2312"/>
          <w:sz w:val="32"/>
          <w:szCs w:val="32"/>
        </w:rPr>
        <w:t>%，是为完成特定的工作任务或事业发展目标，在基本支出之外发生的支出。主要</w:t>
      </w:r>
      <w:r>
        <w:rPr>
          <w:rFonts w:hint="eastAsia" w:ascii="仿宋_GB2312" w:eastAsia="仿宋_GB2312"/>
          <w:sz w:val="32"/>
          <w:szCs w:val="32"/>
          <w:lang w:val="en-US" w:eastAsia="zh-CN"/>
        </w:rPr>
        <w:t>包括业务发展经费</w:t>
      </w:r>
      <w:r>
        <w:rPr>
          <w:rFonts w:hint="eastAsia" w:ascii="仿宋_GB2312" w:eastAsia="仿宋_GB2312"/>
          <w:sz w:val="32"/>
          <w:szCs w:val="32"/>
        </w:rPr>
        <w:t>项目</w:t>
      </w:r>
      <w:r>
        <w:rPr>
          <w:rFonts w:hint="eastAsia" w:ascii="仿宋_GB2312" w:eastAsia="仿宋_GB2312"/>
          <w:sz w:val="32"/>
          <w:szCs w:val="32"/>
          <w:lang w:val="en-US" w:eastAsia="zh-CN"/>
        </w:rPr>
        <w:t>支出20.17</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维修费项目支出10.75万元等。</w:t>
      </w:r>
      <w:r>
        <w:rPr>
          <w:rFonts w:hint="eastAsia" w:ascii="仿宋_GB2312" w:eastAsia="仿宋_GB2312"/>
          <w:sz w:val="32"/>
          <w:szCs w:val="32"/>
          <w:lang w:val="en-US" w:eastAsia="zh-CN"/>
        </w:rPr>
        <w:drawing>
          <wp:inline distT="0" distB="0" distL="114300" distR="114300">
            <wp:extent cx="4533900" cy="2705100"/>
            <wp:effectExtent l="0" t="0" r="0" b="0"/>
            <wp:docPr id="10" name="图片 10" descr="微信图片_20201016170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01016170603"/>
                    <pic:cNvPicPr>
                      <a:picLocks noChangeAspect="1"/>
                    </pic:cNvPicPr>
                  </pic:nvPicPr>
                  <pic:blipFill>
                    <a:blip r:embed="rId7"/>
                    <a:stretch>
                      <a:fillRect/>
                    </a:stretch>
                  </pic:blipFill>
                  <pic:spPr>
                    <a:xfrm>
                      <a:off x="0" y="0"/>
                      <a:ext cx="4533900" cy="2705100"/>
                    </a:xfrm>
                    <a:prstGeom prst="rect">
                      <a:avLst/>
                    </a:prstGeom>
                  </pic:spPr>
                </pic:pic>
              </a:graphicData>
            </a:graphic>
          </wp:inline>
        </w:drawing>
      </w:r>
    </w:p>
    <w:p>
      <w:pPr>
        <w:pStyle w:val="4"/>
        <w:numPr>
          <w:ilvl w:val="0"/>
          <w:numId w:val="2"/>
        </w:numPr>
        <w:shd w:val="clear" w:color="auto" w:fill="FFFFFF"/>
        <w:spacing w:before="0" w:beforeAutospacing="0" w:after="0" w:afterAutospacing="0" w:line="550" w:lineRule="exact"/>
        <w:ind w:left="0" w:leftChars="0" w:firstLine="640" w:firstLineChars="200"/>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年财政拨款收入</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较上年增加34.81万元，主要原因是社保费列入预算。</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 w:hAnsi="仿宋" w:eastAsia="仿宋"/>
          <w:b w:val="0"/>
          <w:bCs/>
          <w:color w:val="000000"/>
          <w:sz w:val="32"/>
          <w:szCs w:val="32"/>
          <w:lang w:val="en-US" w:eastAsia="zh-CN"/>
        </w:rPr>
      </w:pPr>
      <w:r>
        <w:rPr>
          <w:rFonts w:ascii="仿宋_GB2312" w:hAnsi="华文仿宋" w:eastAsia="仿宋_GB2312" w:cs="华文仿宋"/>
          <w:sz w:val="32"/>
          <w:szCs w:val="32"/>
        </w:rPr>
        <w:t>201</w:t>
      </w:r>
      <w:r>
        <w:rPr>
          <w:rFonts w:hint="eastAsia" w:ascii="仿宋_GB2312" w:hAnsi="华文仿宋" w:eastAsia="仿宋_GB2312" w:cs="华文仿宋"/>
          <w:sz w:val="32"/>
          <w:szCs w:val="32"/>
          <w:lang w:val="en-US" w:eastAsia="zh-CN"/>
        </w:rPr>
        <w:t>9</w:t>
      </w:r>
      <w:r>
        <w:rPr>
          <w:rFonts w:hint="eastAsia" w:ascii="仿宋_GB2312" w:hAnsi="华文仿宋" w:eastAsia="仿宋_GB2312" w:cs="华文仿宋"/>
          <w:sz w:val="32"/>
          <w:szCs w:val="32"/>
        </w:rPr>
        <w:t>年财政拨款支出</w:t>
      </w:r>
      <w:r>
        <w:rPr>
          <w:rFonts w:hint="eastAsia" w:ascii="仿宋_GB2312" w:hAnsi="华文仿宋" w:eastAsia="仿宋_GB2312" w:cs="华文仿宋"/>
          <w:sz w:val="32"/>
          <w:szCs w:val="32"/>
          <w:lang w:val="en-US" w:eastAsia="zh-CN"/>
        </w:rPr>
        <w:t>245.15</w:t>
      </w:r>
      <w:r>
        <w:rPr>
          <w:rFonts w:hint="eastAsia" w:ascii="仿宋_GB2312" w:hAnsi="华文仿宋" w:eastAsia="仿宋_GB2312" w:cs="华文仿宋"/>
          <w:sz w:val="32"/>
          <w:szCs w:val="32"/>
        </w:rPr>
        <w:t>万元，</w:t>
      </w:r>
      <w:r>
        <w:rPr>
          <w:rFonts w:hint="eastAsia" w:ascii="仿宋" w:hAnsi="仿宋" w:eastAsia="仿宋"/>
          <w:b w:val="0"/>
          <w:bCs/>
          <w:color w:val="000000"/>
          <w:sz w:val="32"/>
          <w:szCs w:val="32"/>
          <w:lang w:val="en-US" w:eastAsia="zh-CN"/>
        </w:rPr>
        <w:t>较上年增加34.81万元，主要原因是社保费列入预算。</w:t>
      </w:r>
      <w:r>
        <w:rPr>
          <w:rFonts w:hint="eastAsia" w:ascii="仿宋" w:hAnsi="仿宋" w:eastAsia="仿宋"/>
          <w:b w:val="0"/>
          <w:bCs/>
          <w:color w:val="000000"/>
          <w:sz w:val="32"/>
          <w:szCs w:val="32"/>
          <w:lang w:val="en-US" w:eastAsia="zh-CN"/>
        </w:rPr>
        <w:drawing>
          <wp:inline distT="0" distB="0" distL="114300" distR="114300">
            <wp:extent cx="4533900" cy="2714625"/>
            <wp:effectExtent l="0" t="0" r="0" b="9525"/>
            <wp:docPr id="9" name="图片 9" descr="微信图片_20201016165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01016165737"/>
                    <pic:cNvPicPr>
                      <a:picLocks noChangeAspect="1"/>
                    </pic:cNvPicPr>
                  </pic:nvPicPr>
                  <pic:blipFill>
                    <a:blip r:embed="rId5"/>
                    <a:stretch>
                      <a:fillRect/>
                    </a:stretch>
                  </pic:blipFill>
                  <pic:spPr>
                    <a:xfrm>
                      <a:off x="0" y="0"/>
                      <a:ext cx="4533900" cy="271462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b w:val="0"/>
          <w:bCs/>
          <w:color w:val="000000"/>
          <w:sz w:val="32"/>
          <w:szCs w:val="32"/>
          <w:lang w:val="en-US" w:eastAsia="zh-CN"/>
        </w:rPr>
      </w:pP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245.15</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34.81</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16.55</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 w:hAnsi="仿宋" w:eastAsia="仿宋"/>
          <w:b w:val="0"/>
          <w:bCs/>
          <w:color w:val="000000"/>
          <w:sz w:val="32"/>
          <w:szCs w:val="32"/>
          <w:lang w:val="en-US" w:eastAsia="zh-CN"/>
        </w:rPr>
        <w:t>社保费列入预算。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仿宋" w:hAnsi="仿宋" w:eastAsia="仿宋"/>
          <w:b/>
          <w:bCs w:val="0"/>
          <w:color w:val="000000"/>
          <w:sz w:val="32"/>
          <w:szCs w:val="32"/>
          <w:lang w:val="en-US" w:eastAsia="zh-CN"/>
        </w:rPr>
        <w:t>（</w:t>
      </w: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pStyle w:val="4"/>
        <w:shd w:val="clear" w:color="auto" w:fill="FFFFFF"/>
        <w:spacing w:before="0" w:beforeAutospacing="0" w:after="0" w:afterAutospacing="0" w:line="550" w:lineRule="exact"/>
        <w:ind w:firstLine="640" w:firstLineChars="200"/>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w:t>
      </w:r>
      <w:r>
        <w:rPr>
          <w:rFonts w:hint="eastAsia" w:ascii="仿宋_GB2312" w:hAnsi="宋体" w:eastAsia="仿宋_GB2312" w:cs="仿宋_GB2312"/>
          <w:color w:val="000000"/>
          <w:kern w:val="0"/>
          <w:sz w:val="32"/>
          <w:szCs w:val="32"/>
          <w:lang w:val="en-US" w:eastAsia="zh-CN" w:bidi="ar"/>
        </w:rPr>
        <w:t>142.08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245.15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172.54</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val="en-US" w:eastAsia="zh-CN" w:bidi="ar"/>
        </w:rPr>
        <w:t>其他广播影视</w:t>
      </w:r>
      <w:r>
        <w:rPr>
          <w:rFonts w:hint="eastAsia" w:ascii="仿宋_GB2312" w:hAnsi="宋体" w:eastAsia="仿宋_GB2312" w:cs="仿宋_GB2312"/>
          <w:b w:val="0"/>
          <w:bCs/>
          <w:color w:val="000000"/>
          <w:kern w:val="0"/>
          <w:sz w:val="32"/>
          <w:szCs w:val="32"/>
          <w:lang w:val="en-US" w:eastAsia="zh-CN" w:bidi="ar"/>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139.8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37.65</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小于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2.</w:t>
      </w:r>
      <w:r>
        <w:rPr>
          <w:rFonts w:hint="eastAsia" w:ascii="仿宋" w:hAnsi="仿宋" w:eastAsia="仿宋"/>
          <w:b/>
          <w:bCs/>
          <w:color w:val="000000"/>
          <w:sz w:val="32"/>
          <w:szCs w:val="32"/>
          <w:lang w:val="en-US" w:eastAsia="zh-CN"/>
        </w:rPr>
        <w:t>电视</w:t>
      </w:r>
      <w:r>
        <w:rPr>
          <w:rFonts w:hint="eastAsia" w:ascii="仿宋" w:hAnsi="仿宋" w:eastAsia="仿宋"/>
          <w:color w:val="000000"/>
          <w:sz w:val="32"/>
          <w:szCs w:val="32"/>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10.75</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358.33</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3.</w:t>
      </w:r>
      <w:r>
        <w:rPr>
          <w:rFonts w:hint="eastAsia" w:ascii="仿宋" w:hAnsi="仿宋" w:eastAsia="仿宋"/>
          <w:b/>
          <w:bCs/>
          <w:color w:val="000000"/>
          <w:sz w:val="32"/>
          <w:szCs w:val="32"/>
          <w:lang w:val="en-US" w:eastAsia="zh-CN"/>
        </w:rPr>
        <w:t>其他文化旅游体育与传媒</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144</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4.</w:t>
      </w:r>
      <w:r>
        <w:rPr>
          <w:rFonts w:hint="eastAsia" w:ascii="仿宋" w:hAnsi="仿宋" w:eastAsia="仿宋"/>
          <w:b/>
          <w:bCs/>
          <w:color w:val="000000"/>
          <w:sz w:val="32"/>
          <w:szCs w:val="32"/>
          <w:lang w:val="en-US" w:eastAsia="zh-CN"/>
        </w:rPr>
        <w:t>事业单位基本养老</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14.09</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r>
        <w:rPr>
          <w:rFonts w:hint="eastAsia" w:ascii="仿宋" w:hAnsi="仿宋" w:eastAsia="仿宋"/>
          <w:color w:val="000000"/>
          <w:sz w:val="32"/>
          <w:szCs w:val="32"/>
          <w:lang w:val="en-US" w:eastAsia="zh-CN"/>
        </w:rPr>
        <w:t>5.</w:t>
      </w:r>
      <w:r>
        <w:rPr>
          <w:rFonts w:hint="eastAsia" w:ascii="仿宋" w:hAnsi="仿宋" w:eastAsia="仿宋"/>
          <w:b/>
          <w:bCs/>
          <w:color w:val="000000"/>
          <w:sz w:val="32"/>
          <w:szCs w:val="32"/>
          <w:lang w:val="en-US" w:eastAsia="zh-CN"/>
        </w:rPr>
        <w:t>事业单位医疗</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社保费由预算单位缴费。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 w:hAnsi="仿宋" w:eastAsia="仿宋"/>
          <w:color w:val="000000"/>
          <w:sz w:val="32"/>
          <w:szCs w:val="32"/>
          <w:lang w:val="en-US" w:eastAsia="zh-CN"/>
        </w:rPr>
        <w:t>6.</w:t>
      </w:r>
      <w:r>
        <w:rPr>
          <w:rFonts w:hint="eastAsia" w:ascii="仿宋" w:hAnsi="仿宋" w:eastAsia="仿宋"/>
          <w:b/>
          <w:bCs/>
          <w:color w:val="000000"/>
          <w:sz w:val="32"/>
          <w:szCs w:val="32"/>
          <w:lang w:val="en-US" w:eastAsia="zh-CN"/>
        </w:rPr>
        <w:t>其他新闻出版电影</w:t>
      </w:r>
      <w:r>
        <w:rPr>
          <w:rFonts w:hint="eastAsia" w:ascii="仿宋" w:hAnsi="仿宋" w:eastAsia="仿宋"/>
          <w:b w:val="0"/>
          <w:bCs w:val="0"/>
          <w:color w:val="000000"/>
          <w:sz w:val="32"/>
          <w:szCs w:val="32"/>
          <w:lang w:val="en-US" w:eastAsia="zh-CN"/>
        </w:rPr>
        <w:t>支出</w:t>
      </w: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20.18</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val="en-US" w:eastAsia="zh-CN" w:bidi="ar"/>
        </w:rPr>
        <w:t>大</w:t>
      </w:r>
      <w:r>
        <w:rPr>
          <w:rFonts w:hint="eastAsia" w:ascii="仿宋_GB2312" w:hAnsi="宋体" w:eastAsia="仿宋_GB2312" w:cs="仿宋_GB2312"/>
          <w:color w:val="000000"/>
          <w:kern w:val="0"/>
          <w:sz w:val="32"/>
          <w:szCs w:val="32"/>
          <w:lang w:bidi="ar"/>
        </w:rPr>
        <w:t>于</w:t>
      </w:r>
      <w:r>
        <w:rPr>
          <w:rFonts w:ascii="仿宋_GB2312" w:hAnsi="宋体" w:eastAsia="仿宋_GB2312" w:cs="仿宋_GB2312"/>
          <w:color w:val="000000"/>
          <w:kern w:val="0"/>
          <w:sz w:val="32"/>
          <w:szCs w:val="32"/>
          <w:lang w:bidi="ar"/>
        </w:rPr>
        <w:t>预算数的主要原因是</w:t>
      </w:r>
      <w:r>
        <w:rPr>
          <w:rFonts w:hint="eastAsia" w:ascii="仿宋_GB2312" w:hAnsi="宋体" w:eastAsia="仿宋_GB2312" w:cs="仿宋_GB2312"/>
          <w:color w:val="000000"/>
          <w:kern w:val="0"/>
          <w:sz w:val="32"/>
          <w:szCs w:val="32"/>
          <w:lang w:val="en-US" w:eastAsia="zh-CN" w:bidi="ar"/>
        </w:rPr>
        <w:t>功能科目调整</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bidi="ar"/>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olor w:val="000000"/>
          <w:kern w:val="0"/>
          <w:sz w:val="32"/>
          <w:szCs w:val="32"/>
          <w:lang w:val="en-US" w:eastAsia="zh-CN" w:bidi="ar"/>
        </w:rPr>
        <w:t>六、</w:t>
      </w:r>
      <w:r>
        <w:rPr>
          <w:rFonts w:hint="eastAsia" w:ascii="黑体" w:hAnsi="黑体" w:eastAsia="黑体"/>
          <w:color w:val="000000"/>
          <w:kern w:val="0"/>
          <w:sz w:val="32"/>
          <w:szCs w:val="32"/>
          <w:lang w:bidi="ar"/>
        </w:rPr>
        <w:t>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214.23</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161.6</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52.63</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161.6</w:t>
      </w:r>
      <w:r>
        <w:rPr>
          <w:rFonts w:ascii="仿宋_GB2312" w:hAnsi="宋体" w:eastAsia="仿宋_GB2312" w:cs="仿宋_GB2312"/>
          <w:color w:val="000000"/>
          <w:kern w:val="0"/>
          <w:sz w:val="32"/>
          <w:szCs w:val="32"/>
          <w:lang w:bidi="ar"/>
        </w:rPr>
        <w:t>万元，主要包括基本工资</w:t>
      </w:r>
      <w:r>
        <w:rPr>
          <w:rFonts w:hint="eastAsia" w:ascii="仿宋_GB2312" w:hAnsi="宋体" w:eastAsia="仿宋_GB2312" w:cs="仿宋_GB2312"/>
          <w:color w:val="000000"/>
          <w:kern w:val="0"/>
          <w:sz w:val="32"/>
          <w:szCs w:val="32"/>
          <w:lang w:val="en-US" w:eastAsia="zh-CN" w:bidi="ar"/>
        </w:rPr>
        <w:t>48.03</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val="en-US" w:eastAsia="zh-CN" w:bidi="ar"/>
        </w:rPr>
        <w:t>绩效工资38.53万元、奖金39万元、职业年金3.4万元、公积金15.02万元、单位养老14.09万元、单位医疗3.5万元。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办公费22.55万元、印刷费0.49万元、电费1.38万元、邮电费0.37万元、差旅费0.58万元、工会经费3.34万元、维修费8.97万元、劳务费12.36万元、其他交通费用2.59万元。</w:t>
      </w:r>
    </w:p>
    <w:p>
      <w:pPr>
        <w:keepNext w:val="0"/>
        <w:keepLines w:val="0"/>
        <w:pageBreakBefore w:val="0"/>
        <w:numPr>
          <w:ilvl w:val="0"/>
          <w:numId w:val="4"/>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黑体" w:hAnsi="黑体" w:eastAsia="黑体"/>
          <w:color w:val="000000"/>
          <w:kern w:val="0"/>
          <w:sz w:val="32"/>
          <w:szCs w:val="32"/>
          <w:lang w:bidi="ar"/>
        </w:rPr>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黑体" w:hAnsi="黑体" w:eastAsia="仿宋_GB2312"/>
          <w:color w:val="000000"/>
          <w:kern w:val="0"/>
          <w:sz w:val="32"/>
          <w:szCs w:val="32"/>
          <w:lang w:val="en-US" w:eastAsia="zh-CN"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2019年无因公出国事宜，无购车计划，</w:t>
      </w:r>
      <w:r>
        <w:rPr>
          <w:rFonts w:hint="eastAsia" w:ascii="仿宋_GB2312" w:eastAsia="仿宋_GB2312"/>
          <w:color w:val="000000"/>
          <w:sz w:val="32"/>
          <w:szCs w:val="32"/>
          <w:lang w:val="en-US" w:eastAsia="zh-CN"/>
        </w:rPr>
        <w:t>本着厉行节约原则无人员招待。</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Cs w:val="32"/>
        </w:rPr>
        <w:t>预算为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不涉及。</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主要原因是</w:t>
      </w:r>
      <w:r>
        <w:rPr>
          <w:rFonts w:hint="eastAsia" w:ascii="仿宋_GB2312" w:hAnsi="宋体" w:eastAsia="仿宋_GB2312" w:cs="仿宋_GB2312"/>
          <w:color w:val="000000"/>
          <w:kern w:val="0"/>
          <w:szCs w:val="32"/>
        </w:rPr>
        <w:t>无购置支出。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widowControl/>
        <w:spacing w:line="560" w:lineRule="exact"/>
        <w:ind w:firstLine="640" w:firstLineChars="200"/>
        <w:jc w:val="left"/>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0%，决</w:t>
      </w:r>
      <w:r>
        <w:rPr>
          <w:rFonts w:ascii="仿宋_GB2312" w:hAnsi="宋体" w:eastAsia="仿宋_GB2312" w:cs="仿宋_GB2312"/>
          <w:color w:val="000000"/>
          <w:kern w:val="0"/>
          <w:szCs w:val="32"/>
        </w:rPr>
        <w:t>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事业单位实行车改，无公务用车</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val="en-US" w:eastAsia="zh-CN"/>
        </w:rPr>
        <w:t>4.</w:t>
      </w: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outlineLvl w:val="9"/>
        <w:rPr>
          <w:rFonts w:hint="eastAsia" w:ascii="仿宋_GB2312" w:hAnsi="宋体" w:eastAsia="仿宋_GB2312" w:cs="仿宋_GB2312"/>
          <w:color w:val="000000"/>
          <w:kern w:val="0"/>
          <w:sz w:val="32"/>
          <w:szCs w:val="32"/>
          <w:lang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1.06</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1.06万元，</w:t>
      </w:r>
      <w:r>
        <w:rPr>
          <w:rFonts w:ascii="仿宋_GB2312" w:hAnsi="宋体" w:eastAsia="仿宋_GB2312" w:cs="仿宋_GB2312"/>
          <w:color w:val="000000"/>
          <w:kern w:val="0"/>
          <w:sz w:val="32"/>
          <w:szCs w:val="32"/>
          <w:lang w:bidi="ar"/>
        </w:rPr>
        <w:t>主要原因是</w:t>
      </w:r>
      <w:r>
        <w:rPr>
          <w:rFonts w:hint="eastAsia" w:ascii="仿宋_GB2312" w:eastAsia="仿宋_GB2312"/>
          <w:color w:val="000000"/>
          <w:sz w:val="32"/>
          <w:szCs w:val="32"/>
          <w:lang w:val="en-US" w:eastAsia="zh-CN"/>
        </w:rPr>
        <w:t>本着厉行节约原则无人员招待</w:t>
      </w:r>
      <w:r>
        <w:rPr>
          <w:rFonts w:hint="eastAsia"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drawing>
          <wp:inline distT="0" distB="0" distL="114300" distR="114300">
            <wp:extent cx="4533900" cy="2695575"/>
            <wp:effectExtent l="0" t="0" r="0" b="9525"/>
            <wp:docPr id="11" name="图片 11" descr="微信图片_20201016172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01016172226"/>
                    <pic:cNvPicPr>
                      <a:picLocks noChangeAspect="1"/>
                    </pic:cNvPicPr>
                  </pic:nvPicPr>
                  <pic:blipFill>
                    <a:blip r:embed="rId8"/>
                    <a:stretch>
                      <a:fillRect/>
                    </a:stretch>
                  </pic:blipFill>
                  <pic:spPr>
                    <a:xfrm>
                      <a:off x="0" y="0"/>
                      <a:ext cx="4533900" cy="269557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widowControl/>
        <w:spacing w:line="560" w:lineRule="exact"/>
        <w:ind w:firstLine="640" w:firstLineChars="200"/>
        <w:jc w:val="left"/>
        <w:rPr>
          <w:rFonts w:ascii="仿宋_GB2312" w:hAnsi="宋体" w:eastAsia="仿宋_GB2312" w:cs="仿宋_GB2312"/>
          <w:color w:val="000000"/>
          <w:kern w:val="0"/>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Cs w:val="32"/>
        </w:rPr>
        <w:t>支出决算为</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万元，完成预算的</w:t>
      </w:r>
      <w:r>
        <w:rPr>
          <w:rFonts w:hint="eastAsia" w:ascii="仿宋_GB2312" w:hAnsi="宋体" w:eastAsia="仿宋_GB2312" w:cs="仿宋_GB2312"/>
          <w:color w:val="000000"/>
          <w:kern w:val="0"/>
          <w:szCs w:val="32"/>
        </w:rPr>
        <w:t>0</w:t>
      </w:r>
      <w:r>
        <w:rPr>
          <w:rFonts w:ascii="仿宋_GB2312" w:hAnsi="宋体" w:eastAsia="仿宋_GB2312" w:cs="仿宋_GB2312"/>
          <w:color w:val="000000"/>
          <w:kern w:val="0"/>
          <w:szCs w:val="32"/>
        </w:rPr>
        <w:t>%</w:t>
      </w:r>
      <w:r>
        <w:rPr>
          <w:rFonts w:hint="eastAsia" w:ascii="仿宋_GB2312" w:hAnsi="宋体" w:eastAsia="仿宋_GB2312" w:cs="仿宋_GB2312"/>
          <w:color w:val="000000"/>
          <w:kern w:val="0"/>
          <w:szCs w:val="32"/>
        </w:rPr>
        <w:t>，</w:t>
      </w:r>
      <w:r>
        <w:rPr>
          <w:rFonts w:ascii="仿宋_GB2312" w:hAnsi="宋体" w:eastAsia="仿宋_GB2312" w:cs="仿宋_GB2312"/>
          <w:color w:val="000000"/>
          <w:kern w:val="0"/>
          <w:szCs w:val="32"/>
        </w:rPr>
        <w:t>决算数</w:t>
      </w:r>
      <w:r>
        <w:rPr>
          <w:rFonts w:hint="eastAsia" w:ascii="仿宋_GB2312" w:hAnsi="宋体" w:eastAsia="仿宋_GB2312" w:cs="仿宋_GB2312"/>
          <w:color w:val="000000"/>
          <w:kern w:val="0"/>
          <w:szCs w:val="32"/>
        </w:rPr>
        <w:t>较</w:t>
      </w:r>
      <w:r>
        <w:rPr>
          <w:rFonts w:ascii="仿宋_GB2312" w:hAnsi="宋体" w:eastAsia="仿宋_GB2312" w:cs="仿宋_GB2312"/>
          <w:color w:val="000000"/>
          <w:kern w:val="0"/>
          <w:szCs w:val="32"/>
        </w:rPr>
        <w:t>预算数</w:t>
      </w:r>
      <w:r>
        <w:rPr>
          <w:rFonts w:hint="eastAsia" w:ascii="仿宋_GB2312" w:hAnsi="宋体" w:eastAsia="仿宋_GB2312" w:cs="仿宋_GB2312"/>
          <w:color w:val="000000"/>
          <w:kern w:val="0"/>
          <w:szCs w:val="32"/>
        </w:rPr>
        <w:t>减少（增加）0万元，</w:t>
      </w:r>
      <w:r>
        <w:rPr>
          <w:rFonts w:ascii="仿宋_GB2312" w:hAnsi="宋体" w:eastAsia="仿宋_GB2312" w:cs="仿宋_GB2312"/>
          <w:color w:val="000000"/>
          <w:kern w:val="0"/>
          <w:szCs w:val="32"/>
        </w:rPr>
        <w:t>主要原因</w:t>
      </w:r>
      <w:r>
        <w:rPr>
          <w:rFonts w:hint="eastAsia" w:ascii="仿宋" w:hAnsi="仿宋" w:eastAsia="仿宋" w:cs="华文仿宋"/>
          <w:szCs w:val="32"/>
          <w:lang w:val="en-US" w:eastAsia="zh-CN"/>
        </w:rPr>
        <w:t>无人员参加培训</w:t>
      </w:r>
      <w:r>
        <w:rPr>
          <w:rFonts w:hint="eastAsia" w:ascii="仿宋_GB2312" w:hAnsi="宋体" w:eastAsia="仿宋_GB2312" w:cs="仿宋_GB2312"/>
          <w:color w:val="000000"/>
          <w:kern w:val="0"/>
          <w:szCs w:val="32"/>
        </w:rPr>
        <w:t>。</w:t>
      </w:r>
    </w:p>
    <w:p>
      <w:pPr>
        <w:keepNext w:val="0"/>
        <w:keepLines w:val="0"/>
        <w:pageBreakBefore w:val="0"/>
        <w:kinsoku/>
        <w:wordWrap/>
        <w:overflowPunct/>
        <w:topLinePunct w:val="0"/>
        <w:autoSpaceDE/>
        <w:autoSpaceDN/>
        <w:bidi w:val="0"/>
        <w:adjustRightInd/>
        <w:snapToGrid/>
        <w:spacing w:line="560" w:lineRule="exact"/>
        <w:ind w:firstLine="321" w:firstLineChars="1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0.28</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0.28</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2019年无会议事项。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本部门无政府性基金决算收支，并已公开空表</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outlineLvl w:val="9"/>
        <w:rPr>
          <w:rFonts w:hint="eastAsia" w:ascii="黑体" w:hAnsi="黑体" w:eastAsia="仿宋_GB2312"/>
          <w:color w:val="000000"/>
          <w:kern w:val="0"/>
          <w:sz w:val="32"/>
          <w:szCs w:val="32"/>
          <w:lang w:val="en-US" w:eastAsia="zh-CN" w:bidi="ar"/>
        </w:rPr>
      </w:pPr>
      <w:r>
        <w:rPr>
          <w:rFonts w:hint="eastAsia" w:ascii="仿宋_GB2312" w:hAnsi="仿宋_GB2312" w:eastAsia="仿宋_GB2312" w:cs="仿宋_GB2312"/>
          <w:sz w:val="32"/>
          <w:szCs w:val="32"/>
        </w:rPr>
        <w:t>本部门无国有资本经营决算拨款收支</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33</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245.15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1</w:t>
      </w:r>
      <w:r>
        <w:rPr>
          <w:rFonts w:hint="eastAsia" w:ascii="仿宋_GB2312" w:hAnsi="仿宋_GB2312" w:eastAsia="仿宋_GB2312" w:cs="仿宋_GB2312"/>
          <w:color w:val="000000"/>
          <w:kern w:val="0"/>
          <w:sz w:val="31"/>
          <w:szCs w:val="31"/>
          <w:lang w:val="en-US" w:eastAsia="zh-CN" w:bidi="ar"/>
        </w:rPr>
        <w:t>.维修费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为电视台的正常运转与发展提供必要的设备更新，以保障广播电视宣传和事业建设可持续发展。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val="en-US" w:eastAsia="zh-CN" w:bidi="ar"/>
        </w:rPr>
        <w:t>无</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val="en-US" w:eastAsia="zh-CN" w:bidi="ar"/>
        </w:rPr>
        <w:t>无</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2"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b/>
          <w:bCs/>
          <w:color w:val="000000"/>
          <w:kern w:val="0"/>
          <w:sz w:val="31"/>
          <w:szCs w:val="31"/>
          <w:lang w:val="en-US" w:eastAsia="zh-CN" w:bidi="ar"/>
        </w:rPr>
        <w:t>2.</w:t>
      </w:r>
      <w:r>
        <w:rPr>
          <w:rFonts w:hint="eastAsia" w:ascii="仿宋_GB2312" w:hAnsi="仿宋_GB2312" w:eastAsia="仿宋_GB2312" w:cs="仿宋_GB2312"/>
          <w:color w:val="000000"/>
          <w:kern w:val="0"/>
          <w:sz w:val="31"/>
          <w:szCs w:val="31"/>
          <w:lang w:val="en-US" w:eastAsia="zh-CN" w:bidi="ar"/>
        </w:rPr>
        <w:t>业务发展经费</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30</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27.93</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93.1</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bidi="ar"/>
        </w:rPr>
        <w:t>为电视台的正常运转与发展提供必要的人员、技术保障，以保障广播电视宣传和事业建设可持续发展。</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bidi="ar"/>
        </w:rPr>
      </w:pPr>
      <w:r>
        <w:rPr>
          <w:rFonts w:ascii="仿宋_GB2312" w:hAnsi="仿宋_GB2312" w:eastAsia="仿宋_GB2312" w:cs="仿宋_GB2312"/>
          <w:color w:val="000000"/>
          <w:kern w:val="0"/>
          <w:sz w:val="31"/>
          <w:szCs w:val="31"/>
          <w:lang w:bidi="ar"/>
        </w:rPr>
        <w:t>发现的问题及原因：</w:t>
      </w:r>
      <w:r>
        <w:rPr>
          <w:rFonts w:hint="eastAsia" w:ascii="仿宋" w:hAnsi="仿宋" w:eastAsia="仿宋" w:cs="仿宋"/>
          <w:color w:val="000000"/>
          <w:sz w:val="32"/>
          <w:szCs w:val="32"/>
          <w:lang w:val="en-US" w:eastAsia="zh-CN"/>
        </w:rPr>
        <w:t>无。</w:t>
      </w:r>
    </w:p>
    <w:p>
      <w:pPr>
        <w:numPr>
          <w:ilvl w:val="0"/>
          <w:numId w:val="0"/>
        </w:numPr>
        <w:ind w:firstLine="620" w:firstLineChars="200"/>
        <w:rPr>
          <w:rFonts w:hint="eastAsia" w:ascii="仿宋_GB2312" w:eastAsia="仿宋_GB2312"/>
          <w:color w:val="000000"/>
          <w:sz w:val="32"/>
          <w:szCs w:val="32"/>
          <w:lang w:val="en-US" w:eastAsia="zh-CN"/>
        </w:rPr>
      </w:pPr>
      <w:r>
        <w:rPr>
          <w:rFonts w:ascii="仿宋_GB2312" w:hAnsi="仿宋_GB2312" w:eastAsia="仿宋_GB2312" w:cs="仿宋_GB2312"/>
          <w:color w:val="000000"/>
          <w:kern w:val="0"/>
          <w:sz w:val="31"/>
          <w:szCs w:val="31"/>
          <w:lang w:bidi="ar"/>
        </w:rPr>
        <w:t>下一步改进措施：</w:t>
      </w:r>
      <w:r>
        <w:rPr>
          <w:rFonts w:hint="eastAsia" w:ascii="仿宋_GB2312" w:eastAsia="仿宋_GB2312"/>
          <w:color w:val="000000"/>
          <w:sz w:val="32"/>
          <w:szCs w:val="32"/>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142.08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245.15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172.54</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bidi="ar"/>
        </w:rPr>
        <w:t xml:space="preserve"> </w:t>
      </w: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bidi="ar"/>
        </w:rPr>
        <w:t>充分发挥广播电视的舆论导向作用，加大主旋律报道力度，围绕区委、区政府的中心工作开展新闻宣传，积极践行“三贴近”原则，为阎良的建设与发展提供有力的舆论保障和精神动力。2</w:t>
      </w:r>
      <w:r>
        <w:rPr>
          <w:rFonts w:hint="eastAsia" w:ascii="仿宋_GB2312" w:hAnsi="仿宋_GB2312" w:eastAsia="仿宋_GB2312" w:cs="仿宋_GB2312"/>
          <w:color w:val="000000"/>
          <w:kern w:val="0"/>
          <w:sz w:val="31"/>
          <w:szCs w:val="31"/>
          <w:lang w:eastAsia="zh-CN" w:bidi="ar"/>
        </w:rPr>
        <w:t>、</w:t>
      </w:r>
      <w:r>
        <w:rPr>
          <w:rFonts w:hint="eastAsia" w:ascii="仿宋_GB2312" w:hAnsi="仿宋_GB2312" w:eastAsia="仿宋_GB2312" w:cs="仿宋_GB2312"/>
          <w:color w:val="000000"/>
          <w:kern w:val="0"/>
          <w:sz w:val="31"/>
          <w:szCs w:val="31"/>
          <w:lang w:bidi="ar"/>
        </w:rPr>
        <w:t xml:space="preserve">负责广播电视安全播出和设备设施的安全防范工作；完整传输中央、省、市广播电视节目。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bidi="ar"/>
        </w:rPr>
        <w:t>全年制作播发《阎良新闻》240期、《魅力航城》48期、《一周要闻》48期</w:t>
      </w:r>
      <w:r>
        <w:rPr>
          <w:rFonts w:hint="eastAsia" w:ascii="仿宋_GB2312" w:hAnsi="仿宋_GB2312" w:eastAsia="仿宋_GB2312" w:cs="仿宋_GB2312"/>
          <w:color w:val="000000"/>
          <w:kern w:val="0"/>
          <w:sz w:val="31"/>
          <w:szCs w:val="31"/>
          <w:lang w:eastAsia="zh-CN" w:bidi="ar"/>
        </w:rPr>
        <w:t>。</w:t>
      </w:r>
    </w:p>
    <w:p>
      <w:pPr>
        <w:ind w:firstLine="620" w:firstLineChars="200"/>
        <w:rPr>
          <w:rFonts w:hint="eastAsia" w:ascii="仿宋" w:hAnsi="仿宋" w:eastAsia="仿宋" w:cs="仿宋"/>
          <w:color w:val="000000"/>
          <w:sz w:val="32"/>
          <w:szCs w:val="32"/>
        </w:rPr>
      </w:pPr>
      <w:r>
        <w:rPr>
          <w:rFonts w:ascii="仿宋_GB2312" w:hAnsi="仿宋_GB2312" w:eastAsia="仿宋_GB2312" w:cs="仿宋_GB2312"/>
          <w:color w:val="000000"/>
          <w:kern w:val="0"/>
          <w:sz w:val="31"/>
          <w:szCs w:val="31"/>
          <w:lang w:bidi="ar"/>
        </w:rPr>
        <w:t>发现的问题及原因：</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财务管理方面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财务制度更新不及时</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已不能满足现有财务管理需要。</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固定资产管理方面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固定资产卡片信息不完整</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财政系统内固定资产卡片大部分没有填写使用部门、管理部门，使用人和存放地点。</w:t>
      </w:r>
    </w:p>
    <w:p>
      <w:pPr>
        <w:numPr>
          <w:ilvl w:val="0"/>
          <w:numId w:val="0"/>
        </w:num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3.社会效益方面</w:t>
      </w:r>
    </w:p>
    <w:p>
      <w:pPr>
        <w:numPr>
          <w:ilvl w:val="0"/>
          <w:numId w:val="0"/>
        </w:numP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公众宣传平台评论量、点击率不够活跃。</w:t>
      </w:r>
    </w:p>
    <w:p>
      <w:pPr>
        <w:ind w:firstLine="620" w:firstLineChars="200"/>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财务管理方面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及时更新单位的财务管理制度，或更新单项规定的方式补充、完善相关管理制度，使制度与执行相统一。</w:t>
      </w:r>
    </w:p>
    <w:p>
      <w:pPr>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固定资产管理</w:t>
      </w:r>
      <w:r>
        <w:rPr>
          <w:rFonts w:hint="eastAsia" w:ascii="仿宋" w:hAnsi="仿宋" w:eastAsia="仿宋" w:cs="仿宋"/>
          <w:color w:val="000000"/>
          <w:sz w:val="32"/>
          <w:szCs w:val="32"/>
          <w:lang w:val="en-US" w:eastAsia="zh-CN"/>
        </w:rPr>
        <w:t>方面</w:t>
      </w:r>
    </w:p>
    <w:p>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建议资产管理部门改变现有管理方法，以行政事业单位资产管理信息系统为主，补充固定资产卡片信息，将固定资产管理工作责任到人，由实际使用人管理领用固定资产。年末盘点时以个人为单位进行盘点，与行政事业单位资产管理信息系统固定资产卡片一一对应。</w:t>
      </w:r>
    </w:p>
    <w:p>
      <w:pPr>
        <w:numPr>
          <w:ilvl w:val="0"/>
          <w:numId w:val="0"/>
        </w:numPr>
        <w:ind w:left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3.增强社会效益方面</w:t>
      </w:r>
    </w:p>
    <w:p>
      <w:pPr>
        <w:numPr>
          <w:ilvl w:val="0"/>
          <w:numId w:val="0"/>
        </w:numPr>
        <w:rPr>
          <w:rFonts w:hint="eastAsia" w:ascii="仿宋_GB2312" w:eastAsia="仿宋_GB2312"/>
          <w:color w:val="000000"/>
          <w:sz w:val="32"/>
          <w:szCs w:val="32"/>
        </w:rPr>
      </w:pPr>
      <w:r>
        <w:rPr>
          <w:rFonts w:hint="eastAsia" w:ascii="仿宋" w:hAnsi="仿宋" w:eastAsia="仿宋" w:cs="仿宋"/>
          <w:color w:val="000000"/>
          <w:sz w:val="32"/>
          <w:szCs w:val="32"/>
          <w:lang w:val="en-US" w:eastAsia="zh-CN"/>
        </w:rPr>
        <w:t xml:space="preserve">    </w:t>
      </w:r>
      <w:r>
        <w:rPr>
          <w:rFonts w:hint="eastAsia" w:ascii="仿宋_GB2312" w:eastAsia="仿宋_GB2312"/>
          <w:color w:val="000000"/>
          <w:sz w:val="32"/>
          <w:szCs w:val="32"/>
        </w:rPr>
        <w:t>充分发挥广播电视的舆论导向作用，</w:t>
      </w:r>
      <w:r>
        <w:rPr>
          <w:rFonts w:hint="eastAsia" w:ascii="仿宋" w:hAnsi="仿宋" w:eastAsia="仿宋" w:cs="仿宋"/>
          <w:color w:val="000000"/>
          <w:sz w:val="32"/>
          <w:szCs w:val="32"/>
          <w:lang w:val="en-US" w:eastAsia="zh-CN"/>
        </w:rPr>
        <w:t xml:space="preserve"> 加大宣传力度，</w:t>
      </w:r>
      <w:r>
        <w:rPr>
          <w:rFonts w:hint="eastAsia" w:ascii="仿宋_GB2312" w:eastAsia="仿宋_GB2312"/>
          <w:color w:val="000000"/>
          <w:sz w:val="32"/>
          <w:szCs w:val="32"/>
        </w:rPr>
        <w:t>为阎良的建设与发展提供有力的舆论保障和精神动力。</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tbl>
      <w:tblPr>
        <w:tblStyle w:val="5"/>
        <w:tblW w:w="9285" w:type="dxa"/>
        <w:tblInd w:w="0" w:type="dxa"/>
        <w:shd w:val="clear" w:color="auto" w:fill="auto"/>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firstLine="1928" w:firstLineChars="600"/>
              <w:jc w:val="both"/>
              <w:textAlignment w:val="center"/>
              <w:rPr>
                <w:rFonts w:hint="eastAsia" w:ascii="宋体" w:hAnsi="宋体" w:eastAsia="宋体" w:cs="宋体"/>
                <w:b/>
                <w:i w:val="0"/>
                <w:color w:val="000000"/>
                <w:sz w:val="32"/>
                <w:szCs w:val="32"/>
                <w:u w:val="none"/>
              </w:rPr>
            </w:pPr>
            <w:r>
              <w:rPr>
                <w:rStyle w:val="10"/>
                <w:rFonts w:hint="eastAsia"/>
                <w:lang w:val="en-US" w:eastAsia="zh-CN" w:bidi="ar"/>
              </w:rPr>
              <w:t>区</w:t>
            </w:r>
            <w:r>
              <w:rPr>
                <w:rStyle w:val="10"/>
                <w:lang w:val="en-US" w:eastAsia="zh-CN" w:bidi="ar"/>
              </w:rPr>
              <w:t>级预算（项目）绩效目标自评表</w:t>
            </w:r>
            <w:r>
              <w:rPr>
                <w:rStyle w:val="11"/>
                <w:lang w:val="en-US" w:eastAsia="zh-CN" w:bidi="ar"/>
              </w:rPr>
              <w:t xml:space="preserve"> </w:t>
            </w:r>
          </w:p>
        </w:tc>
      </w:tr>
      <w:tr>
        <w:tblPrEx>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设备维修费</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西安市阎良区广播电视台</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 xml:space="preserve"> </w:t>
            </w:r>
            <w:r>
              <w:rPr>
                <w:rStyle w:val="13"/>
                <w:lang w:val="en-US" w:eastAsia="zh-CN" w:bidi="ar"/>
              </w:rPr>
              <w:t>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2"/>
                <w:lang w:val="en-US" w:eastAsia="zh-CN" w:bidi="ar"/>
              </w:rPr>
              <w:t xml:space="preserve"> </w:t>
            </w:r>
            <w:r>
              <w:rPr>
                <w:rStyle w:val="13"/>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14"/>
                <w:lang w:val="en-US" w:eastAsia="zh-CN" w:bidi="ar"/>
              </w:rPr>
              <w:t xml:space="preserve">      </w:t>
            </w:r>
            <w:r>
              <w:rPr>
                <w:rStyle w:val="15"/>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为电视台的正常运转与发展提供必要的设备更新，以保障广播电视宣传和事业建设可持续发展。</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指标1：维修摄像机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指标2：维修播出设备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指标3：维修打印机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指标4：维修空调</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both"/>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r>
              <w:rPr>
                <w:rFonts w:hint="eastAsia" w:ascii="宋体" w:hAnsi="宋体" w:eastAsia="宋体" w:cs="宋体"/>
                <w:b/>
                <w:bCs/>
                <w:i w:val="0"/>
                <w:color w:val="000000"/>
                <w:sz w:val="20"/>
                <w:szCs w:val="20"/>
                <w:u w:val="none"/>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2019年度</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指标1：维修摄像机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指标2：维修播出设备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1.5万元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指标3：维修打印机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0.1万元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指标4：维修空调</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0.2万元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382" w:firstLineChars="0"/>
              <w:jc w:val="both"/>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指标1：保障电视台办公设备正常运行率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bCs/>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指标1：职工满意度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r>
    </w:tbl>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tbl>
      <w:tblPr>
        <w:tblStyle w:val="5"/>
        <w:tblW w:w="9285" w:type="dxa"/>
        <w:tblInd w:w="0" w:type="dxa"/>
        <w:shd w:val="clear" w:color="auto" w:fill="auto"/>
        <w:tblLayout w:type="autofit"/>
        <w:tblCellMar>
          <w:top w:w="0" w:type="dxa"/>
          <w:left w:w="0" w:type="dxa"/>
          <w:bottom w:w="0" w:type="dxa"/>
          <w:right w:w="0" w:type="dxa"/>
        </w:tblCellMar>
      </w:tblPr>
      <w:tblGrid>
        <w:gridCol w:w="555"/>
        <w:gridCol w:w="555"/>
        <w:gridCol w:w="1035"/>
        <w:gridCol w:w="1980"/>
        <w:gridCol w:w="1185"/>
        <w:gridCol w:w="1320"/>
        <w:gridCol w:w="1140"/>
        <w:gridCol w:w="1515"/>
      </w:tblGrid>
      <w:tr>
        <w:tblPrEx>
          <w:shd w:val="clear" w:color="auto" w:fill="auto"/>
          <w:tblCellMar>
            <w:top w:w="0" w:type="dxa"/>
            <w:left w:w="0" w:type="dxa"/>
            <w:bottom w:w="0" w:type="dxa"/>
            <w:right w:w="0" w:type="dxa"/>
          </w:tblCellMar>
        </w:tblPrEx>
        <w:trPr>
          <w:trHeight w:val="600" w:hRule="atLeast"/>
        </w:trPr>
        <w:tc>
          <w:tcPr>
            <w:tcW w:w="928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区级预算（项目）绩效目标自评表</w:t>
            </w:r>
            <w:r>
              <w:rPr>
                <w:rFonts w:hint="eastAsia" w:ascii="宋体" w:hAnsi="宋体" w:eastAsia="宋体" w:cs="宋体"/>
                <w:i w:val="0"/>
                <w:color w:val="000000"/>
                <w:kern w:val="0"/>
                <w:sz w:val="32"/>
                <w:szCs w:val="32"/>
                <w:u w:val="none"/>
                <w:lang w:val="en-US" w:eastAsia="zh-CN" w:bidi="ar"/>
              </w:rPr>
              <w:t xml:space="preserve"> </w:t>
            </w:r>
          </w:p>
        </w:tc>
      </w:tr>
      <w:tr>
        <w:tblPrEx>
          <w:tblCellMar>
            <w:top w:w="0" w:type="dxa"/>
            <w:left w:w="0" w:type="dxa"/>
            <w:bottom w:w="0" w:type="dxa"/>
            <w:right w:w="0" w:type="dxa"/>
          </w:tblCellMar>
        </w:tblPrEx>
        <w:trPr>
          <w:trHeight w:val="432" w:hRule="atLeast"/>
        </w:trPr>
        <w:tc>
          <w:tcPr>
            <w:tcW w:w="9285" w:type="dxa"/>
            <w:gridSpan w:val="8"/>
            <w:tcBorders>
              <w:top w:val="nil"/>
              <w:left w:val="nil"/>
              <w:bottom w:val="single" w:color="000000" w:sz="4" w:space="0"/>
              <w:right w:val="nil"/>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（2019年度）</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专项（项目）名称</w:t>
            </w:r>
          </w:p>
        </w:tc>
        <w:tc>
          <w:tcPr>
            <w:tcW w:w="714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业务发展经费</w:t>
            </w:r>
          </w:p>
        </w:tc>
      </w:tr>
      <w:tr>
        <w:tblPrEx>
          <w:tblCellMar>
            <w:top w:w="0" w:type="dxa"/>
            <w:left w:w="0" w:type="dxa"/>
            <w:bottom w:w="0" w:type="dxa"/>
            <w:right w:w="0" w:type="dxa"/>
          </w:tblCellMar>
        </w:tblPrEx>
        <w:trPr>
          <w:trHeight w:val="319" w:hRule="atLeast"/>
        </w:trPr>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区级主管部门</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西安市阎良区广播电视台</w:t>
            </w:r>
          </w:p>
        </w:tc>
      </w:tr>
      <w:tr>
        <w:tblPrEx>
          <w:tblCellMar>
            <w:top w:w="0" w:type="dxa"/>
            <w:left w:w="0" w:type="dxa"/>
            <w:bottom w:w="0" w:type="dxa"/>
            <w:right w:w="0" w:type="dxa"/>
          </w:tblCellMar>
        </w:tblPrEx>
        <w:trPr>
          <w:trHeight w:val="660" w:hRule="atLeast"/>
        </w:trPr>
        <w:tc>
          <w:tcPr>
            <w:tcW w:w="214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全年预算数（A）</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全年执行数（B）</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执行率（B/A)</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30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27.93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lef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93.1%</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其中：市级财政资金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区县财政资金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30</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27.93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93.1%</w:t>
            </w:r>
          </w:p>
        </w:tc>
      </w:tr>
      <w:tr>
        <w:tblPrEx>
          <w:tblCellMar>
            <w:top w:w="0" w:type="dxa"/>
            <w:left w:w="0" w:type="dxa"/>
            <w:bottom w:w="0" w:type="dxa"/>
            <w:right w:w="0" w:type="dxa"/>
          </w:tblCellMar>
        </w:tblPrEx>
        <w:trPr>
          <w:trHeight w:val="319" w:hRule="atLeast"/>
        </w:trPr>
        <w:tc>
          <w:tcPr>
            <w:tcW w:w="214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540"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为电视台的正常运转与发展提供必要的人员、技术保障，以保障广播电视宣传和事业建设可持续发展。</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完成</w:t>
            </w:r>
          </w:p>
        </w:tc>
      </w:tr>
      <w:tr>
        <w:tblPrEx>
          <w:tblCellMar>
            <w:top w:w="0" w:type="dxa"/>
            <w:left w:w="0" w:type="dxa"/>
            <w:bottom w:w="0" w:type="dxa"/>
            <w:right w:w="0" w:type="dxa"/>
          </w:tblCellMar>
        </w:tblPrEx>
        <w:trPr>
          <w:trHeight w:val="522" w:hRule="atLeast"/>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绩效指标</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年度指标值</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未完成原因和改进措施</w:t>
            </w: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指标1：临聘人员</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11人</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指标2:播控设备购置更新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指标3：摄录设备购置更新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3台</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指标1：出勤率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指标2：验收合格率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指标1：出勤时间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2019年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指标2：购置时间</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2019年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指标1：临聘人员工资</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24.2万元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指标2：播控设备购置更新支出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4.5万元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指标3：摄录设备购置更新支出</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4.3万元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指标1：安全播出率</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指标1：执行年度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≥1年</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00" w:firstLineChars="200"/>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满意度指标</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指标1：群众满意度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≧90%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59"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 xml:space="preserve"> 指标2：职工满意度</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4"/>
                <w:szCs w:val="24"/>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19"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说明</w:t>
            </w:r>
          </w:p>
        </w:tc>
        <w:tc>
          <w:tcPr>
            <w:tcW w:w="873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无</w:t>
            </w:r>
          </w:p>
        </w:tc>
      </w:tr>
    </w:tbl>
    <w:p>
      <w:pPr>
        <w:widowControl/>
        <w:jc w:val="left"/>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（2019年度）</w:t>
      </w:r>
    </w:p>
    <w:tbl>
      <w:tblPr>
        <w:tblStyle w:val="5"/>
        <w:tblW w:w="15945" w:type="dxa"/>
        <w:tblInd w:w="0" w:type="dxa"/>
        <w:shd w:val="clear" w:color="auto" w:fill="auto"/>
        <w:tblLayout w:type="fixed"/>
        <w:tblCellMar>
          <w:top w:w="0" w:type="dxa"/>
          <w:left w:w="0" w:type="dxa"/>
          <w:bottom w:w="0" w:type="dxa"/>
          <w:right w:w="0" w:type="dxa"/>
        </w:tblCellMar>
      </w:tblPr>
      <w:tblGrid>
        <w:gridCol w:w="525"/>
        <w:gridCol w:w="541"/>
        <w:gridCol w:w="487"/>
        <w:gridCol w:w="290"/>
        <w:gridCol w:w="2001"/>
        <w:gridCol w:w="3250"/>
        <w:gridCol w:w="240"/>
        <w:gridCol w:w="710"/>
        <w:gridCol w:w="769"/>
        <w:gridCol w:w="412"/>
        <w:gridCol w:w="4527"/>
        <w:gridCol w:w="1595"/>
        <w:gridCol w:w="10"/>
        <w:gridCol w:w="588"/>
      </w:tblGrid>
      <w:tr>
        <w:tblPrEx>
          <w:shd w:val="clear" w:color="auto" w:fill="auto"/>
          <w:tblCellMar>
            <w:top w:w="0" w:type="dxa"/>
            <w:left w:w="0" w:type="dxa"/>
            <w:bottom w:w="0" w:type="dxa"/>
            <w:right w:w="0" w:type="dxa"/>
          </w:tblCellMar>
        </w:tblPrEx>
        <w:trPr>
          <w:gridAfter w:val="1"/>
          <w:wAfter w:w="588" w:type="dxa"/>
          <w:trHeight w:val="450" w:hRule="atLeast"/>
        </w:trPr>
        <w:tc>
          <w:tcPr>
            <w:tcW w:w="3844"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填报单位:</w:t>
            </w:r>
            <w:r>
              <w:rPr>
                <w:rFonts w:hint="eastAsia" w:ascii="宋体" w:hAnsi="宋体" w:eastAsia="宋体" w:cs="宋体"/>
                <w:i w:val="0"/>
                <w:color w:val="000000"/>
                <w:sz w:val="20"/>
                <w:szCs w:val="20"/>
                <w:u w:val="none"/>
              </w:rPr>
              <w:t>西安市阎良区广播电视台</w:t>
            </w:r>
          </w:p>
        </w:tc>
        <w:tc>
          <w:tcPr>
            <w:tcW w:w="325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自评得分：</w:t>
            </w:r>
          </w:p>
        </w:tc>
        <w:tc>
          <w:tcPr>
            <w:tcW w:w="24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71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4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（一）简要概述部门职能与职责。</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sz w:val="20"/>
                <w:szCs w:val="20"/>
                <w:u w:val="none"/>
              </w:rPr>
              <w:t>充分发挥广播电视的舆论导向作用，加大主旋律报道力度，围绕区委、区政府的中心工作开展新闻宣传，积极践行“三贴近”原则，为阎良的建设与发展提供有力的舆论保障和精神动力。</w:t>
            </w:r>
          </w:p>
        </w:tc>
      </w:tr>
      <w:tr>
        <w:tblPrEx>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（二）简要概述部门支出情况，按活动内容分类。</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其他文化旅游体育与传媒支出支出144万元、其他广播电视支出52.63万元、事业单位基本养老支出14.09万元、事业单位基本医疗支出3.5万元、电视支出10.75万元、其他新闻出版电影支出20.18万元。</w:t>
            </w:r>
          </w:p>
        </w:tc>
      </w:tr>
      <w:tr>
        <w:tblPrEx>
          <w:shd w:val="clear" w:color="auto" w:fill="auto"/>
          <w:tblCellMar>
            <w:top w:w="0" w:type="dxa"/>
            <w:left w:w="0" w:type="dxa"/>
            <w:bottom w:w="0" w:type="dxa"/>
            <w:right w:w="0" w:type="dxa"/>
          </w:tblCellMar>
        </w:tblPrEx>
        <w:trPr>
          <w:gridAfter w:val="2"/>
          <w:wAfter w:w="598" w:type="dxa"/>
          <w:trHeight w:val="450" w:hRule="atLeast"/>
        </w:trPr>
        <w:tc>
          <w:tcPr>
            <w:tcW w:w="384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0"/>
                <w:szCs w:val="20"/>
                <w:u w:val="none"/>
              </w:rPr>
            </w:pPr>
            <w:r>
              <w:rPr>
                <w:rFonts w:hint="default" w:ascii="仿宋_GB2312" w:hAnsi="宋体" w:eastAsia="仿宋_GB2312" w:cs="仿宋_GB2312"/>
                <w:i w:val="0"/>
                <w:color w:val="000000"/>
                <w:kern w:val="0"/>
                <w:sz w:val="20"/>
                <w:szCs w:val="20"/>
                <w:u w:val="none"/>
                <w:lang w:val="en-US" w:eastAsia="zh-CN" w:bidi="ar"/>
              </w:rPr>
              <w:t>（三）简要概述当年市委市政府下达的重点工作。</w:t>
            </w:r>
          </w:p>
        </w:tc>
        <w:tc>
          <w:tcPr>
            <w:tcW w:w="11503"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458"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588" w:type="dxa"/>
          <w:trHeight w:val="67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完成率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预算完成率=（预算完成数/预算数）×100%，用以反映和考核部门（单位）预算完成程度。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预算完成数：部门（单位）本年度实际完成的预算数。</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预算数：财政部门批复的本年度部门（单位）预算数。</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320" w:leftChars="-100" w:firstLine="0" w:firstLineChars="0"/>
              <w:jc w:val="left"/>
              <w:textAlignment w:val="center"/>
              <w:rPr>
                <w:rFonts w:hint="default" w:ascii="楷体_GB2312" w:hAnsi="宋体" w:eastAsia="楷体_GB2312" w:cs="楷体_GB2312"/>
                <w:i w:val="0"/>
                <w:color w:val="000000"/>
                <w:kern w:val="0"/>
                <w:sz w:val="20"/>
                <w:szCs w:val="20"/>
                <w:u w:val="none"/>
                <w:lang w:val="en-US" w:eastAsia="zh-CN" w:bidi="ar"/>
              </w:rPr>
            </w:pPr>
            <w:r>
              <w:rPr>
                <w:rFonts w:hint="default" w:ascii="楷体_GB2312" w:hAnsi="宋体" w:eastAsia="楷体_GB2312" w:cs="楷体_GB2312"/>
                <w:i w:val="0"/>
                <w:color w:val="000000"/>
                <w:kern w:val="0"/>
                <w:sz w:val="20"/>
                <w:szCs w:val="20"/>
                <w:u w:val="none"/>
                <w:lang w:val="en-US" w:eastAsia="zh-CN" w:bidi="ar"/>
              </w:rPr>
              <w:t>预算完成率＝100%的，得10分。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预算完成率≥95%的，得9分。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预算完成率在90%（含）和95%之间，得8分。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预算完成率在85%（含）和90%之间，得7分。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预算完成率在80%（含）和85%之间，得6分。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预算完成率在70%（含）和80%之间，</w:t>
            </w:r>
          </w:p>
          <w:p>
            <w:pPr>
              <w:bidi w:val="0"/>
              <w:ind w:right="-214" w:rightChars="-67"/>
              <w:jc w:val="left"/>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得4分。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预算完成率＜70%的，得0分。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22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预算调整率=（预算调整数/预算数）×100%，用以反映和考核部门（单位）预算的调整程度。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预算调整数：部门（单位）在本年度内涉及预算的追加、追减或结构调整的资金总和（因落实国家政策、发生不可抗力、上级部门或本级党委政府临时交办而产生的调整除外）。</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预算包括一般公共预算与政府性基金预算。</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预算调整率绝对值≤5%，得5分。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预算调整率绝对值＞5%的，每增加0.1个百分点扣0.1分，扣完为止。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调整数均为</w:t>
            </w:r>
            <w:r>
              <w:rPr>
                <w:rFonts w:hint="default" w:ascii="楷体_GB2312" w:hAnsi="宋体" w:eastAsia="楷体_GB2312" w:cs="楷体_GB2312"/>
                <w:i w:val="0"/>
                <w:color w:val="000000"/>
                <w:kern w:val="0"/>
                <w:sz w:val="20"/>
                <w:szCs w:val="20"/>
                <w:u w:val="none"/>
                <w:lang w:val="en-US" w:eastAsia="zh-CN" w:bidi="ar"/>
              </w:rPr>
              <w:t>本年度内涉及预算的追加、追减或结构调整的资金</w:t>
            </w:r>
            <w:r>
              <w:rPr>
                <w:rFonts w:hint="eastAsia" w:ascii="楷体_GB2312" w:hAnsi="宋体" w:eastAsia="楷体_GB2312" w:cs="楷体_GB2312"/>
                <w:i w:val="0"/>
                <w:color w:val="000000"/>
                <w:kern w:val="0"/>
                <w:sz w:val="20"/>
                <w:szCs w:val="20"/>
                <w:u w:val="none"/>
                <w:lang w:val="en-US" w:eastAsia="zh-CN" w:bidi="ar"/>
              </w:rPr>
              <w:t>。</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271"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tblCellMar>
            <w:top w:w="0" w:type="dxa"/>
            <w:left w:w="0" w:type="dxa"/>
            <w:bottom w:w="0" w:type="dxa"/>
            <w:right w:w="0" w:type="dxa"/>
          </w:tblCellMar>
        </w:tblPrEx>
        <w:trPr>
          <w:gridAfter w:val="1"/>
          <w:wAfter w:w="588" w:type="dxa"/>
          <w:trHeight w:val="906"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投入</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预算执行（25分）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支出进度率=（实际支出/支出预算）×100%，用以反映和考核部门（单位）预算执行的及时性和均衡性程度。</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半年支出进度＝部门上半年实际支出/（上年结余结转+本年部门预算安排+上半年执行中追加追减）*100%。</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前三季度支出进度＝部门前三季度实际支出/（上年结余结转+本年部门预算安排+前三季度执行中追加追减）*100%。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半年进度：进度率≥45%，得2分；进度率在40%（含）和45%之间，得1分；进度率＜40%，得0分。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前三季度进度：进度率≥75%，得3分；进度率在60%（含）和75%之间，得2分；进度率＜60%，得0分。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100%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172.54%</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gridAfter w:val="1"/>
          <w:wAfter w:w="588" w:type="dxa"/>
          <w:trHeight w:val="834"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部门预算中除财政拨款外的其他收入预算与决算差异率。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预算编制准确率＝其他收入决算数/其他收入预算数×100%-100%。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预算编制准确率≤20%，得5分。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预算编制准确率在20%和40%（含）之间，得3分。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预算编制准确率＞40%，得0分。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0</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lang w:val="en-US" w:eastAsia="zh-CN"/>
              </w:rPr>
            </w:pPr>
            <w:r>
              <w:rPr>
                <w:rFonts w:hint="eastAsia" w:ascii="仿宋_GB2312" w:hAnsi="宋体" w:eastAsia="仿宋_GB2312" w:cs="仿宋_GB2312"/>
                <w:i w:val="0"/>
                <w:color w:val="000000"/>
                <w:sz w:val="20"/>
                <w:szCs w:val="20"/>
                <w:u w:val="none"/>
                <w:lang w:val="en-US" w:eastAsia="zh-CN"/>
              </w:rPr>
              <w:t>部门预算中无除财政拨款其他收入</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tblCellMar>
            <w:top w:w="0" w:type="dxa"/>
            <w:left w:w="0" w:type="dxa"/>
            <w:bottom w:w="0" w:type="dxa"/>
            <w:right w:w="0" w:type="dxa"/>
          </w:tblCellMar>
        </w:tblPrEx>
        <w:trPr>
          <w:gridAfter w:val="1"/>
          <w:wAfter w:w="588" w:type="dxa"/>
          <w:trHeight w:val="1139"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“三公经费”控制率=（“三公经费”实际支出数/“三公经费”预算安排数）×100%，用以反映和考核部门（单位）对“三公经费”的实际控制程度。</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三公经费控制率 ≤100%，得5分，每增加0.1个百分点扣0.5分，扣完为止。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kern w:val="0"/>
                <w:sz w:val="20"/>
                <w:szCs w:val="20"/>
                <w:u w:val="none"/>
                <w:lang w:val="en-US" w:eastAsia="zh-CN" w:bidi="ar"/>
              </w:rPr>
              <w:t>50</w:t>
            </w:r>
            <w:r>
              <w:rPr>
                <w:rFonts w:hint="eastAsia" w:ascii="楷体_GB2312" w:hAnsi="宋体" w:eastAsia="楷体_GB2312" w:cs="楷体_GB2312"/>
                <w:i w:val="0"/>
                <w:color w:val="000000"/>
                <w:sz w:val="20"/>
                <w:szCs w:val="20"/>
                <w:u w:val="none"/>
                <w:lang w:val="en-US" w:eastAsia="zh-CN"/>
              </w:rPr>
              <w:t>%</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r>
              <w:rPr>
                <w:rFonts w:hint="eastAsia" w:ascii="楷体_GB2312" w:hAnsi="宋体" w:eastAsia="楷体_GB2312" w:cs="楷体_GB2312"/>
                <w:i w:val="0"/>
                <w:color w:val="000000"/>
                <w:sz w:val="20"/>
                <w:szCs w:val="20"/>
                <w:u w:val="none"/>
                <w:lang w:val="en-US" w:eastAsia="zh-CN"/>
              </w:rPr>
              <w:t>0%</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0"/>
                <w:szCs w:val="20"/>
                <w:u w:val="none"/>
              </w:rPr>
            </w:pPr>
          </w:p>
        </w:tc>
      </w:tr>
      <w:tr>
        <w:tblPrEx>
          <w:shd w:val="clear" w:color="auto" w:fill="auto"/>
          <w:tblCellMar>
            <w:top w:w="0" w:type="dxa"/>
            <w:left w:w="0" w:type="dxa"/>
            <w:bottom w:w="0" w:type="dxa"/>
            <w:right w:w="0" w:type="dxa"/>
          </w:tblCellMar>
        </w:tblPrEx>
        <w:trPr>
          <w:gridAfter w:val="1"/>
          <w:wAfter w:w="588" w:type="dxa"/>
          <w:trHeight w:val="1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资产管理规范性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42" w:rightChars="107"/>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部门（单位）资产管理是否规范，用以反映和考核部门（单位）资产管理情况。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1.新增资产配置按预算执行。</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2.资产有偿使用、处置按规定程序审批。</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3.资产收益及时、足额上缴财政。</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全部符合5分，有1项不符扣2分,扣完为止。</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rPr>
            </w:pPr>
            <w:r>
              <w:rPr>
                <w:rFonts w:hint="eastAsia" w:ascii="楷体_GB2312" w:hAnsi="宋体" w:eastAsia="楷体_GB2312" w:cs="楷体_GB2312"/>
                <w:i w:val="0"/>
                <w:color w:val="000000"/>
                <w:sz w:val="20"/>
                <w:szCs w:val="20"/>
                <w:u w:val="none"/>
                <w:lang w:val="en-US" w:eastAsia="zh-CN"/>
              </w:rPr>
              <w:t>部门决算、2019年资产年报</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5</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588" w:type="dxa"/>
          <w:trHeight w:val="90" w:hRule="atLeast"/>
        </w:trPr>
        <w:tc>
          <w:tcPr>
            <w:tcW w:w="525" w:type="dxa"/>
            <w:tcBorders>
              <w:top w:val="nil"/>
              <w:left w:val="nil"/>
              <w:bottom w:val="nil"/>
              <w:right w:val="nil"/>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29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2001"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325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10"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nil"/>
              <w:left w:val="nil"/>
              <w:bottom w:val="nil"/>
              <w:right w:val="nil"/>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nil"/>
              <w:left w:val="nil"/>
              <w:bottom w:val="nil"/>
              <w:right w:val="nil"/>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5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60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8" w:type="dxa"/>
          <w:trHeight w:val="1439"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一级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二级</w:t>
            </w:r>
            <w:r>
              <w:rPr>
                <w:rFonts w:hint="default" w:ascii="楷体_GB2312" w:hAnsi="宋体" w:eastAsia="楷体_GB2312" w:cs="楷体_GB2312"/>
                <w:b/>
                <w:i w:val="0"/>
                <w:color w:val="000000"/>
                <w:kern w:val="0"/>
                <w:sz w:val="20"/>
                <w:szCs w:val="20"/>
                <w:u w:val="none"/>
                <w:lang w:val="en-US" w:eastAsia="zh-CN" w:bidi="ar"/>
              </w:rPr>
              <w:br w:type="textWrapping"/>
            </w:r>
            <w:r>
              <w:rPr>
                <w:rFonts w:hint="default" w:ascii="楷体_GB2312" w:hAnsi="宋体" w:eastAsia="楷体_GB2312" w:cs="楷体_GB2312"/>
                <w:b/>
                <w:i w:val="0"/>
                <w:color w:val="000000"/>
                <w:kern w:val="0"/>
                <w:sz w:val="20"/>
                <w:szCs w:val="20"/>
                <w:u w:val="none"/>
                <w:lang w:val="en-US" w:eastAsia="zh-CN" w:bidi="ar"/>
              </w:rPr>
              <w:t>指标</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三级指标</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分值</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指标说明</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评分标准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指标值计算公式和数据获取方式</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年初目标值</w:t>
            </w: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实际完成值</w:t>
            </w: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b/>
                <w:i w:val="0"/>
                <w:color w:val="000000"/>
                <w:sz w:val="20"/>
                <w:szCs w:val="20"/>
                <w:u w:val="none"/>
              </w:rPr>
            </w:pPr>
            <w:r>
              <w:rPr>
                <w:rFonts w:hint="default" w:ascii="楷体_GB2312" w:hAnsi="宋体" w:eastAsia="楷体_GB2312" w:cs="楷体_GB2312"/>
                <w:b/>
                <w:i w:val="0"/>
                <w:color w:val="000000"/>
                <w:kern w:val="0"/>
                <w:sz w:val="20"/>
                <w:szCs w:val="20"/>
                <w:u w:val="none"/>
                <w:lang w:val="en-US" w:eastAsia="zh-CN" w:bidi="ar"/>
              </w:rPr>
              <w:t>得分</w:t>
            </w:r>
          </w:p>
        </w:tc>
        <w:tc>
          <w:tcPr>
            <w:tcW w:w="4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未完成原因分析与改进措施</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0"/>
                <w:szCs w:val="20"/>
                <w:u w:val="none"/>
              </w:rPr>
            </w:pPr>
            <w:r>
              <w:rPr>
                <w:rFonts w:hint="default" w:ascii="仿宋_GB2312" w:hAnsi="宋体" w:eastAsia="仿宋_GB2312" w:cs="仿宋_GB2312"/>
                <w:b/>
                <w:i w:val="0"/>
                <w:color w:val="000000"/>
                <w:kern w:val="0"/>
                <w:sz w:val="20"/>
                <w:szCs w:val="20"/>
                <w:u w:val="none"/>
                <w:lang w:val="en-US" w:eastAsia="zh-CN" w:bidi="ar"/>
              </w:rPr>
              <w:t>绩效指标分析与建议</w:t>
            </w:r>
          </w:p>
        </w:tc>
      </w:tr>
      <w:tr>
        <w:tblPrEx>
          <w:shd w:val="clear" w:color="auto" w:fill="auto"/>
          <w:tblCellMar>
            <w:top w:w="0" w:type="dxa"/>
            <w:left w:w="0" w:type="dxa"/>
            <w:bottom w:w="0" w:type="dxa"/>
            <w:right w:w="0" w:type="dxa"/>
          </w:tblCellMar>
        </w:tblPrEx>
        <w:trPr>
          <w:gridAfter w:val="1"/>
          <w:wAfter w:w="588" w:type="dxa"/>
          <w:trHeight w:val="278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过程</w:t>
            </w:r>
          </w:p>
        </w:tc>
        <w:tc>
          <w:tcPr>
            <w:tcW w:w="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预算管理（15分）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资金使用合规性</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5</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部门（单位）使用预算资金是否符合相关的预算财务管理制度的规定，用以反映和考核部门（单位）预算资金的规范运行情况。</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1.符合国家财经法规和财务管理制度规定以及有关专项资金管理办法的规定；</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2.资金的拨付有完整的审批程序和手续；</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3.重大项目开支经过评估论证；</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4.符合部门预算批复的用途；</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5.不存在截留、挤占、挪用、虚列支出等情况。</w:t>
            </w:r>
          </w:p>
        </w:tc>
        <w:tc>
          <w:tcPr>
            <w:tcW w:w="3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全部符合5分,有1项不符扣2分。</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内部控制报告</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4</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1"/>
                <w:szCs w:val="21"/>
                <w:u w:val="none"/>
                <w:lang w:val="en-US" w:eastAsia="zh-CN"/>
              </w:rPr>
            </w:pPr>
            <w:r>
              <w:rPr>
                <w:rFonts w:hint="eastAsia" w:ascii="仿宋" w:hAnsi="仿宋" w:eastAsia="仿宋" w:cs="仿宋"/>
                <w:i w:val="0"/>
                <w:color w:val="000000"/>
                <w:sz w:val="21"/>
                <w:szCs w:val="21"/>
                <w:u w:val="none"/>
                <w:lang w:val="en-US" w:eastAsia="zh-CN"/>
              </w:rPr>
              <w:t>部分财务制度未及时更新</w:t>
            </w:r>
          </w:p>
          <w:p>
            <w:pPr>
              <w:rPr>
                <w:rFonts w:hint="default" w:ascii="宋体" w:hAnsi="宋体" w:eastAsia="宋体" w:cs="宋体"/>
                <w:i w:val="0"/>
                <w:color w:val="000000"/>
                <w:sz w:val="24"/>
                <w:szCs w:val="24"/>
                <w:u w:val="none"/>
                <w:lang w:val="en-US" w:eastAsia="zh-CN"/>
              </w:rPr>
            </w:pPr>
            <w:r>
              <w:rPr>
                <w:rFonts w:hint="eastAsia" w:ascii="仿宋" w:hAnsi="仿宋" w:eastAsia="仿宋" w:cs="仿宋"/>
                <w:color w:val="000000"/>
                <w:sz w:val="21"/>
                <w:szCs w:val="21"/>
              </w:rPr>
              <w:t>完善相关管理制度，使制度与执行相统一</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gridAfter w:val="1"/>
          <w:wAfter w:w="588" w:type="dxa"/>
          <w:trHeight w:val="163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效果</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履职尽责（60分）</w:t>
            </w: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项目产出</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（40分）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40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1.若为定性指标，根据“三档”原则分别按照指标分值的100-80%（含）、80-50%（含）、50-10%来记分；</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18"/>
                <w:szCs w:val="18"/>
                <w:u w:val="none"/>
                <w:lang w:val="en-US" w:eastAsia="zh-CN"/>
              </w:rPr>
            </w:pPr>
            <w:r>
              <w:rPr>
                <w:rFonts w:hint="eastAsia" w:ascii="楷体_GB2312" w:hAnsi="宋体" w:eastAsia="楷体_GB2312" w:cs="楷体_GB2312"/>
                <w:i w:val="0"/>
                <w:color w:val="000000"/>
                <w:sz w:val="18"/>
                <w:szCs w:val="18"/>
                <w:u w:val="none"/>
                <w:lang w:val="en-US" w:eastAsia="zh-CN"/>
              </w:rPr>
              <w:t>38</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宋体" w:hAnsi="宋体" w:eastAsia="宋体" w:cs="宋体"/>
                <w:i w:val="0"/>
                <w:color w:val="000000"/>
                <w:sz w:val="18"/>
                <w:szCs w:val="18"/>
                <w:u w:val="none"/>
                <w:lang w:val="en-US" w:eastAsia="zh-CN"/>
              </w:rPr>
            </w:pPr>
            <w:r>
              <w:rPr>
                <w:rFonts w:hint="eastAsia" w:ascii="仿宋" w:hAnsi="仿宋" w:eastAsia="仿宋" w:cs="仿宋"/>
                <w:i w:val="0"/>
                <w:color w:val="000000"/>
                <w:sz w:val="21"/>
                <w:szCs w:val="21"/>
                <w:u w:val="none"/>
                <w:lang w:val="en-US" w:eastAsia="zh-CN"/>
              </w:rPr>
              <w:t>控制预算</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gridAfter w:val="1"/>
          <w:wAfter w:w="588" w:type="dxa"/>
          <w:trHeight w:val="71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pPr>
              <w:jc w:val="center"/>
              <w:rPr>
                <w:rFonts w:hint="default" w:ascii="楷体_GB2312" w:hAnsi="宋体" w:eastAsia="楷体_GB2312" w:cs="楷体_GB2312"/>
                <w:i w:val="0"/>
                <w:color w:val="000000"/>
                <w:sz w:val="20"/>
                <w:szCs w:val="20"/>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楷体_GB2312" w:hAnsi="宋体" w:eastAsia="楷体_GB2312" w:cs="楷体_GB2312"/>
                <w:i w:val="0"/>
                <w:color w:val="000000"/>
                <w:sz w:val="20"/>
                <w:szCs w:val="20"/>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项目效益</w:t>
            </w:r>
            <w:r>
              <w:rPr>
                <w:rFonts w:hint="default" w:ascii="楷体_GB2312" w:hAnsi="宋体" w:eastAsia="楷体_GB2312" w:cs="楷体_GB2312"/>
                <w:i w:val="0"/>
                <w:color w:val="000000"/>
                <w:kern w:val="0"/>
                <w:sz w:val="20"/>
                <w:szCs w:val="20"/>
                <w:u w:val="none"/>
                <w:lang w:val="en-US" w:eastAsia="zh-CN" w:bidi="ar"/>
              </w:rPr>
              <w:br w:type="textWrapping"/>
            </w:r>
            <w:r>
              <w:rPr>
                <w:rFonts w:hint="default" w:ascii="楷体_GB2312" w:hAnsi="宋体" w:eastAsia="楷体_GB2312" w:cs="楷体_GB2312"/>
                <w:i w:val="0"/>
                <w:color w:val="000000"/>
                <w:kern w:val="0"/>
                <w:sz w:val="20"/>
                <w:szCs w:val="20"/>
                <w:u w:val="none"/>
                <w:lang w:val="en-US" w:eastAsia="zh-CN" w:bidi="ar"/>
              </w:rPr>
              <w:t>（20分）</w:t>
            </w:r>
          </w:p>
        </w:tc>
        <w:tc>
          <w:tcPr>
            <w:tcW w:w="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楷体_GB2312" w:hAnsi="宋体" w:eastAsia="楷体_GB2312" w:cs="楷体_GB2312"/>
                <w:i w:val="0"/>
                <w:color w:val="000000"/>
                <w:sz w:val="20"/>
                <w:szCs w:val="20"/>
                <w:u w:val="none"/>
              </w:rPr>
            </w:pPr>
            <w:r>
              <w:rPr>
                <w:rFonts w:hint="default" w:ascii="楷体_GB2312" w:hAnsi="宋体" w:eastAsia="楷体_GB2312" w:cs="楷体_GB2312"/>
                <w:i w:val="0"/>
                <w:color w:val="000000"/>
                <w:kern w:val="0"/>
                <w:sz w:val="20"/>
                <w:szCs w:val="20"/>
                <w:u w:val="none"/>
                <w:lang w:val="en-US" w:eastAsia="zh-CN" w:bidi="ar"/>
              </w:rPr>
              <w:t>20</w:t>
            </w:r>
          </w:p>
        </w:tc>
        <w:tc>
          <w:tcPr>
            <w:tcW w:w="20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楷体_GB2312" w:hAnsi="宋体" w:eastAsia="楷体_GB2312" w:cs="楷体_GB2312"/>
                <w:i w:val="0"/>
                <w:color w:val="000000"/>
                <w:sz w:val="20"/>
                <w:szCs w:val="20"/>
                <w:u w:val="none"/>
              </w:rPr>
            </w:pPr>
          </w:p>
        </w:tc>
        <w:tc>
          <w:tcPr>
            <w:tcW w:w="3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部门决算</w:t>
            </w:r>
          </w:p>
        </w:tc>
        <w:tc>
          <w:tcPr>
            <w:tcW w:w="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楷体_GB2312" w:hAnsi="宋体" w:eastAsia="楷体_GB2312" w:cs="楷体_GB2312"/>
                <w:i w:val="0"/>
                <w:color w:val="000000"/>
                <w:sz w:val="20"/>
                <w:szCs w:val="20"/>
                <w:u w:val="none"/>
                <w:lang w:val="en-US" w:eastAsia="zh-CN"/>
              </w:rPr>
            </w:pPr>
            <w:r>
              <w:rPr>
                <w:rFonts w:hint="eastAsia" w:ascii="楷体_GB2312" w:hAnsi="宋体" w:eastAsia="楷体_GB2312" w:cs="楷体_GB2312"/>
                <w:i w:val="0"/>
                <w:color w:val="000000"/>
                <w:sz w:val="20"/>
                <w:szCs w:val="20"/>
                <w:u w:val="none"/>
                <w:lang w:val="en-US" w:eastAsia="zh-CN"/>
              </w:rPr>
              <w:t>19</w:t>
            </w:r>
          </w:p>
        </w:tc>
        <w:tc>
          <w:tcPr>
            <w:tcW w:w="4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r>
              <w:rPr>
                <w:rFonts w:hint="eastAsia" w:ascii="仿宋" w:hAnsi="仿宋" w:eastAsia="仿宋" w:cs="仿宋"/>
                <w:color w:val="000000"/>
                <w:sz w:val="21"/>
                <w:szCs w:val="21"/>
                <w:lang w:val="en-US" w:eastAsia="zh-CN"/>
              </w:rPr>
              <w:t>公众宣传平台评论量、点击率不够活跃。</w:t>
            </w:r>
            <w:r>
              <w:rPr>
                <w:rFonts w:hint="eastAsia" w:ascii="仿宋_GB2312" w:eastAsia="仿宋_GB2312"/>
                <w:color w:val="000000"/>
                <w:sz w:val="21"/>
                <w:szCs w:val="21"/>
              </w:rPr>
              <w:t>分发挥广播电视的舆论导向作用，</w:t>
            </w:r>
            <w:r>
              <w:rPr>
                <w:rFonts w:hint="eastAsia" w:ascii="仿宋" w:hAnsi="仿宋" w:eastAsia="仿宋" w:cs="仿宋"/>
                <w:color w:val="000000"/>
                <w:sz w:val="21"/>
                <w:szCs w:val="21"/>
                <w:lang w:val="en-US" w:eastAsia="zh-CN"/>
              </w:rPr>
              <w:t xml:space="preserve"> 加大宣传力度。</w:t>
            </w:r>
          </w:p>
        </w:tc>
        <w:tc>
          <w:tcPr>
            <w:tcW w:w="16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395" w:hRule="atLeast"/>
        </w:trPr>
        <w:tc>
          <w:tcPr>
            <w:tcW w:w="15945"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1.“项目产出”和“项目效果”直接细化成部门年初绩效目标中的指标，并根据重要程度赋权。</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sectPr>
          <w:pgSz w:w="16838" w:h="11906" w:orient="landscape"/>
          <w:pgMar w:top="1800" w:right="678"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color w:val="000000"/>
          <w:kern w:val="0"/>
          <w:sz w:val="32"/>
          <w:szCs w:val="32"/>
          <w:lang w:bidi="ar"/>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7.72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52.63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681.74</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44.91</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功能科目调整。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截至2019年末，本部门共有车辆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r>
        <w:rPr>
          <w:rFonts w:hint="eastAsia" w:ascii="仿宋_GB2312" w:hAnsi="宋体" w:eastAsia="仿宋_GB2312" w:cs="宋体"/>
          <w:szCs w:val="32"/>
        </w:rPr>
        <w:t>单位价值</w:t>
      </w:r>
      <w:r>
        <w:rPr>
          <w:rFonts w:hint="eastAsia" w:ascii="仿宋_GB2312" w:hAnsi="宋体" w:eastAsia="仿宋_GB2312" w:cs="宋体"/>
          <w:szCs w:val="32"/>
          <w:lang w:val="en-US" w:eastAsia="zh-CN"/>
        </w:rPr>
        <w:t>20</w:t>
      </w:r>
      <w:r>
        <w:rPr>
          <w:rFonts w:hint="eastAsia" w:ascii="仿宋_GB2312" w:hAnsi="宋体" w:eastAsia="仿宋_GB2312" w:cs="宋体"/>
          <w:szCs w:val="32"/>
        </w:rPr>
        <w:t>万元以上大型设备</w:t>
      </w:r>
      <w:r>
        <w:rPr>
          <w:rFonts w:hint="eastAsia" w:ascii="仿宋_GB2312" w:hAnsi="宋体" w:eastAsia="仿宋_GB2312" w:cs="宋体"/>
          <w:szCs w:val="32"/>
          <w:lang w:val="en-US" w:eastAsia="zh-CN"/>
        </w:rPr>
        <w:t>1</w:t>
      </w:r>
      <w:r>
        <w:rPr>
          <w:rFonts w:hint="eastAsia" w:ascii="仿宋_GB2312" w:hAnsi="宋体" w:eastAsia="仿宋_GB2312" w:cs="宋体"/>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olor w:val="000000"/>
          <w:kern w:val="0"/>
          <w:sz w:val="32"/>
          <w:szCs w:val="32"/>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color w:val="000000"/>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b w:val="0"/>
          <w:bCs/>
          <w:color w:val="000000"/>
          <w:sz w:val="32"/>
          <w:szCs w:val="32"/>
          <w:lang w:val="en-US" w:eastAsia="zh-CN"/>
        </w:rPr>
      </w:pP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p>
    <w:p>
      <w:pPr>
        <w:pStyle w:val="4"/>
        <w:shd w:val="clear" w:color="auto" w:fill="FFFFFF"/>
        <w:spacing w:before="0" w:beforeAutospacing="0" w:after="0" w:afterAutospacing="0" w:line="550" w:lineRule="exact"/>
        <w:ind w:firstLine="320" w:firstLineChars="100"/>
        <w:rPr>
          <w:rFonts w:hint="eastAsia" w:ascii="仿宋" w:hAnsi="仿宋" w:eastAsia="仿宋"/>
          <w:color w:val="000000"/>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widowControl/>
        <w:jc w:val="center"/>
        <w:rPr>
          <w:rFonts w:hint="eastAsia" w:ascii="黑体" w:hAnsi="宋体" w:eastAsia="黑体"/>
          <w:color w:val="000000"/>
          <w:kern w:val="0"/>
          <w:sz w:val="44"/>
          <w:szCs w:val="44"/>
        </w:rPr>
      </w:pPr>
    </w:p>
    <w:p>
      <w:pPr>
        <w:spacing w:line="560" w:lineRule="exact"/>
        <w:ind w:firstLine="640" w:firstLineChars="200"/>
        <w:rPr>
          <w:rFonts w:hint="eastAsia" w:ascii="仿宋_GB2312" w:hAnsi="华文仿宋" w:eastAsia="仿宋_GB2312" w:cs="华文仿宋"/>
          <w:szCs w:val="32"/>
          <w:lang w:eastAsia="zh-CN"/>
        </w:rPr>
      </w:pPr>
    </w:p>
    <w:p>
      <w:pPr>
        <w:pStyle w:val="4"/>
        <w:shd w:val="clear" w:color="auto" w:fill="FFFFFF"/>
        <w:spacing w:before="0" w:beforeAutospacing="0" w:after="0" w:afterAutospacing="0" w:line="240" w:lineRule="auto"/>
        <w:ind w:firstLine="640" w:firstLineChars="200"/>
        <w:jc w:val="center"/>
        <w:rPr>
          <w:rFonts w:hint="eastAsia" w:ascii="仿宋_GB2312" w:hAnsi="华文仿宋" w:eastAsia="仿宋_GB2312" w:cs="华文仿宋"/>
          <w:sz w:val="32"/>
          <w:szCs w:val="32"/>
          <w:lang w:val="en-US" w:eastAsia="zh-CN"/>
        </w:rPr>
      </w:pPr>
    </w:p>
    <w:p>
      <w:pPr>
        <w:pStyle w:val="4"/>
        <w:numPr>
          <w:ilvl w:val="0"/>
          <w:numId w:val="0"/>
        </w:numPr>
        <w:spacing w:before="0" w:beforeAutospacing="0" w:after="0" w:afterAutospacing="0" w:line="240" w:lineRule="auto"/>
        <w:ind w:leftChars="200"/>
        <w:rPr>
          <w:rFonts w:hint="eastAsia" w:ascii="仿宋_GB2312" w:eastAsia="仿宋_GB2312"/>
          <w:sz w:val="32"/>
          <w:szCs w:val="32"/>
          <w:lang w:val="en-US" w:eastAsia="zh-CN"/>
        </w:rPr>
      </w:pPr>
    </w:p>
    <w:p>
      <w:pPr>
        <w:pStyle w:val="4"/>
        <w:shd w:val="clear" w:color="auto" w:fill="FFFFFF"/>
        <w:spacing w:before="0" w:beforeAutospacing="0" w:after="0" w:afterAutospacing="0" w:line="550" w:lineRule="exact"/>
        <w:ind w:firstLine="640" w:firstLineChars="200"/>
        <w:rPr>
          <w:rFonts w:hint="eastAsia" w:ascii="仿宋" w:hAnsi="仿宋" w:eastAsia="仿宋"/>
          <w:color w:val="000000"/>
          <w:sz w:val="32"/>
          <w:szCs w:val="32"/>
          <w:lang w:val="en-US" w:eastAsia="zh-CN"/>
        </w:rPr>
      </w:pP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037A7E"/>
    <w:multiLevelType w:val="singleLevel"/>
    <w:tmpl w:val="A4037A7E"/>
    <w:lvl w:ilvl="0" w:tentative="0">
      <w:start w:val="2"/>
      <w:numFmt w:val="chineseCounting"/>
      <w:suff w:val="space"/>
      <w:lvlText w:val="第%1部分"/>
      <w:lvlJc w:val="left"/>
      <w:rPr>
        <w:rFonts w:hint="eastAsia"/>
      </w:rPr>
    </w:lvl>
  </w:abstractNum>
  <w:abstractNum w:abstractNumId="1">
    <w:nsid w:val="FB1C1F01"/>
    <w:multiLevelType w:val="singleLevel"/>
    <w:tmpl w:val="FB1C1F01"/>
    <w:lvl w:ilvl="0" w:tentative="0">
      <w:start w:val="3"/>
      <w:numFmt w:val="chineseCounting"/>
      <w:suff w:val="nothing"/>
      <w:lvlText w:val="（%1）"/>
      <w:lvlJc w:val="left"/>
      <w:rPr>
        <w:rFonts w:hint="eastAsia"/>
      </w:rPr>
    </w:lvl>
  </w:abstractNum>
  <w:abstractNum w:abstractNumId="2">
    <w:nsid w:val="37CAD716"/>
    <w:multiLevelType w:val="singleLevel"/>
    <w:tmpl w:val="37CAD716"/>
    <w:lvl w:ilvl="0" w:tentative="0">
      <w:start w:val="3"/>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57E88EE4"/>
    <w:multiLevelType w:val="singleLevel"/>
    <w:tmpl w:val="57E88EE4"/>
    <w:lvl w:ilvl="0" w:tentative="0">
      <w:start w:val="7"/>
      <w:numFmt w:val="chineseCounting"/>
      <w:suff w:val="nothing"/>
      <w:lvlText w:val="%1、"/>
      <w:lvlJc w:val="left"/>
      <w:rPr>
        <w:rFonts w:hint="eastAsia"/>
      </w:rPr>
    </w:lvl>
  </w:abstractNum>
  <w:abstractNum w:abstractNumId="5">
    <w:nsid w:val="5F65E823"/>
    <w:multiLevelType w:val="singleLevel"/>
    <w:tmpl w:val="5F65E823"/>
    <w:lvl w:ilvl="0" w:tentative="0">
      <w:start w:val="1"/>
      <w:numFmt w:val="decimal"/>
      <w:suff w:val="nothing"/>
      <w:lvlText w:val="（%1）"/>
      <w:lvlJc w:val="left"/>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270E51"/>
    <w:rsid w:val="002A4E14"/>
    <w:rsid w:val="00353F12"/>
    <w:rsid w:val="003E3DDC"/>
    <w:rsid w:val="004D2445"/>
    <w:rsid w:val="00621588"/>
    <w:rsid w:val="00704FEE"/>
    <w:rsid w:val="009A55D8"/>
    <w:rsid w:val="00A12C31"/>
    <w:rsid w:val="00B55CD7"/>
    <w:rsid w:val="00DE3D63"/>
    <w:rsid w:val="00EB33B0"/>
    <w:rsid w:val="015D58FD"/>
    <w:rsid w:val="017E5686"/>
    <w:rsid w:val="01C746C6"/>
    <w:rsid w:val="01CD2E4F"/>
    <w:rsid w:val="0213663B"/>
    <w:rsid w:val="02D5467C"/>
    <w:rsid w:val="065B5C1D"/>
    <w:rsid w:val="06910EAA"/>
    <w:rsid w:val="06C109AE"/>
    <w:rsid w:val="08C22F4B"/>
    <w:rsid w:val="0A0E1646"/>
    <w:rsid w:val="0CAF4337"/>
    <w:rsid w:val="0DB43289"/>
    <w:rsid w:val="0F2029C0"/>
    <w:rsid w:val="0F870265"/>
    <w:rsid w:val="13403F7B"/>
    <w:rsid w:val="139A1695"/>
    <w:rsid w:val="15DA3173"/>
    <w:rsid w:val="17B70A56"/>
    <w:rsid w:val="18F871F4"/>
    <w:rsid w:val="1A3031D1"/>
    <w:rsid w:val="1B420A1D"/>
    <w:rsid w:val="1C287AD1"/>
    <w:rsid w:val="1C3856CA"/>
    <w:rsid w:val="1C624DF0"/>
    <w:rsid w:val="1C9C50D6"/>
    <w:rsid w:val="1DF94D4F"/>
    <w:rsid w:val="1E5875C0"/>
    <w:rsid w:val="1F86612B"/>
    <w:rsid w:val="21FD5768"/>
    <w:rsid w:val="231827EB"/>
    <w:rsid w:val="236F6773"/>
    <w:rsid w:val="23F77372"/>
    <w:rsid w:val="27562765"/>
    <w:rsid w:val="28DE08C7"/>
    <w:rsid w:val="298C6F01"/>
    <w:rsid w:val="299C7739"/>
    <w:rsid w:val="2AB117E3"/>
    <w:rsid w:val="2C6C60E8"/>
    <w:rsid w:val="2E6318DB"/>
    <w:rsid w:val="2EAB02B8"/>
    <w:rsid w:val="2EF528EB"/>
    <w:rsid w:val="2F5572B1"/>
    <w:rsid w:val="30A92898"/>
    <w:rsid w:val="3159166E"/>
    <w:rsid w:val="316F0D5B"/>
    <w:rsid w:val="348A2841"/>
    <w:rsid w:val="3548736E"/>
    <w:rsid w:val="358F595E"/>
    <w:rsid w:val="389306C4"/>
    <w:rsid w:val="392F2682"/>
    <w:rsid w:val="39F176FF"/>
    <w:rsid w:val="3A4D5ED6"/>
    <w:rsid w:val="3AB74E89"/>
    <w:rsid w:val="3D2952B9"/>
    <w:rsid w:val="3DF939EF"/>
    <w:rsid w:val="3F7C3B40"/>
    <w:rsid w:val="41EC1ECC"/>
    <w:rsid w:val="42BA0293"/>
    <w:rsid w:val="45714E4D"/>
    <w:rsid w:val="4616370B"/>
    <w:rsid w:val="49391BC4"/>
    <w:rsid w:val="4AD810C6"/>
    <w:rsid w:val="4BAE579B"/>
    <w:rsid w:val="4C1464B3"/>
    <w:rsid w:val="4C2059BB"/>
    <w:rsid w:val="4C4A388C"/>
    <w:rsid w:val="4C8700EB"/>
    <w:rsid w:val="4CF80250"/>
    <w:rsid w:val="4DF92132"/>
    <w:rsid w:val="4F104EB8"/>
    <w:rsid w:val="4F3B1704"/>
    <w:rsid w:val="4FFC73B1"/>
    <w:rsid w:val="52163EC0"/>
    <w:rsid w:val="52466641"/>
    <w:rsid w:val="526D5775"/>
    <w:rsid w:val="529C1EDE"/>
    <w:rsid w:val="52D21252"/>
    <w:rsid w:val="52FE0B23"/>
    <w:rsid w:val="532D05C1"/>
    <w:rsid w:val="53646FB6"/>
    <w:rsid w:val="538C0094"/>
    <w:rsid w:val="551A6AEC"/>
    <w:rsid w:val="55700C69"/>
    <w:rsid w:val="55E61F1B"/>
    <w:rsid w:val="56DC0CE8"/>
    <w:rsid w:val="571F679D"/>
    <w:rsid w:val="57BC2E39"/>
    <w:rsid w:val="589E147F"/>
    <w:rsid w:val="5BE64336"/>
    <w:rsid w:val="5C5E4D31"/>
    <w:rsid w:val="5CDE040F"/>
    <w:rsid w:val="5D8D1A43"/>
    <w:rsid w:val="5E440D48"/>
    <w:rsid w:val="5EC0571F"/>
    <w:rsid w:val="5F601153"/>
    <w:rsid w:val="60CA1F9A"/>
    <w:rsid w:val="62572A73"/>
    <w:rsid w:val="62791935"/>
    <w:rsid w:val="62BE432C"/>
    <w:rsid w:val="62DD6723"/>
    <w:rsid w:val="63EF275F"/>
    <w:rsid w:val="63F275F0"/>
    <w:rsid w:val="63FB1E6F"/>
    <w:rsid w:val="64631A8D"/>
    <w:rsid w:val="64B012DD"/>
    <w:rsid w:val="65BA110E"/>
    <w:rsid w:val="66975563"/>
    <w:rsid w:val="69CB374A"/>
    <w:rsid w:val="6A59679C"/>
    <w:rsid w:val="6A923491"/>
    <w:rsid w:val="6B75717C"/>
    <w:rsid w:val="6CE41E90"/>
    <w:rsid w:val="6E6F3391"/>
    <w:rsid w:val="6EF21EFC"/>
    <w:rsid w:val="706B399A"/>
    <w:rsid w:val="74983629"/>
    <w:rsid w:val="75DF75A3"/>
    <w:rsid w:val="767B250F"/>
    <w:rsid w:val="796E7003"/>
    <w:rsid w:val="79C8501E"/>
    <w:rsid w:val="7A6B5A95"/>
    <w:rsid w:val="7A9E3890"/>
    <w:rsid w:val="7B173E06"/>
    <w:rsid w:val="7B254CC5"/>
    <w:rsid w:val="7B642AAB"/>
    <w:rsid w:val="7B800A50"/>
    <w:rsid w:val="7CA51292"/>
    <w:rsid w:val="7CCD0619"/>
    <w:rsid w:val="7DDC2170"/>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next w:val="3"/>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99"/>
    <w:rPr>
      <w:rFonts w:cs="Times New Roman"/>
      <w:b/>
      <w:bCs/>
    </w:rPr>
  </w:style>
  <w:style w:type="character" w:customStyle="1" w:styleId="8">
    <w:name w:val="Footer Char"/>
    <w:basedOn w:val="6"/>
    <w:link w:val="2"/>
    <w:semiHidden/>
    <w:qFormat/>
    <w:locked/>
    <w:uiPriority w:val="99"/>
    <w:rPr>
      <w:rFonts w:cs="Times New Roman"/>
      <w:sz w:val="18"/>
      <w:szCs w:val="18"/>
    </w:rPr>
  </w:style>
  <w:style w:type="character" w:customStyle="1" w:styleId="9">
    <w:name w:val="Header Char"/>
    <w:basedOn w:val="6"/>
    <w:link w:val="3"/>
    <w:semiHidden/>
    <w:qFormat/>
    <w:locked/>
    <w:uiPriority w:val="99"/>
    <w:rPr>
      <w:rFonts w:cs="Times New Roman"/>
      <w:sz w:val="18"/>
      <w:szCs w:val="18"/>
    </w:rPr>
  </w:style>
  <w:style w:type="character" w:customStyle="1" w:styleId="10">
    <w:name w:val="font71"/>
    <w:basedOn w:val="6"/>
    <w:qFormat/>
    <w:uiPriority w:val="0"/>
    <w:rPr>
      <w:rFonts w:hint="eastAsia" w:ascii="宋体" w:hAnsi="宋体" w:eastAsia="宋体" w:cs="宋体"/>
      <w:b/>
      <w:color w:val="000000"/>
      <w:sz w:val="32"/>
      <w:szCs w:val="32"/>
      <w:u w:val="none"/>
    </w:rPr>
  </w:style>
  <w:style w:type="character" w:customStyle="1" w:styleId="11">
    <w:name w:val="font41"/>
    <w:basedOn w:val="6"/>
    <w:qFormat/>
    <w:uiPriority w:val="0"/>
    <w:rPr>
      <w:rFonts w:hint="eastAsia" w:ascii="宋体" w:hAnsi="宋体" w:eastAsia="宋体" w:cs="宋体"/>
      <w:color w:val="000000"/>
      <w:sz w:val="32"/>
      <w:szCs w:val="32"/>
      <w:u w:val="none"/>
    </w:rPr>
  </w:style>
  <w:style w:type="character" w:customStyle="1" w:styleId="12">
    <w:name w:val="font11"/>
    <w:basedOn w:val="6"/>
    <w:qFormat/>
    <w:uiPriority w:val="0"/>
    <w:rPr>
      <w:rFonts w:hint="eastAsia" w:ascii="宋体" w:hAnsi="宋体" w:eastAsia="宋体" w:cs="宋体"/>
      <w:color w:val="000000"/>
      <w:sz w:val="20"/>
      <w:szCs w:val="20"/>
      <w:u w:val="none"/>
    </w:rPr>
  </w:style>
  <w:style w:type="character" w:customStyle="1" w:styleId="13">
    <w:name w:val="font01"/>
    <w:basedOn w:val="6"/>
    <w:qFormat/>
    <w:uiPriority w:val="0"/>
    <w:rPr>
      <w:rFonts w:hint="eastAsia" w:ascii="宋体" w:hAnsi="宋体" w:eastAsia="宋体" w:cs="宋体"/>
      <w:color w:val="000000"/>
      <w:sz w:val="20"/>
      <w:szCs w:val="20"/>
      <w:u w:val="none"/>
    </w:rPr>
  </w:style>
  <w:style w:type="character" w:customStyle="1" w:styleId="14">
    <w:name w:val="font101"/>
    <w:basedOn w:val="6"/>
    <w:qFormat/>
    <w:uiPriority w:val="0"/>
    <w:rPr>
      <w:rFonts w:hint="eastAsia" w:ascii="宋体" w:hAnsi="宋体" w:eastAsia="宋体" w:cs="宋体"/>
      <w:color w:val="000000"/>
      <w:sz w:val="18"/>
      <w:szCs w:val="18"/>
      <w:u w:val="none"/>
    </w:rPr>
  </w:style>
  <w:style w:type="character" w:customStyle="1" w:styleId="15">
    <w:name w:val="font5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Pages>
  <Words>455</Words>
  <Characters>2595</Characters>
  <Lines>0</Lines>
  <Paragraphs>0</Paragraphs>
  <TotalTime>27</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Administrator</cp:lastModifiedBy>
  <cp:lastPrinted>2020-10-22T08:35:11Z</cp:lastPrinted>
  <dcterms:modified xsi:type="dcterms:W3CDTF">2020-10-22T08:55:07Z</dcterms:modified>
  <dc:title>XX(部门)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