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5"/>
      </w:pP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sz w:val="44"/>
          <w:szCs w:val="44"/>
        </w:rPr>
        <w:t>西安市阎良区社会保险基金管理中心</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hint="eastAsia"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ascii="宋体" w:hAnsi="宋体" w:cs="宋体"/>
          <w:b/>
          <w:bCs/>
          <w:szCs w:val="32"/>
        </w:rPr>
      </w:pPr>
      <w:r>
        <w:rPr>
          <w:rFonts w:hint="eastAsia" w:asciiTheme="minorEastAsia" w:hAnsiTheme="minorEastAsia" w:eastAsiaTheme="minorEastAsia" w:cstheme="minorEastAsia"/>
          <w:b/>
          <w:bCs/>
          <w:szCs w:val="32"/>
        </w:rPr>
        <w:t>部门主要负责人审签情况：</w:t>
      </w:r>
      <w:bookmarkStart w:id="3" w:name="_GoBack"/>
      <w:bookmarkEnd w:id="3"/>
      <w:r>
        <w:rPr>
          <w:rFonts w:hint="eastAsia" w:asciiTheme="minorEastAsia" w:hAnsiTheme="minorEastAsia" w:eastAsiaTheme="minorEastAsia" w:cstheme="minorEastAsia"/>
          <w:b/>
          <w:bCs/>
          <w:szCs w:val="32"/>
        </w:rPr>
        <w:t>已审签</w:t>
      </w:r>
    </w:p>
    <w:p>
      <w:pPr>
        <w:jc w:val="center"/>
        <w:rPr>
          <w:rFonts w:ascii="黑体" w:hAnsi="宋体" w:eastAsia="黑体"/>
          <w:b/>
          <w:color w:val="000000"/>
          <w:kern w:val="0"/>
          <w:sz w:val="56"/>
          <w:szCs w:val="56"/>
        </w:rPr>
      </w:pP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1、贯彻执行失业保险、工伤保险的有关政策规定，落实失业保险、工伤保险管理办法；</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2、负责辖区内失业、工伤保险参保登记，缴费基数调整核定及年审工作；</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3、负责失业保险参保企业稳岗返还初审、人员待遇审核及基金支付工作；</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4、负责工伤待遇的审核及基金支付工作；</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5、负责失业、工伤保险统计工作；</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6、承办区人力资源和社会保障局交办的其他事项。</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无内设机构。</w:t>
      </w: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 w:hAnsi="仿宋" w:eastAsia="仿宋" w:cs="仿宋_GB2312"/>
          <w:szCs w:val="32"/>
        </w:rPr>
      </w:pPr>
      <w:r>
        <w:rPr>
          <w:rFonts w:hint="eastAsia" w:ascii="仿宋" w:hAnsi="仿宋" w:eastAsia="仿宋" w:cs="仿宋_GB2312"/>
          <w:szCs w:val="32"/>
        </w:rPr>
        <w:t>纳入2019年度本部门决算编制范围的单位共1个。</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 w:hAnsi="仿宋" w:eastAsia="仿宋" w:cs="仿宋_GB2312"/>
                <w:szCs w:val="32"/>
              </w:rPr>
            </w:pPr>
            <w:r>
              <w:rPr>
                <w:rFonts w:hint="eastAsia" w:ascii="仿宋" w:hAnsi="仿宋" w:eastAsia="仿宋" w:cs="仿宋_GB2312"/>
                <w:szCs w:val="32"/>
              </w:rPr>
              <w:t>1</w:t>
            </w:r>
          </w:p>
        </w:tc>
        <w:tc>
          <w:tcPr>
            <w:tcW w:w="7278" w:type="dxa"/>
            <w:vAlign w:val="center"/>
          </w:tcPr>
          <w:p>
            <w:pPr>
              <w:jc w:val="center"/>
              <w:rPr>
                <w:rFonts w:ascii="仿宋" w:hAnsi="仿宋" w:eastAsia="仿宋" w:cs="仿宋_GB2312"/>
                <w:szCs w:val="32"/>
              </w:rPr>
            </w:pPr>
            <w:r>
              <w:rPr>
                <w:rFonts w:hint="eastAsia" w:ascii="仿宋" w:hAnsi="仿宋" w:eastAsia="仿宋" w:cs="仿宋_GB2312"/>
                <w:szCs w:val="32"/>
              </w:rPr>
              <w:t>西安市阎良区社会保险基金管理中心</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 w:hAnsi="仿宋" w:eastAsia="仿宋" w:cs="仿宋_GB2312"/>
          <w:szCs w:val="32"/>
        </w:rPr>
      </w:pPr>
      <w:r>
        <w:rPr>
          <w:rFonts w:hint="eastAsia" w:ascii="仿宋" w:hAnsi="仿宋" w:eastAsia="仿宋" w:cs="仿宋_GB2312"/>
          <w:szCs w:val="32"/>
        </w:rPr>
        <w:t>截止2019年底，本部门人员编制10人，其中事业编制10人；实有人员9人，其中事业9人。</w:t>
      </w: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r>
        <w:rPr>
          <w:rFonts w:hint="eastAsia" w:ascii="仿宋" w:hAnsi="仿宋" w:eastAsia="仿宋" w:cs="仿宋_GB2312"/>
          <w:szCs w:val="32"/>
        </w:rPr>
        <w:drawing>
          <wp:anchor distT="0" distB="0" distL="114300" distR="114300" simplePos="0" relativeHeight="251662336" behindDoc="1" locked="0" layoutInCell="1" allowOverlap="1">
            <wp:simplePos x="0" y="0"/>
            <wp:positionH relativeFrom="column">
              <wp:posOffset>38100</wp:posOffset>
            </wp:positionH>
            <wp:positionV relativeFrom="paragraph">
              <wp:posOffset>-104775</wp:posOffset>
            </wp:positionV>
            <wp:extent cx="5274310" cy="3076575"/>
            <wp:effectExtent l="19050" t="0" r="21590" b="0"/>
            <wp:wrapTight wrapText="bothSides">
              <wp:wrapPolygon>
                <wp:start x="-78" y="0"/>
                <wp:lineTo x="-78" y="21533"/>
                <wp:lineTo x="21688" y="21533"/>
                <wp:lineTo x="21688" y="0"/>
                <wp:lineTo x="-78"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spacing w:line="560" w:lineRule="exact"/>
        <w:ind w:firstLine="641"/>
        <w:rPr>
          <w:rFonts w:ascii="仿宋" w:hAnsi="仿宋" w:eastAsia="仿宋" w:cs="仿宋_GB2312"/>
          <w:szCs w:val="32"/>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margin" w:tblpY="1019"/>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无政府性基金</w:t>
            </w:r>
          </w:p>
        </w:tc>
      </w:tr>
    </w:tbl>
    <w:p>
      <w:pPr>
        <w:widowControl/>
        <w:jc w:val="center"/>
        <w:textAlignment w:val="center"/>
        <w:rPr>
          <w:rFonts w:ascii="宋体" w:hAnsi="宋体" w:cs="宋体"/>
          <w:b/>
          <w:color w:val="000000"/>
          <w:kern w:val="0"/>
          <w:sz w:val="40"/>
          <w:szCs w:val="40"/>
        </w:rPr>
      </w:pPr>
    </w:p>
    <w:p>
      <w:pPr>
        <w:widowControl/>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编制部门：西安市阎良区社会保险基金管理中心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241.49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237.97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241.49</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241.49</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241.49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241.49</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编制部门：西安市阎良区社会保险基金管理中心                       金额单位：万元</w:t>
      </w:r>
    </w:p>
    <w:tbl>
      <w:tblPr>
        <w:tblStyle w:val="7"/>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241.49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241.49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237.97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237.97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人力资源和社会保障管理事务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2080109</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社会保险经办机构</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行政事业单位离退休</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编制部门：西安市阎良区社会保险基金管理中心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241.49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237.97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206.59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人力资源和社会保障管理事务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193.54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2080109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社会保险经办机构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193.54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编制部门：西安市阎良区社会保险基金管理中心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241.49</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237.97</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237.97</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编制部门：西安市阎良区社会保险基金管理中心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241.49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241.49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241.49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hint="eastAsia" w:ascii="宋体" w:hAnsi="宋体" w:eastAsia="宋体" w:cs="宋体"/>
                <w:color w:val="00000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241.49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241.49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241.49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241.49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编制部门：西安市阎良区社会保险基金管理中心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241.49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201.29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237.97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206.59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197.75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20801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人力资源和社会保障管理事务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193.54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184.70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2080109</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社会保险经办机构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224.92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193.54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184.70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31.38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13.05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3.52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jc w:val="cente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编制部门：西安市阎良区社会保险基金管理中心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210.11</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201.29</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8.83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201.29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201.29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42.33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42.33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50.63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50.63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66.24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66.24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2.61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2.61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4.23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16.20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16.20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8.83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8.83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2.16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2.16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0.14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0.25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0.25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 xml:space="preserve">  30206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 xml:space="preserve">  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0.54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0.54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eastAsia="宋体" w:cs="宋体"/>
                <w:color w:val="000000"/>
                <w:sz w:val="21"/>
                <w:szCs w:val="21"/>
              </w:rPr>
            </w:pPr>
            <w:r>
              <w:rPr>
                <w:rFonts w:hint="eastAsia" w:ascii="宋体" w:hAnsi="宋体" w:eastAsia="宋体" w:cs="宋体"/>
                <w:color w:val="000000"/>
                <w:sz w:val="21"/>
                <w:szCs w:val="21"/>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1.89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 xml:space="preserve">  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0.73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0.73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30228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2.84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2.84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编制部门：西安市阎良区社会保险基金管理中心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1.37</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0.36</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编制部门：西安市阎良区社会保险基金管理中心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一、收入支出决算总体情况说明 </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2019年度本年收入合计241.49万元，较上年度减少了1856.63万元，主要原因是：机构改革，部分人员工资、经费及项目划转至阎良区医疗保障局。</w:t>
      </w:r>
    </w:p>
    <w:p>
      <w:pPr>
        <w:spacing w:line="560" w:lineRule="exact"/>
        <w:ind w:firstLine="640" w:firstLineChars="200"/>
        <w:rPr>
          <w:rFonts w:ascii="仿宋" w:hAnsi="仿宋" w:eastAsia="仿宋"/>
          <w:szCs w:val="32"/>
        </w:rPr>
      </w:pPr>
      <w:r>
        <w:rPr>
          <w:rFonts w:hint="eastAsia" w:ascii="仿宋" w:hAnsi="仿宋" w:eastAsia="仿宋"/>
          <w:szCs w:val="32"/>
        </w:rPr>
        <w:t>2019度年本年支出合计241.49万元，较上年度减少了1856.63万元，主要原因是：机构改革，部分人员工资、经费及项目划转至阎良区医疗保障局。</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76835</wp:posOffset>
            </wp:positionV>
            <wp:extent cx="5274310" cy="3076575"/>
            <wp:effectExtent l="19050" t="0" r="21590" b="0"/>
            <wp:wrapTight wrapText="bothSides">
              <wp:wrapPolygon>
                <wp:start x="-78" y="0"/>
                <wp:lineTo x="-78" y="21533"/>
                <wp:lineTo x="21688" y="21533"/>
                <wp:lineTo x="21688" y="0"/>
                <wp:lineTo x="-78"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2019</w:t>
      </w:r>
      <w:r>
        <w:rPr>
          <w:rFonts w:ascii="仿宋" w:hAnsi="仿宋" w:eastAsia="仿宋" w:cs="仿宋_GB2312"/>
          <w:color w:val="000000"/>
          <w:kern w:val="0"/>
          <w:szCs w:val="32"/>
        </w:rPr>
        <w:t>年</w:t>
      </w:r>
      <w:r>
        <w:rPr>
          <w:rFonts w:hint="eastAsia" w:ascii="仿宋" w:hAnsi="仿宋" w:eastAsia="仿宋"/>
          <w:szCs w:val="32"/>
        </w:rPr>
        <w:t>度</w:t>
      </w:r>
      <w:r>
        <w:rPr>
          <w:rFonts w:ascii="仿宋" w:hAnsi="仿宋" w:eastAsia="仿宋" w:cs="仿宋_GB2312"/>
          <w:color w:val="000000"/>
          <w:kern w:val="0"/>
          <w:szCs w:val="32"/>
        </w:rPr>
        <w:t>收入合计</w:t>
      </w:r>
      <w:r>
        <w:rPr>
          <w:rFonts w:hint="eastAsia" w:ascii="仿宋" w:hAnsi="仿宋" w:eastAsia="仿宋" w:cs="仿宋_GB2312"/>
          <w:color w:val="000000"/>
          <w:kern w:val="0"/>
          <w:szCs w:val="32"/>
        </w:rPr>
        <w:t>241.49</w:t>
      </w:r>
      <w:r>
        <w:rPr>
          <w:rFonts w:ascii="仿宋" w:hAnsi="仿宋" w:eastAsia="仿宋" w:cs="仿宋_GB2312"/>
          <w:color w:val="000000"/>
          <w:kern w:val="0"/>
          <w:szCs w:val="32"/>
        </w:rPr>
        <w:t>万元，其中：财政拨款收入</w:t>
      </w:r>
      <w:r>
        <w:rPr>
          <w:rFonts w:hint="eastAsia" w:ascii="仿宋" w:hAnsi="仿宋" w:eastAsia="仿宋" w:cs="仿宋_GB2312"/>
          <w:color w:val="000000"/>
          <w:kern w:val="0"/>
          <w:szCs w:val="32"/>
        </w:rPr>
        <w:t>241.49</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ascii="黑体" w:hAnsi="黑体" w:eastAsia="黑体"/>
          <w:color w:val="000000"/>
          <w:kern w:val="0"/>
          <w:szCs w:val="32"/>
        </w:rPr>
        <w:drawing>
          <wp:anchor distT="0" distB="0" distL="114300" distR="114300" simplePos="0" relativeHeight="251663360" behindDoc="1" locked="0" layoutInCell="1" allowOverlap="1">
            <wp:simplePos x="0" y="0"/>
            <wp:positionH relativeFrom="column">
              <wp:posOffset>57150</wp:posOffset>
            </wp:positionH>
            <wp:positionV relativeFrom="paragraph">
              <wp:posOffset>133350</wp:posOffset>
            </wp:positionV>
            <wp:extent cx="5274310" cy="3076575"/>
            <wp:effectExtent l="19050" t="0" r="21590" b="0"/>
            <wp:wrapTight wrapText="bothSides">
              <wp:wrapPolygon>
                <wp:start x="-78" y="0"/>
                <wp:lineTo x="-78" y="21533"/>
                <wp:lineTo x="21688" y="21533"/>
                <wp:lineTo x="21688" y="0"/>
                <wp:lineTo x="-78"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 xml:space="preserve">三、支出决算情况说明  </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2019</w:t>
      </w:r>
      <w:r>
        <w:rPr>
          <w:rFonts w:ascii="仿宋" w:hAnsi="仿宋" w:eastAsia="仿宋" w:cs="仿宋_GB2312"/>
          <w:color w:val="000000"/>
          <w:kern w:val="0"/>
          <w:szCs w:val="32"/>
        </w:rPr>
        <w:t>年</w:t>
      </w:r>
      <w:r>
        <w:rPr>
          <w:rFonts w:hint="eastAsia" w:ascii="仿宋" w:hAnsi="仿宋" w:eastAsia="仿宋"/>
          <w:szCs w:val="32"/>
        </w:rPr>
        <w:t>度</w:t>
      </w:r>
      <w:r>
        <w:rPr>
          <w:rFonts w:ascii="仿宋" w:hAnsi="仿宋" w:eastAsia="仿宋" w:cs="仿宋_GB2312"/>
          <w:color w:val="000000"/>
          <w:kern w:val="0"/>
          <w:szCs w:val="32"/>
        </w:rPr>
        <w:t>支出合计</w:t>
      </w:r>
      <w:r>
        <w:rPr>
          <w:rFonts w:hint="eastAsia" w:ascii="仿宋" w:hAnsi="仿宋" w:eastAsia="仿宋" w:cs="仿宋_GB2312"/>
          <w:color w:val="000000"/>
          <w:kern w:val="0"/>
          <w:szCs w:val="32"/>
        </w:rPr>
        <w:t>241.49</w:t>
      </w:r>
      <w:r>
        <w:rPr>
          <w:rFonts w:ascii="仿宋" w:hAnsi="仿宋" w:eastAsia="仿宋" w:cs="仿宋_GB2312"/>
          <w:color w:val="000000"/>
          <w:kern w:val="0"/>
          <w:szCs w:val="32"/>
        </w:rPr>
        <w:t>万元，其中：基本支出</w:t>
      </w:r>
      <w:r>
        <w:rPr>
          <w:rFonts w:hint="eastAsia" w:ascii="仿宋" w:hAnsi="仿宋" w:eastAsia="仿宋" w:cs="仿宋_GB2312"/>
          <w:color w:val="000000"/>
          <w:kern w:val="0"/>
          <w:szCs w:val="32"/>
        </w:rPr>
        <w:t>210.11</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87</w:t>
      </w:r>
      <w:r>
        <w:rPr>
          <w:rFonts w:ascii="仿宋" w:hAnsi="仿宋" w:eastAsia="仿宋" w:cs="仿宋_GB2312"/>
          <w:color w:val="000000"/>
          <w:kern w:val="0"/>
          <w:szCs w:val="32"/>
        </w:rPr>
        <w:t>%；项目支出</w:t>
      </w:r>
      <w:r>
        <w:rPr>
          <w:rFonts w:hint="eastAsia" w:ascii="仿宋" w:hAnsi="仿宋" w:eastAsia="仿宋" w:cs="仿宋_GB2312"/>
          <w:color w:val="000000"/>
          <w:kern w:val="0"/>
          <w:szCs w:val="32"/>
        </w:rPr>
        <w:t>31.38</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13</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rPr>
      </w:pPr>
      <w:r>
        <w:rPr>
          <w:rFonts w:ascii="仿宋" w:hAnsi="仿宋" w:eastAsia="仿宋"/>
        </w:rPr>
        <w:drawing>
          <wp:anchor distT="0" distB="0" distL="114300" distR="114300" simplePos="0" relativeHeight="251660288" behindDoc="1" locked="0" layoutInCell="1" allowOverlap="1">
            <wp:simplePos x="0" y="0"/>
            <wp:positionH relativeFrom="column">
              <wp:posOffset>180975</wp:posOffset>
            </wp:positionH>
            <wp:positionV relativeFrom="paragraph">
              <wp:posOffset>238125</wp:posOffset>
            </wp:positionV>
            <wp:extent cx="5086350" cy="2952750"/>
            <wp:effectExtent l="19050" t="0" r="19050" b="0"/>
            <wp:wrapTight wrapText="bothSides">
              <wp:wrapPolygon>
                <wp:start x="-81" y="0"/>
                <wp:lineTo x="-81" y="21600"/>
                <wp:lineTo x="21681" y="21600"/>
                <wp:lineTo x="21681" y="0"/>
                <wp:lineTo x="-81"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四、财政拨款收入支出决算总体情况说明  </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2019年度</w:t>
      </w:r>
      <w:r>
        <w:rPr>
          <w:rFonts w:ascii="仿宋" w:hAnsi="仿宋" w:eastAsia="仿宋" w:cs="仿宋_GB2312"/>
          <w:color w:val="000000"/>
          <w:kern w:val="0"/>
          <w:szCs w:val="32"/>
        </w:rPr>
        <w:t>财政拨款</w:t>
      </w:r>
      <w:r>
        <w:rPr>
          <w:rFonts w:hint="eastAsia" w:ascii="仿宋" w:hAnsi="仿宋" w:eastAsia="仿宋"/>
          <w:szCs w:val="32"/>
        </w:rPr>
        <w:t>收入241.49万元，较上年度减少了1856.63万元，主要原因是：机构改革，部分人员工资、经费及项目划转至阎良区医疗保障局。</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2019年度</w:t>
      </w:r>
      <w:r>
        <w:rPr>
          <w:rFonts w:ascii="仿宋" w:hAnsi="仿宋" w:eastAsia="仿宋" w:cs="仿宋_GB2312"/>
          <w:color w:val="000000"/>
          <w:kern w:val="0"/>
          <w:szCs w:val="32"/>
        </w:rPr>
        <w:t>财政拨款</w:t>
      </w:r>
      <w:r>
        <w:rPr>
          <w:rFonts w:hint="eastAsia" w:ascii="仿宋" w:hAnsi="仿宋" w:eastAsia="仿宋"/>
          <w:szCs w:val="32"/>
        </w:rPr>
        <w:t>支出241.49万元，较上年度减少了1856.63万元，主要原因是：机构改革，部分人员工资、经费及项目划转至阎良区医疗保障局。</w:t>
      </w:r>
    </w:p>
    <w:p>
      <w:pPr>
        <w:widowControl/>
        <w:spacing w:line="560" w:lineRule="exact"/>
        <w:ind w:firstLine="640" w:firstLineChars="200"/>
        <w:jc w:val="left"/>
        <w:rPr>
          <w:rFonts w:ascii="仿宋" w:hAnsi="仿宋" w:eastAsia="仿宋"/>
          <w:szCs w:val="32"/>
        </w:rPr>
      </w:pPr>
      <w:r>
        <w:rPr>
          <w:rFonts w:ascii="仿宋" w:hAnsi="仿宋" w:eastAsia="仿宋"/>
          <w:szCs w:val="32"/>
        </w:rPr>
        <w:drawing>
          <wp:anchor distT="0" distB="0" distL="114300" distR="114300" simplePos="0" relativeHeight="251661312" behindDoc="1" locked="0" layoutInCell="1" allowOverlap="1">
            <wp:simplePos x="0" y="0"/>
            <wp:positionH relativeFrom="column">
              <wp:posOffset>76200</wp:posOffset>
            </wp:positionH>
            <wp:positionV relativeFrom="paragraph">
              <wp:posOffset>288925</wp:posOffset>
            </wp:positionV>
            <wp:extent cx="5274310" cy="3076575"/>
            <wp:effectExtent l="19050" t="0" r="21590" b="0"/>
            <wp:wrapTight wrapText="bothSides">
              <wp:wrapPolygon>
                <wp:start x="-78" y="0"/>
                <wp:lineTo x="-78" y="21533"/>
                <wp:lineTo x="21688" y="21533"/>
                <wp:lineTo x="21688" y="0"/>
                <wp:lineTo x="-78"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 w:hAnsi="仿宋" w:eastAsia="仿宋"/>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财政拨款支出</w:t>
      </w:r>
      <w:r>
        <w:rPr>
          <w:rFonts w:hint="eastAsia" w:ascii="仿宋" w:hAnsi="仿宋" w:eastAsia="仿宋" w:cs="仿宋_GB2312"/>
          <w:color w:val="000000"/>
          <w:kern w:val="0"/>
          <w:szCs w:val="32"/>
        </w:rPr>
        <w:t>241.49</w:t>
      </w:r>
      <w:r>
        <w:rPr>
          <w:rFonts w:ascii="仿宋" w:hAnsi="仿宋" w:eastAsia="仿宋" w:cs="仿宋_GB2312"/>
          <w:color w:val="000000"/>
          <w:kern w:val="0"/>
          <w:szCs w:val="32"/>
        </w:rPr>
        <w:t>万元，占本年支出合计的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%。与</w:t>
      </w:r>
      <w:r>
        <w:rPr>
          <w:rFonts w:hint="eastAsia" w:ascii="仿宋" w:hAnsi="仿宋" w:eastAsia="仿宋" w:cs="仿宋_GB2312"/>
          <w:color w:val="000000"/>
          <w:kern w:val="0"/>
          <w:szCs w:val="32"/>
        </w:rPr>
        <w:t>上年</w:t>
      </w:r>
      <w:r>
        <w:rPr>
          <w:rFonts w:ascii="仿宋" w:hAnsi="仿宋" w:eastAsia="仿宋" w:cs="仿宋_GB2312"/>
          <w:color w:val="000000"/>
          <w:kern w:val="0"/>
          <w:szCs w:val="32"/>
        </w:rPr>
        <w:t>相比，财政拨款支出</w:t>
      </w:r>
      <w:r>
        <w:rPr>
          <w:rFonts w:hint="eastAsia" w:ascii="仿宋" w:hAnsi="仿宋" w:eastAsia="仿宋" w:cs="仿宋_GB2312"/>
          <w:color w:val="000000"/>
          <w:kern w:val="0"/>
          <w:szCs w:val="32"/>
        </w:rPr>
        <w:t>减少1856.63</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减少88.49</w:t>
      </w:r>
      <w:r>
        <w:rPr>
          <w:rFonts w:ascii="仿宋" w:hAnsi="仿宋" w:eastAsia="仿宋" w:cs="仿宋_GB2312"/>
          <w:color w:val="000000"/>
          <w:kern w:val="0"/>
          <w:szCs w:val="32"/>
        </w:rPr>
        <w:t>%，主要</w:t>
      </w:r>
      <w:r>
        <w:rPr>
          <w:rFonts w:hint="eastAsia" w:ascii="仿宋" w:hAnsi="仿宋" w:eastAsia="仿宋" w:cs="仿宋_GB2312"/>
          <w:color w:val="000000"/>
          <w:kern w:val="0"/>
          <w:szCs w:val="32"/>
        </w:rPr>
        <w:t>原因是：</w:t>
      </w:r>
      <w:r>
        <w:rPr>
          <w:rFonts w:hint="eastAsia" w:ascii="仿宋" w:hAnsi="仿宋" w:eastAsia="仿宋"/>
          <w:szCs w:val="32"/>
        </w:rPr>
        <w:t>机构改革，部分人员工资、经费及项目划转至阎良区医疗保障局</w:t>
      </w:r>
      <w:r>
        <w:rPr>
          <w:rFonts w:hint="eastAsia" w:ascii="仿宋" w:hAnsi="仿宋" w:eastAsia="仿宋"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 w:hAnsi="仿宋" w:eastAsia="仿宋"/>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财政拨款支出年初预算为</w:t>
      </w:r>
      <w:r>
        <w:rPr>
          <w:rFonts w:hint="eastAsia" w:ascii="仿宋" w:hAnsi="仿宋" w:eastAsia="仿宋" w:cs="仿宋_GB2312"/>
          <w:color w:val="000000"/>
          <w:kern w:val="0"/>
          <w:szCs w:val="32"/>
        </w:rPr>
        <w:t>1804.28</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调整预算数为241.49万元，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241.49</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按照政府功能分类科目，</w:t>
      </w:r>
      <w:r>
        <w:rPr>
          <w:rFonts w:ascii="仿宋" w:hAnsi="仿宋" w:eastAsia="仿宋" w:cs="仿宋_GB2312"/>
          <w:color w:val="000000"/>
          <w:kern w:val="0"/>
          <w:szCs w:val="32"/>
        </w:rPr>
        <w:t xml:space="preserve">其中： </w:t>
      </w:r>
    </w:p>
    <w:p>
      <w:pPr>
        <w:widowControl/>
        <w:spacing w:line="560" w:lineRule="exact"/>
        <w:ind w:firstLine="640" w:firstLineChars="200"/>
        <w:jc w:val="left"/>
        <w:rPr>
          <w:rFonts w:ascii="仿宋" w:hAnsi="仿宋" w:eastAsia="仿宋"/>
        </w:rPr>
      </w:pPr>
      <w:r>
        <w:rPr>
          <w:rFonts w:ascii="仿宋" w:hAnsi="仿宋" w:eastAsia="仿宋" w:cs="仿宋_GB2312"/>
          <w:b/>
          <w:color w:val="000000"/>
          <w:kern w:val="0"/>
          <w:szCs w:val="32"/>
        </w:rPr>
        <w:t>1.</w:t>
      </w:r>
      <w:r>
        <w:rPr>
          <w:rFonts w:hint="eastAsia" w:ascii="仿宋" w:hAnsi="仿宋" w:eastAsia="仿宋" w:cs="仿宋_GB2312"/>
          <w:b/>
          <w:color w:val="000000"/>
          <w:kern w:val="0"/>
          <w:szCs w:val="32"/>
        </w:rPr>
        <w:t>社会保障和就业支出（类）人力资源和社会保障管理事务（款）社会经办机构（项）</w:t>
      </w:r>
      <w:r>
        <w:rPr>
          <w:rFonts w:ascii="仿宋" w:hAnsi="仿宋" w:eastAsia="仿宋" w:cs="仿宋_GB2312"/>
          <w:b/>
          <w:color w:val="000000"/>
          <w:kern w:val="0"/>
          <w:szCs w:val="32"/>
        </w:rPr>
        <w:t>。</w:t>
      </w: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203.24</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调整预算数为224.92万元，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224.92</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b/>
          <w:color w:val="000000"/>
          <w:kern w:val="0"/>
          <w:szCs w:val="32"/>
        </w:rPr>
        <w:t>2.</w:t>
      </w:r>
      <w:r>
        <w:rPr>
          <w:rFonts w:hint="eastAsia" w:ascii="仿宋" w:hAnsi="仿宋" w:eastAsia="仿宋" w:cs="仿宋_GB2312"/>
          <w:b/>
          <w:color w:val="000000"/>
          <w:kern w:val="0"/>
          <w:szCs w:val="32"/>
        </w:rPr>
        <w:t>社会保障和就业支出（类）行政事业单位离退休（款）机关事业单位基本养老保险缴费支出（项）。</w:t>
      </w: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调整预算数为13.05万元，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13.05</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2019年机关事业单位基本养老保险缴费由各单位自行向税务缴纳，年初无预算。</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b/>
          <w:color w:val="000000"/>
          <w:kern w:val="0"/>
          <w:szCs w:val="32"/>
        </w:rPr>
        <w:t>3</w:t>
      </w:r>
      <w:r>
        <w:rPr>
          <w:rFonts w:ascii="仿宋" w:hAnsi="仿宋" w:eastAsia="仿宋" w:cs="仿宋_GB2312"/>
          <w:color w:val="000000"/>
          <w:kern w:val="0"/>
          <w:szCs w:val="32"/>
        </w:rPr>
        <w:t>.</w:t>
      </w:r>
      <w:r>
        <w:rPr>
          <w:rFonts w:hint="eastAsia" w:ascii="仿宋" w:hAnsi="仿宋" w:eastAsia="仿宋" w:cs="仿宋_GB2312"/>
          <w:b/>
          <w:color w:val="000000"/>
          <w:kern w:val="0"/>
          <w:szCs w:val="32"/>
        </w:rPr>
        <w:t>卫生健康支出（类）行政事业单位医疗（款）行政单位医疗（项）。</w:t>
      </w: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预算调整数为3.52万元，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3.52</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2019年行政单位医疗缴费由各单位自行向税务缴纳，年初无预算。</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4</w:t>
      </w:r>
      <w:r>
        <w:rPr>
          <w:rFonts w:ascii="仿宋" w:hAnsi="仿宋" w:eastAsia="仿宋" w:cs="仿宋_GB2312"/>
          <w:color w:val="000000"/>
          <w:kern w:val="0"/>
          <w:szCs w:val="32"/>
        </w:rPr>
        <w:t>.</w:t>
      </w:r>
      <w:r>
        <w:rPr>
          <w:rFonts w:hint="eastAsia" w:ascii="仿宋" w:hAnsi="仿宋" w:eastAsia="仿宋" w:cs="仿宋_GB2312"/>
          <w:b/>
          <w:color w:val="000000"/>
          <w:kern w:val="0"/>
          <w:szCs w:val="32"/>
        </w:rPr>
        <w:t>财政对社会保险基金的补助（类）财政对基本医疗保险基金的补助（款）城镇职工医疗保险财政补助（项）。</w:t>
      </w: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1295.46</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调整预算数为0万元，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2019年全区城镇职工医疗保险缴费改由各单位自行向税务缴纳，“城镇职工医疗保险财政补助”项目在我中心未实施。</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5</w:t>
      </w:r>
      <w:r>
        <w:rPr>
          <w:rFonts w:ascii="仿宋" w:hAnsi="仿宋" w:eastAsia="仿宋" w:cs="仿宋_GB2312"/>
          <w:color w:val="000000"/>
          <w:kern w:val="0"/>
          <w:szCs w:val="32"/>
        </w:rPr>
        <w:t>.</w:t>
      </w:r>
      <w:r>
        <w:rPr>
          <w:rFonts w:hint="eastAsia" w:ascii="仿宋" w:hAnsi="仿宋" w:eastAsia="仿宋" w:cs="仿宋_GB2312"/>
          <w:b/>
          <w:color w:val="000000"/>
          <w:kern w:val="0"/>
          <w:szCs w:val="32"/>
        </w:rPr>
        <w:t xml:space="preserve"> 财政对社会保险基金的补助（类）财政对工伤保险基金的补助（款）机关事业单位工伤保险财政补助（项）。</w:t>
      </w: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55.10</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调整预算数为0万元，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2019年全区机关事业单位工伤保险缴费改由各单位自行向税务缴纳，“机关事业单位工伤保险财政补助”项目在我中心未实施。</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6</w:t>
      </w:r>
      <w:r>
        <w:rPr>
          <w:rFonts w:ascii="仿宋" w:hAnsi="仿宋" w:eastAsia="仿宋" w:cs="仿宋_GB2312"/>
          <w:color w:val="000000"/>
          <w:kern w:val="0"/>
          <w:szCs w:val="32"/>
        </w:rPr>
        <w:t>.</w:t>
      </w:r>
      <w:r>
        <w:rPr>
          <w:rFonts w:hint="eastAsia" w:ascii="仿宋" w:hAnsi="仿宋" w:eastAsia="仿宋" w:cs="仿宋_GB2312"/>
          <w:b/>
          <w:color w:val="000000"/>
          <w:kern w:val="0"/>
          <w:szCs w:val="32"/>
        </w:rPr>
        <w:t xml:space="preserve"> 财政对社会保险基金的补助（类）财政对生育保险基金的补助（款）生育保险财政补助（项）。</w:t>
      </w: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88.48</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调整预算数为0万元，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2019年全区生育保险缴费改由各单位自行向税务缴纳，“生育保险财政补助”项目在我中心未实施。</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7</w:t>
      </w:r>
      <w:r>
        <w:rPr>
          <w:rFonts w:ascii="仿宋" w:hAnsi="仿宋" w:eastAsia="仿宋" w:cs="仿宋_GB2312"/>
          <w:color w:val="000000"/>
          <w:kern w:val="0"/>
          <w:szCs w:val="32"/>
        </w:rPr>
        <w:t>.</w:t>
      </w:r>
      <w:r>
        <w:rPr>
          <w:rFonts w:hint="eastAsia" w:ascii="仿宋" w:hAnsi="仿宋" w:eastAsia="仿宋" w:cs="仿宋_GB2312"/>
          <w:b/>
          <w:color w:val="000000"/>
          <w:kern w:val="0"/>
          <w:szCs w:val="32"/>
        </w:rPr>
        <w:t xml:space="preserve"> 财政对社会保险基金的补助（类）财政对其他社会保险基金的补助（款）离休干部医疗费财政补助（项）。</w:t>
      </w: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162</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调整预算数为0万元，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2019年机构改革，离休干部医疗费管理工作移交至阎良区医疗保障局。</w:t>
      </w:r>
    </w:p>
    <w:p>
      <w:pPr>
        <w:widowControl/>
        <w:spacing w:line="560" w:lineRule="exact"/>
        <w:ind w:firstLine="640" w:firstLineChars="200"/>
        <w:jc w:val="left"/>
        <w:rPr>
          <w:rFonts w:ascii="仿宋_GB2312" w:hAnsi="仿宋" w:eastAsia="仿宋_GB2312"/>
          <w:szCs w:val="32"/>
        </w:rPr>
      </w:pPr>
      <w:r>
        <w:rPr>
          <w:rFonts w:hint="eastAsia" w:ascii="黑体" w:hAnsi="黑体" w:eastAsia="黑体"/>
          <w:color w:val="000000"/>
          <w:kern w:val="0"/>
          <w:szCs w:val="32"/>
        </w:rPr>
        <w:t xml:space="preserve">六、一般公共预算财政拨款基本支出决算情况说明 </w:t>
      </w:r>
    </w:p>
    <w:p>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201</w:t>
      </w:r>
      <w:r>
        <w:rPr>
          <w:rFonts w:hint="eastAsia" w:ascii="仿宋" w:hAnsi="仿宋" w:eastAsia="仿宋" w:cs="仿宋_GB2312"/>
          <w:color w:val="000000"/>
          <w:kern w:val="0"/>
          <w:sz w:val="31"/>
          <w:szCs w:val="31"/>
        </w:rPr>
        <w:t>9</w:t>
      </w:r>
      <w:r>
        <w:rPr>
          <w:rFonts w:ascii="仿宋" w:hAnsi="仿宋" w:eastAsia="仿宋" w:cs="仿宋_GB2312"/>
          <w:color w:val="000000"/>
          <w:kern w:val="0"/>
          <w:sz w:val="31"/>
          <w:szCs w:val="31"/>
        </w:rPr>
        <w:t>年</w:t>
      </w:r>
      <w:r>
        <w:rPr>
          <w:rFonts w:hint="eastAsia" w:ascii="仿宋" w:hAnsi="仿宋" w:eastAsia="仿宋"/>
          <w:szCs w:val="32"/>
        </w:rPr>
        <w:t>度</w:t>
      </w:r>
      <w:r>
        <w:rPr>
          <w:rFonts w:ascii="仿宋" w:hAnsi="仿宋" w:eastAsia="仿宋" w:cs="仿宋_GB2312"/>
          <w:color w:val="000000"/>
          <w:kern w:val="0"/>
          <w:sz w:val="31"/>
          <w:szCs w:val="31"/>
        </w:rPr>
        <w:t>一般公共预算财政拨款基本支出</w:t>
      </w:r>
      <w:r>
        <w:rPr>
          <w:rFonts w:hint="eastAsia" w:ascii="仿宋" w:hAnsi="仿宋" w:eastAsia="仿宋" w:cs="仿宋_GB2312"/>
          <w:color w:val="000000"/>
          <w:kern w:val="0"/>
          <w:sz w:val="31"/>
          <w:szCs w:val="31"/>
        </w:rPr>
        <w:t>210.11</w:t>
      </w:r>
      <w:r>
        <w:rPr>
          <w:rFonts w:ascii="仿宋" w:hAnsi="仿宋" w:eastAsia="仿宋" w:cs="仿宋_GB2312"/>
          <w:color w:val="000000"/>
          <w:kern w:val="0"/>
          <w:sz w:val="31"/>
          <w:szCs w:val="31"/>
        </w:rPr>
        <w:t>万元，包括：人员经费支出</w:t>
      </w:r>
      <w:r>
        <w:rPr>
          <w:rFonts w:hint="eastAsia" w:ascii="仿宋" w:hAnsi="仿宋" w:eastAsia="仿宋" w:cs="仿宋_GB2312"/>
          <w:color w:val="000000"/>
          <w:kern w:val="0"/>
          <w:sz w:val="31"/>
          <w:szCs w:val="31"/>
        </w:rPr>
        <w:t>201.29</w:t>
      </w:r>
      <w:r>
        <w:rPr>
          <w:rFonts w:ascii="仿宋" w:hAnsi="仿宋" w:eastAsia="仿宋" w:cs="仿宋_GB2312"/>
          <w:color w:val="000000"/>
          <w:kern w:val="0"/>
          <w:sz w:val="31"/>
          <w:szCs w:val="31"/>
        </w:rPr>
        <w:t>万元和公用经费支出</w:t>
      </w:r>
      <w:r>
        <w:rPr>
          <w:rFonts w:hint="eastAsia" w:ascii="仿宋" w:hAnsi="仿宋" w:eastAsia="仿宋" w:cs="仿宋_GB2312"/>
          <w:color w:val="000000"/>
          <w:kern w:val="0"/>
          <w:sz w:val="31"/>
          <w:szCs w:val="31"/>
        </w:rPr>
        <w:t>8.83</w:t>
      </w:r>
      <w:r>
        <w:rPr>
          <w:rFonts w:ascii="仿宋" w:hAnsi="仿宋" w:eastAsia="仿宋" w:cs="仿宋_GB2312"/>
          <w:color w:val="000000"/>
          <w:kern w:val="0"/>
          <w:sz w:val="31"/>
          <w:szCs w:val="31"/>
        </w:rPr>
        <w:t>万元。</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b/>
          <w:bCs/>
          <w:color w:val="000000"/>
          <w:kern w:val="0"/>
          <w:szCs w:val="32"/>
        </w:rPr>
        <w:t>人员经费</w:t>
      </w:r>
      <w:r>
        <w:rPr>
          <w:rFonts w:hint="eastAsia" w:ascii="仿宋" w:hAnsi="仿宋" w:eastAsia="仿宋" w:cs="仿宋_GB2312"/>
          <w:color w:val="000000"/>
          <w:kern w:val="0"/>
          <w:szCs w:val="32"/>
        </w:rPr>
        <w:t>201.29</w:t>
      </w:r>
      <w:r>
        <w:rPr>
          <w:rFonts w:ascii="仿宋" w:hAnsi="仿宋" w:eastAsia="仿宋" w:cs="仿宋_GB2312"/>
          <w:color w:val="000000"/>
          <w:kern w:val="0"/>
          <w:szCs w:val="32"/>
        </w:rPr>
        <w:t>万元，主要包括</w:t>
      </w:r>
      <w:r>
        <w:rPr>
          <w:rFonts w:hint="eastAsia" w:ascii="仿宋" w:hAnsi="仿宋" w:eastAsia="仿宋" w:cs="仿宋_GB2312"/>
          <w:color w:val="000000"/>
          <w:kern w:val="0"/>
          <w:szCs w:val="32"/>
        </w:rPr>
        <w:t>：</w:t>
      </w:r>
      <w:r>
        <w:rPr>
          <w:rFonts w:ascii="仿宋" w:hAnsi="仿宋" w:eastAsia="仿宋" w:cs="仿宋_GB2312"/>
          <w:color w:val="000000"/>
          <w:kern w:val="0"/>
          <w:szCs w:val="32"/>
        </w:rPr>
        <w:t>基本工资</w:t>
      </w:r>
      <w:r>
        <w:rPr>
          <w:rFonts w:hint="eastAsia" w:ascii="仿宋" w:hAnsi="仿宋" w:eastAsia="仿宋" w:cs="仿宋_GB2312"/>
          <w:color w:val="000000"/>
          <w:kern w:val="0"/>
          <w:szCs w:val="32"/>
        </w:rPr>
        <w:t>42.33万元，津贴补贴50.63万元，奖金66.24万元，机关事业单位基本养老保险缴费18.99万元，职业年金缴费2.61万元，职工基本医疗保险缴费4.23万元，其他社会保障缴费0.06万元，住房公积金16.20万元。</w:t>
      </w:r>
    </w:p>
    <w:p>
      <w:pPr>
        <w:widowControl/>
        <w:spacing w:line="560" w:lineRule="exact"/>
        <w:ind w:firstLine="640" w:firstLineChars="200"/>
        <w:jc w:val="left"/>
        <w:rPr>
          <w:rFonts w:ascii="仿宋" w:hAnsi="仿宋" w:eastAsia="仿宋"/>
        </w:rPr>
      </w:pPr>
      <w:r>
        <w:rPr>
          <w:rFonts w:ascii="仿宋" w:hAnsi="仿宋" w:eastAsia="仿宋" w:cs="仿宋_GB2312"/>
          <w:b/>
          <w:bCs/>
          <w:color w:val="000000"/>
          <w:kern w:val="0"/>
          <w:szCs w:val="32"/>
        </w:rPr>
        <w:t>公用经费</w:t>
      </w:r>
      <w:r>
        <w:rPr>
          <w:rFonts w:hint="eastAsia" w:ascii="仿宋" w:hAnsi="仿宋" w:eastAsia="仿宋" w:cs="仿宋_GB2312"/>
          <w:color w:val="000000"/>
          <w:kern w:val="0"/>
          <w:szCs w:val="32"/>
        </w:rPr>
        <w:t>8.83</w:t>
      </w:r>
      <w:r>
        <w:rPr>
          <w:rFonts w:ascii="仿宋" w:hAnsi="仿宋" w:eastAsia="仿宋" w:cs="仿宋_GB2312"/>
          <w:color w:val="000000"/>
          <w:kern w:val="0"/>
          <w:szCs w:val="32"/>
        </w:rPr>
        <w:t>万元，主要包括</w:t>
      </w:r>
      <w:r>
        <w:rPr>
          <w:rFonts w:hint="eastAsia" w:ascii="仿宋" w:hAnsi="仿宋" w:eastAsia="仿宋" w:cs="仿宋_GB2312"/>
          <w:color w:val="000000"/>
          <w:kern w:val="0"/>
          <w:szCs w:val="32"/>
        </w:rPr>
        <w:t>：</w:t>
      </w:r>
      <w:r>
        <w:rPr>
          <w:rFonts w:ascii="仿宋" w:hAnsi="仿宋" w:eastAsia="仿宋" w:cs="仿宋_GB2312"/>
          <w:color w:val="000000"/>
          <w:kern w:val="0"/>
          <w:szCs w:val="32"/>
        </w:rPr>
        <w:t>办公费</w:t>
      </w:r>
      <w:r>
        <w:rPr>
          <w:rFonts w:hint="eastAsia" w:ascii="仿宋" w:hAnsi="仿宋" w:eastAsia="仿宋" w:cs="仿宋_GB2312"/>
          <w:color w:val="000000"/>
          <w:kern w:val="0"/>
          <w:szCs w:val="32"/>
        </w:rPr>
        <w:t>2.16万元，印刷费0.14万元，水费0.25万元，电费0.28万元，邮电费0.54万元，差旅费1.89万元，劳务费0.73万元，工会经费2.84万元。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七、一般公共预算财政拨款“三公”经费及会议费、培训费支出决算情况说明 </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 w:hAnsi="仿宋" w:eastAsia="仿宋"/>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“三公”经费财政拨款支出预算为</w:t>
      </w:r>
      <w:r>
        <w:rPr>
          <w:rFonts w:hint="eastAsia" w:ascii="仿宋" w:hAnsi="仿宋" w:eastAsia="仿宋" w:cs="仿宋_GB2312"/>
          <w:color w:val="000000"/>
          <w:kern w:val="0"/>
          <w:szCs w:val="32"/>
        </w:rPr>
        <w:t>1.73</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减少1.73万元，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无公务接待支出。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 w:hAnsi="仿宋" w:eastAsia="仿宋"/>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“三公”经费财政拨款支出决算中，因公出国（境）费支出决算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%；公务用车购置</w:t>
      </w:r>
      <w:r>
        <w:rPr>
          <w:rFonts w:hint="eastAsia" w:ascii="仿宋" w:hAnsi="仿宋" w:eastAsia="仿宋" w:cs="仿宋_GB2312"/>
          <w:color w:val="000000"/>
          <w:kern w:val="0"/>
          <w:szCs w:val="32"/>
        </w:rPr>
        <w:t>费支出0万元，占0</w:t>
      </w:r>
      <w:r>
        <w:rPr>
          <w:rFonts w:ascii="仿宋" w:hAnsi="仿宋" w:eastAsia="仿宋" w:cs="仿宋_GB2312"/>
          <w:color w:val="000000"/>
          <w:kern w:val="0"/>
          <w:szCs w:val="32"/>
        </w:rPr>
        <w:t>%；公务用车运行</w:t>
      </w:r>
      <w:r>
        <w:rPr>
          <w:rFonts w:hint="eastAsia" w:ascii="仿宋" w:hAnsi="仿宋" w:eastAsia="仿宋"/>
          <w:szCs w:val="32"/>
        </w:rPr>
        <w:t>维护</w:t>
      </w:r>
      <w:r>
        <w:rPr>
          <w:rFonts w:ascii="仿宋" w:hAnsi="仿宋" w:eastAsia="仿宋" w:cs="仿宋_GB2312"/>
          <w:color w:val="000000"/>
          <w:kern w:val="0"/>
          <w:szCs w:val="32"/>
        </w:rPr>
        <w:t>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%；公务接待费支出决算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%。具体情况如下：</w:t>
      </w:r>
    </w:p>
    <w:p>
      <w:pPr>
        <w:spacing w:line="560" w:lineRule="exact"/>
        <w:ind w:firstLine="640" w:firstLineChars="200"/>
        <w:rPr>
          <w:rFonts w:ascii="仿宋" w:hAnsi="仿宋" w:eastAsia="仿宋"/>
          <w:b/>
          <w:bCs/>
          <w:szCs w:val="32"/>
        </w:rPr>
      </w:pPr>
      <w:r>
        <w:rPr>
          <w:rFonts w:hint="eastAsia" w:ascii="仿宋" w:hAnsi="仿宋" w:eastAsia="仿宋"/>
          <w:b/>
          <w:bCs/>
          <w:szCs w:val="32"/>
        </w:rPr>
        <w:t>1.因公出国（境）支出情况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rPr>
      </w:pPr>
      <w:r>
        <w:rPr>
          <w:rFonts w:hint="eastAsia" w:ascii="仿宋" w:hAnsi="仿宋" w:eastAsia="仿宋"/>
          <w:szCs w:val="32"/>
        </w:rPr>
        <w:t>2019年度因公出国（境）团组</w:t>
      </w:r>
      <w:r>
        <w:rPr>
          <w:rFonts w:hint="eastAsia" w:ascii="仿宋" w:hAnsi="仿宋" w:eastAsia="仿宋" w:cs="仿宋_GB2312"/>
          <w:szCs w:val="32"/>
        </w:rPr>
        <w:t>0个，0人次，</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2019年无因公出国（境）费用支出。</w:t>
      </w:r>
    </w:p>
    <w:p>
      <w:pPr>
        <w:spacing w:line="560" w:lineRule="exact"/>
        <w:ind w:firstLine="640" w:firstLineChars="200"/>
        <w:rPr>
          <w:rFonts w:ascii="仿宋" w:hAnsi="仿宋" w:eastAsia="仿宋"/>
          <w:b/>
          <w:bCs/>
          <w:szCs w:val="32"/>
        </w:rPr>
      </w:pPr>
      <w:r>
        <w:rPr>
          <w:rFonts w:hint="eastAsia" w:ascii="仿宋" w:hAnsi="仿宋" w:eastAsia="仿宋"/>
          <w:b/>
          <w:bCs/>
          <w:szCs w:val="32"/>
        </w:rPr>
        <w:t>2.公务用车购置费用支出情况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rPr>
      </w:pPr>
      <w:r>
        <w:rPr>
          <w:rFonts w:hint="eastAsia" w:ascii="仿宋" w:hAnsi="仿宋" w:eastAsia="仿宋"/>
          <w:szCs w:val="32"/>
        </w:rPr>
        <w:t>2019年度购置车辆</w:t>
      </w:r>
      <w:r>
        <w:rPr>
          <w:rFonts w:hint="eastAsia" w:ascii="仿宋" w:hAnsi="仿宋" w:eastAsia="仿宋" w:cs="仿宋_GB2312"/>
          <w:szCs w:val="32"/>
        </w:rPr>
        <w:t>0台，</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2019年无公务用车购置费用支出。</w:t>
      </w:r>
    </w:p>
    <w:p>
      <w:pPr>
        <w:spacing w:line="560" w:lineRule="exact"/>
        <w:ind w:firstLine="640" w:firstLineChars="200"/>
        <w:rPr>
          <w:rFonts w:ascii="仿宋" w:hAnsi="仿宋" w:eastAsia="仿宋"/>
          <w:b/>
          <w:bCs/>
          <w:szCs w:val="32"/>
        </w:rPr>
      </w:pPr>
      <w:r>
        <w:rPr>
          <w:rFonts w:hint="eastAsia" w:ascii="仿宋" w:hAnsi="仿宋" w:eastAsia="仿宋"/>
          <w:b/>
          <w:bCs/>
          <w:szCs w:val="32"/>
        </w:rPr>
        <w:t>3.公务用车运行维护费用支出情况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2019年度</w:t>
      </w:r>
      <w:r>
        <w:rPr>
          <w:rFonts w:hint="eastAsia" w:ascii="仿宋" w:hAnsi="仿宋" w:eastAsia="仿宋" w:cs="仿宋_GB2312"/>
          <w:szCs w:val="32"/>
        </w:rPr>
        <w:t>公务用车运行维护费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2019年无公务用车维护费用支出。</w:t>
      </w:r>
    </w:p>
    <w:p>
      <w:pPr>
        <w:widowControl/>
        <w:spacing w:line="560" w:lineRule="exact"/>
        <w:ind w:firstLine="640" w:firstLineChars="200"/>
        <w:jc w:val="left"/>
        <w:rPr>
          <w:rFonts w:ascii="仿宋" w:hAnsi="仿宋" w:eastAsia="仿宋"/>
          <w:b/>
          <w:bCs/>
          <w:szCs w:val="32"/>
        </w:rPr>
      </w:pPr>
      <w:r>
        <w:rPr>
          <w:rFonts w:hint="eastAsia" w:ascii="仿宋" w:hAnsi="仿宋" w:eastAsia="仿宋"/>
          <w:b/>
          <w:bCs/>
          <w:szCs w:val="32"/>
        </w:rPr>
        <w:t>4.公务接待费支出情况说明。</w:t>
      </w:r>
    </w:p>
    <w:p>
      <w:pPr>
        <w:spacing w:line="560" w:lineRule="exact"/>
        <w:ind w:firstLine="640" w:firstLineChars="200"/>
        <w:rPr>
          <w:rFonts w:ascii="仿宋" w:hAnsi="仿宋" w:eastAsia="仿宋" w:cs="仿宋_GB2312"/>
          <w:color w:val="000000"/>
          <w:kern w:val="0"/>
          <w:szCs w:val="32"/>
        </w:rPr>
      </w:pPr>
      <w:r>
        <w:rPr>
          <w:rFonts w:hint="eastAsia" w:ascii="仿宋" w:hAnsi="仿宋" w:eastAsia="仿宋"/>
          <w:szCs w:val="32"/>
        </w:rPr>
        <w:t>2019年度公务接待</w:t>
      </w:r>
      <w:r>
        <w:rPr>
          <w:rFonts w:hint="eastAsia" w:ascii="仿宋" w:hAnsi="仿宋" w:eastAsia="仿宋" w:cs="仿宋_GB2312"/>
          <w:szCs w:val="32"/>
        </w:rPr>
        <w:t>0批次，0人次，</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1.37</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2019年无公务接待费用支出。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2019年度</w:t>
      </w:r>
      <w:r>
        <w:rPr>
          <w:rFonts w:hint="eastAsia" w:ascii="仿宋" w:hAnsi="仿宋" w:eastAsia="仿宋" w:cs="仿宋_GB2312"/>
          <w:szCs w:val="32"/>
        </w:rPr>
        <w:t>培训费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2019年无培训费支出。</w:t>
      </w:r>
    </w:p>
    <w:p>
      <w:pPr>
        <w:spacing w:line="560" w:lineRule="exact"/>
        <w:ind w:firstLine="640"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（四）会议费支出情况说明。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2019年度</w:t>
      </w:r>
      <w:r>
        <w:rPr>
          <w:rFonts w:hint="eastAsia" w:ascii="仿宋" w:hAnsi="仿宋" w:eastAsia="仿宋" w:cs="仿宋_GB2312"/>
          <w:szCs w:val="32"/>
        </w:rPr>
        <w:t>会议费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0.36</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2019年无会议费支出。</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八、政府性基金预算财政拨款收入支出情况说明 </w:t>
      </w:r>
    </w:p>
    <w:p>
      <w:pPr>
        <w:spacing w:line="560" w:lineRule="exact"/>
        <w:ind w:firstLine="640"/>
        <w:rPr>
          <w:rFonts w:ascii="仿宋" w:hAnsi="仿宋" w:eastAsia="仿宋" w:cs="仿宋_GB2312"/>
          <w:szCs w:val="32"/>
        </w:rPr>
      </w:pPr>
      <w:r>
        <w:rPr>
          <w:rFonts w:hint="eastAsia" w:ascii="仿宋" w:hAnsi="仿宋" w:eastAsia="仿宋" w:cs="仿宋_GB2312"/>
          <w:szCs w:val="32"/>
        </w:rPr>
        <w:t>本单位无政府性基金决算收支，并已公开空表。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 w:hAnsi="仿宋" w:eastAsia="仿宋" w:cs="仿宋_GB2312"/>
          <w:szCs w:val="32"/>
        </w:rPr>
      </w:pPr>
      <w:r>
        <w:rPr>
          <w:rFonts w:hint="eastAsia" w:ascii="仿宋" w:hAnsi="仿宋" w:eastAsia="仿宋" w:cs="仿宋_GB2312"/>
          <w:szCs w:val="32"/>
        </w:rPr>
        <w:t>本单位无国有资本经营决算拨款收支。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r>
        <w:rPr>
          <w:rFonts w:hint="eastAsia"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根据预算绩效管理要求，本单位组织对2</w:t>
      </w:r>
      <w:r>
        <w:rPr>
          <w:rFonts w:ascii="仿宋" w:hAnsi="仿宋" w:eastAsia="仿宋" w:cs="仿宋_GB2312"/>
          <w:szCs w:val="32"/>
        </w:rPr>
        <w:t>019</w:t>
      </w:r>
      <w:r>
        <w:rPr>
          <w:rFonts w:hint="eastAsia" w:ascii="仿宋" w:hAnsi="仿宋" w:eastAsia="仿宋" w:cs="仿宋_GB2312"/>
          <w:szCs w:val="32"/>
        </w:rPr>
        <w:t>年一般公共预算4个项目支出开展了绩效自评</w:t>
      </w:r>
      <w:r>
        <w:rPr>
          <w:rFonts w:ascii="仿宋" w:hAnsi="仿宋" w:eastAsia="仿宋" w:cs="仿宋_GB2312"/>
          <w:szCs w:val="32"/>
        </w:rPr>
        <w:t>，其中，一级项目</w:t>
      </w:r>
      <w:r>
        <w:rPr>
          <w:rFonts w:hint="eastAsia" w:ascii="仿宋" w:hAnsi="仿宋" w:eastAsia="仿宋" w:cs="仿宋_GB2312"/>
          <w:szCs w:val="32"/>
        </w:rPr>
        <w:t>4</w:t>
      </w:r>
      <w:r>
        <w:rPr>
          <w:rFonts w:ascii="仿宋" w:hAnsi="仿宋" w:eastAsia="仿宋" w:cs="仿宋_GB2312"/>
          <w:szCs w:val="32"/>
        </w:rPr>
        <w:t>个，共涉及资金</w:t>
      </w:r>
      <w:r>
        <w:rPr>
          <w:rFonts w:hint="eastAsia" w:ascii="仿宋" w:hAnsi="仿宋" w:eastAsia="仿宋" w:cs="仿宋_GB2312"/>
          <w:szCs w:val="32"/>
        </w:rPr>
        <w:t>31.38</w:t>
      </w:r>
      <w:r>
        <w:rPr>
          <w:rFonts w:ascii="仿宋" w:hAnsi="仿宋" w:eastAsia="仿宋" w:cs="仿宋_GB2312"/>
          <w:szCs w:val="32"/>
        </w:rPr>
        <w:t>万元，占一般公共预算项目支出总额的</w:t>
      </w:r>
      <w:r>
        <w:rPr>
          <w:rFonts w:hint="eastAsia" w:ascii="仿宋" w:hAnsi="仿宋" w:eastAsia="仿宋" w:cs="仿宋_GB2312"/>
          <w:szCs w:val="32"/>
        </w:rPr>
        <w:t>100</w:t>
      </w:r>
      <w:r>
        <w:rPr>
          <w:rFonts w:ascii="仿宋" w:hAnsi="仿宋" w:eastAsia="仿宋" w:cs="仿宋_GB2312"/>
          <w:szCs w:val="32"/>
        </w:rPr>
        <w:t>%</w:t>
      </w:r>
      <w:r>
        <w:rPr>
          <w:rFonts w:hint="eastAsia" w:ascii="仿宋" w:hAnsi="仿宋" w:eastAsia="仿宋" w:cs="仿宋_GB2312"/>
          <w:szCs w:val="32"/>
        </w:rPr>
        <w:t>。</w:t>
      </w:r>
    </w:p>
    <w:p>
      <w:pPr>
        <w:widowControl/>
        <w:spacing w:line="560" w:lineRule="exact"/>
        <w:ind w:firstLine="640" w:firstLineChars="200"/>
        <w:jc w:val="left"/>
        <w:rPr>
          <w:rFonts w:ascii="仿宋" w:hAnsi="仿宋" w:eastAsia="仿宋" w:cs="仿宋_GB2312"/>
          <w:color w:val="000000"/>
          <w:kern w:val="0"/>
          <w:sz w:val="31"/>
          <w:szCs w:val="31"/>
        </w:rPr>
      </w:pPr>
      <w:r>
        <w:rPr>
          <w:rFonts w:hint="eastAsia" w:ascii="仿宋" w:hAnsi="仿宋" w:eastAsia="仿宋" w:cs="仿宋_GB2312"/>
          <w:szCs w:val="32"/>
        </w:rPr>
        <w:t>本单位组织对2</w:t>
      </w:r>
      <w:r>
        <w:rPr>
          <w:rFonts w:ascii="仿宋" w:hAnsi="仿宋" w:eastAsia="仿宋" w:cs="仿宋_GB2312"/>
          <w:szCs w:val="32"/>
        </w:rPr>
        <w:t>019</w:t>
      </w:r>
      <w:r>
        <w:rPr>
          <w:rFonts w:hint="eastAsia" w:ascii="仿宋" w:hAnsi="仿宋" w:eastAsia="仿宋" w:cs="仿宋_GB2312"/>
          <w:szCs w:val="32"/>
        </w:rPr>
        <w:t>年度部门整体进行了绩效自评，涉及资金</w:t>
      </w:r>
      <w:r>
        <w:rPr>
          <w:rFonts w:hint="eastAsia" w:ascii="仿宋" w:hAnsi="仿宋" w:eastAsia="仿宋" w:cs="仿宋_GB2312"/>
          <w:color w:val="000000"/>
          <w:kern w:val="0"/>
          <w:sz w:val="31"/>
          <w:szCs w:val="31"/>
        </w:rPr>
        <w:t>241.49</w:t>
      </w:r>
      <w:r>
        <w:rPr>
          <w:rFonts w:hint="eastAsia" w:ascii="仿宋" w:hAnsi="仿宋" w:eastAsia="仿宋"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widowControl/>
        <w:spacing w:line="560" w:lineRule="exact"/>
        <w:ind w:firstLine="620" w:firstLineChars="200"/>
        <w:jc w:val="left"/>
        <w:rPr>
          <w:rFonts w:ascii="仿宋" w:hAnsi="仿宋" w:eastAsia="仿宋" w:cs="仿宋_GB2312"/>
          <w:color w:val="000000"/>
          <w:kern w:val="0"/>
          <w:sz w:val="31"/>
          <w:szCs w:val="31"/>
        </w:rPr>
      </w:pPr>
      <w:r>
        <w:rPr>
          <w:rFonts w:hint="eastAsia" w:ascii="仿宋" w:hAnsi="仿宋" w:eastAsia="仿宋" w:cs="仿宋_GB2312"/>
          <w:b/>
          <w:color w:val="000000"/>
          <w:kern w:val="0"/>
          <w:sz w:val="31"/>
          <w:szCs w:val="31"/>
        </w:rPr>
        <w:t>四险宣传扩面费用</w:t>
      </w:r>
      <w:r>
        <w:rPr>
          <w:rFonts w:ascii="仿宋" w:hAnsi="仿宋" w:eastAsia="仿宋" w:cs="仿宋_GB2312"/>
          <w:color w:val="000000"/>
          <w:kern w:val="0"/>
          <w:sz w:val="31"/>
          <w:szCs w:val="31"/>
        </w:rPr>
        <w:t>项目绩效自评综述：根据年初设定的绩效目标，项目自评得分</w:t>
      </w:r>
      <w:r>
        <w:rPr>
          <w:rFonts w:hint="eastAsia" w:ascii="仿宋" w:hAnsi="仿宋" w:eastAsia="仿宋" w:cs="仿宋_GB2312"/>
          <w:color w:val="000000"/>
          <w:kern w:val="0"/>
          <w:sz w:val="31"/>
          <w:szCs w:val="31"/>
        </w:rPr>
        <w:t>93</w:t>
      </w:r>
      <w:r>
        <w:rPr>
          <w:rFonts w:ascii="仿宋" w:hAnsi="仿宋" w:eastAsia="仿宋" w:cs="仿宋_GB2312"/>
          <w:color w:val="000000"/>
          <w:kern w:val="0"/>
          <w:sz w:val="31"/>
          <w:szCs w:val="31"/>
        </w:rPr>
        <w:t>分。项目全年预算数</w:t>
      </w:r>
      <w:r>
        <w:rPr>
          <w:rFonts w:hint="eastAsia" w:ascii="仿宋" w:hAnsi="仿宋" w:eastAsia="仿宋" w:cs="仿宋_GB2312"/>
          <w:color w:val="000000"/>
          <w:kern w:val="0"/>
          <w:sz w:val="31"/>
          <w:szCs w:val="31"/>
        </w:rPr>
        <w:t>5</w:t>
      </w:r>
      <w:r>
        <w:rPr>
          <w:rFonts w:ascii="仿宋" w:hAnsi="仿宋" w:eastAsia="仿宋" w:cs="仿宋_GB2312"/>
          <w:color w:val="000000"/>
          <w:kern w:val="0"/>
          <w:sz w:val="31"/>
          <w:szCs w:val="31"/>
        </w:rPr>
        <w:t>万元，</w:t>
      </w:r>
      <w:r>
        <w:rPr>
          <w:rFonts w:hint="eastAsia" w:ascii="仿宋" w:hAnsi="仿宋" w:eastAsia="仿宋" w:cs="仿宋_GB2312"/>
          <w:color w:val="000000"/>
          <w:kern w:val="0"/>
          <w:sz w:val="31"/>
          <w:szCs w:val="31"/>
        </w:rPr>
        <w:t>调整预算数为3.21万元，</w:t>
      </w:r>
      <w:r>
        <w:rPr>
          <w:rFonts w:ascii="仿宋" w:hAnsi="仿宋" w:eastAsia="仿宋" w:cs="仿宋_GB2312"/>
          <w:color w:val="000000"/>
          <w:kern w:val="0"/>
          <w:sz w:val="31"/>
          <w:szCs w:val="31"/>
        </w:rPr>
        <w:t>执行数</w:t>
      </w:r>
      <w:r>
        <w:rPr>
          <w:rFonts w:hint="eastAsia" w:ascii="仿宋" w:hAnsi="仿宋" w:eastAsia="仿宋" w:cs="仿宋_GB2312"/>
          <w:color w:val="000000"/>
          <w:kern w:val="0"/>
          <w:sz w:val="31"/>
          <w:szCs w:val="31"/>
        </w:rPr>
        <w:t>3.21</w:t>
      </w:r>
      <w:r>
        <w:rPr>
          <w:rFonts w:ascii="仿宋" w:hAnsi="仿宋" w:eastAsia="仿宋" w:cs="仿宋_GB2312"/>
          <w:color w:val="000000"/>
          <w:kern w:val="0"/>
          <w:sz w:val="31"/>
          <w:szCs w:val="31"/>
        </w:rPr>
        <w:t>万元，完成预算的</w:t>
      </w:r>
      <w:r>
        <w:rPr>
          <w:rFonts w:hint="eastAsia" w:ascii="仿宋" w:hAnsi="仿宋" w:eastAsia="仿宋" w:cs="仿宋_GB2312"/>
          <w:color w:val="000000"/>
          <w:kern w:val="0"/>
          <w:sz w:val="31"/>
          <w:szCs w:val="31"/>
        </w:rPr>
        <w:t>100</w:t>
      </w:r>
      <w:r>
        <w:rPr>
          <w:rFonts w:ascii="仿宋" w:hAnsi="仿宋" w:eastAsia="仿宋" w:cs="仿宋_GB2312"/>
          <w:color w:val="000000"/>
          <w:kern w:val="0"/>
          <w:sz w:val="31"/>
          <w:szCs w:val="31"/>
        </w:rPr>
        <w:t>%。</w:t>
      </w:r>
    </w:p>
    <w:p>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主要产出和效果：</w:t>
      </w:r>
    </w:p>
    <w:p>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通过项目实施</w:t>
      </w:r>
      <w:r>
        <w:rPr>
          <w:rFonts w:hint="eastAsia" w:ascii="仿宋" w:hAnsi="仿宋" w:eastAsia="仿宋" w:cs="仿宋_GB2312"/>
          <w:color w:val="000000"/>
          <w:kern w:val="0"/>
          <w:sz w:val="31"/>
          <w:szCs w:val="31"/>
        </w:rPr>
        <w:t>，以召开政策培训会、入企宣传、入社区宣传等方式，发放政策宣传资料，面对面进行政策解读，提高社会保险政策覆盖面。</w:t>
      </w:r>
    </w:p>
    <w:p>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发现的问题及原因：</w:t>
      </w:r>
      <w:r>
        <w:rPr>
          <w:rFonts w:hint="eastAsia" w:ascii="仿宋" w:hAnsi="仿宋" w:eastAsia="仿宋" w:cs="仿宋_GB2312"/>
          <w:color w:val="000000"/>
          <w:kern w:val="0"/>
          <w:sz w:val="31"/>
          <w:szCs w:val="31"/>
        </w:rPr>
        <w:t>宣传方式单一，宣传范围还存在死角。</w:t>
      </w:r>
    </w:p>
    <w:p>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下一步改进措施：</w:t>
      </w:r>
      <w:r>
        <w:rPr>
          <w:rFonts w:hint="eastAsia" w:ascii="仿宋" w:hAnsi="仿宋" w:eastAsia="仿宋" w:cs="仿宋_GB2312"/>
          <w:color w:val="000000"/>
          <w:kern w:val="0"/>
          <w:sz w:val="31"/>
          <w:szCs w:val="31"/>
        </w:rPr>
        <w:t>多途径、多方式开展宣传工作，为企业开展“定制服务”，确保社保政策宣传工作无死角。</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根据年初设定的绩效目标，</w:t>
      </w:r>
      <w:r>
        <w:rPr>
          <w:rFonts w:hint="eastAsia" w:ascii="仿宋" w:hAnsi="仿宋" w:eastAsia="仿宋" w:cs="仿宋_GB2312"/>
          <w:color w:val="000000"/>
          <w:kern w:val="0"/>
          <w:sz w:val="31"/>
          <w:szCs w:val="31"/>
        </w:rPr>
        <w:t>本单位整体2019年度整体</w:t>
      </w:r>
      <w:r>
        <w:rPr>
          <w:rFonts w:ascii="仿宋" w:hAnsi="仿宋" w:eastAsia="仿宋" w:cs="仿宋_GB2312"/>
          <w:color w:val="000000"/>
          <w:kern w:val="0"/>
          <w:sz w:val="31"/>
          <w:szCs w:val="31"/>
        </w:rPr>
        <w:t>自评得分</w:t>
      </w:r>
      <w:r>
        <w:rPr>
          <w:rFonts w:hint="eastAsia" w:ascii="仿宋" w:hAnsi="仿宋" w:eastAsia="仿宋" w:cs="仿宋_GB2312"/>
          <w:color w:val="000000"/>
          <w:kern w:val="0"/>
          <w:sz w:val="31"/>
          <w:szCs w:val="31"/>
        </w:rPr>
        <w:t>75</w:t>
      </w:r>
      <w:r>
        <w:rPr>
          <w:rFonts w:ascii="仿宋" w:hAnsi="仿宋" w:eastAsia="仿宋" w:cs="仿宋_GB2312"/>
          <w:color w:val="000000"/>
          <w:kern w:val="0"/>
          <w:sz w:val="31"/>
          <w:szCs w:val="31"/>
        </w:rPr>
        <w:t>分。全年预算数</w:t>
      </w:r>
      <w:r>
        <w:rPr>
          <w:rFonts w:hint="eastAsia" w:ascii="仿宋" w:hAnsi="仿宋" w:eastAsia="仿宋" w:cs="仿宋_GB2312"/>
          <w:color w:val="000000"/>
          <w:kern w:val="0"/>
          <w:sz w:val="31"/>
          <w:szCs w:val="31"/>
        </w:rPr>
        <w:t>1804.28</w:t>
      </w:r>
      <w:r>
        <w:rPr>
          <w:rFonts w:ascii="仿宋" w:hAnsi="仿宋" w:eastAsia="仿宋" w:cs="仿宋_GB2312"/>
          <w:color w:val="000000"/>
          <w:kern w:val="0"/>
          <w:sz w:val="31"/>
          <w:szCs w:val="31"/>
        </w:rPr>
        <w:t>万元，</w:t>
      </w:r>
      <w:r>
        <w:rPr>
          <w:rFonts w:hint="eastAsia" w:ascii="仿宋" w:hAnsi="仿宋" w:eastAsia="仿宋" w:cs="仿宋_GB2312"/>
          <w:color w:val="000000"/>
          <w:kern w:val="0"/>
          <w:sz w:val="31"/>
          <w:szCs w:val="31"/>
        </w:rPr>
        <w:t>预算调整数为241.49万元，</w:t>
      </w:r>
      <w:r>
        <w:rPr>
          <w:rFonts w:ascii="仿宋" w:hAnsi="仿宋" w:eastAsia="仿宋" w:cs="仿宋_GB2312"/>
          <w:color w:val="000000"/>
          <w:kern w:val="0"/>
          <w:sz w:val="31"/>
          <w:szCs w:val="31"/>
        </w:rPr>
        <w:t>执行数</w:t>
      </w:r>
      <w:r>
        <w:rPr>
          <w:rFonts w:hint="eastAsia" w:ascii="仿宋" w:hAnsi="仿宋" w:eastAsia="仿宋" w:cs="仿宋_GB2312"/>
          <w:color w:val="000000"/>
          <w:kern w:val="0"/>
          <w:sz w:val="31"/>
          <w:szCs w:val="31"/>
        </w:rPr>
        <w:t>241.49</w:t>
      </w:r>
      <w:r>
        <w:rPr>
          <w:rFonts w:ascii="仿宋" w:hAnsi="仿宋" w:eastAsia="仿宋" w:cs="仿宋_GB2312"/>
          <w:color w:val="000000"/>
          <w:kern w:val="0"/>
          <w:sz w:val="31"/>
          <w:szCs w:val="31"/>
        </w:rPr>
        <w:t>万元，完成预算的</w:t>
      </w:r>
      <w:r>
        <w:rPr>
          <w:rFonts w:hint="eastAsia" w:ascii="仿宋" w:hAnsi="仿宋" w:eastAsia="仿宋" w:cs="仿宋_GB2312"/>
          <w:color w:val="000000"/>
          <w:kern w:val="0"/>
          <w:sz w:val="31"/>
          <w:szCs w:val="31"/>
        </w:rPr>
        <w:t>100</w:t>
      </w:r>
      <w:r>
        <w:rPr>
          <w:rFonts w:ascii="仿宋" w:hAnsi="仿宋" w:eastAsia="仿宋"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 w:hAnsi="仿宋" w:eastAsia="仿宋" w:cs="仿宋_GB2312"/>
          <w:color w:val="000000"/>
          <w:kern w:val="0"/>
          <w:sz w:val="31"/>
          <w:szCs w:val="31"/>
        </w:rPr>
        <w:t>主要产出和效果：</w:t>
      </w:r>
      <w:r>
        <w:rPr>
          <w:rFonts w:hint="eastAsia" w:ascii="仿宋" w:hAnsi="仿宋" w:eastAsia="仿宋"/>
          <w:szCs w:val="32"/>
        </w:rPr>
        <w:t>2019年，在区人力资源和社会保障局的领导和支持下，我中心深入贯彻党的十九大精神，以习近平新时代中国特色社会主义思想为指导，以打造优质服务为宗旨，以鼓实劲、干实事为突破口，紧紧围绕失业保险、工伤保险参保缴费、待遇支付、援企稳岗、减税降费等工作，努力提升优质服务，为我区创造良好营商环境及追赶超越发展作出有力支持，较好的完成了全年各项工作任务。</w:t>
      </w:r>
    </w:p>
    <w:p>
      <w:pPr>
        <w:widowControl/>
        <w:spacing w:line="560" w:lineRule="exact"/>
        <w:ind w:firstLine="620" w:firstLineChars="200"/>
        <w:jc w:val="left"/>
        <w:rPr>
          <w:rFonts w:ascii="仿宋" w:hAnsi="仿宋" w:eastAsia="仿宋" w:cs="仿宋_GB2312"/>
          <w:color w:val="000000"/>
          <w:kern w:val="0"/>
          <w:sz w:val="31"/>
          <w:szCs w:val="31"/>
        </w:rPr>
      </w:pPr>
      <w:r>
        <w:rPr>
          <w:rFonts w:hint="eastAsia" w:ascii="仿宋" w:hAnsi="仿宋" w:eastAsia="仿宋" w:cs="仿宋_GB2312"/>
          <w:color w:val="000000"/>
          <w:kern w:val="0"/>
          <w:sz w:val="31"/>
          <w:szCs w:val="31"/>
        </w:rPr>
        <w:t>主要工作绩效是</w:t>
      </w:r>
      <w:r>
        <w:rPr>
          <w:rFonts w:ascii="仿宋" w:hAnsi="仿宋" w:eastAsia="仿宋" w:cs="仿宋_GB2312"/>
          <w:color w:val="000000"/>
          <w:kern w:val="0"/>
          <w:sz w:val="31"/>
          <w:szCs w:val="31"/>
        </w:rPr>
        <w:t>：</w:t>
      </w:r>
    </w:p>
    <w:p>
      <w:pPr>
        <w:widowControl/>
        <w:spacing w:line="560" w:lineRule="exact"/>
        <w:ind w:firstLine="620" w:firstLineChars="200"/>
        <w:jc w:val="left"/>
        <w:rPr>
          <w:rFonts w:ascii="仿宋" w:hAnsi="仿宋" w:eastAsia="仿宋" w:cs="仿宋_GB2312"/>
          <w:color w:val="000000"/>
          <w:kern w:val="0"/>
          <w:sz w:val="31"/>
          <w:szCs w:val="31"/>
        </w:rPr>
      </w:pPr>
      <w:r>
        <w:rPr>
          <w:rFonts w:hint="eastAsia" w:ascii="仿宋" w:hAnsi="仿宋" w:eastAsia="仿宋" w:cs="仿宋_GB2312"/>
          <w:color w:val="000000"/>
          <w:kern w:val="0"/>
          <w:sz w:val="31"/>
          <w:szCs w:val="31"/>
        </w:rPr>
        <w:t>参保扩面方面：</w:t>
      </w:r>
      <w:r>
        <w:rPr>
          <w:rFonts w:hint="eastAsia" w:ascii="仿宋" w:hAnsi="仿宋" w:eastAsia="仿宋"/>
          <w:szCs w:val="32"/>
        </w:rPr>
        <w:t>失业保险参保单位530家，参保职工1.55万人，完成参保任务的100%；工伤保险参保单位695家，参保职工2.31万人，完成参保任务的100%；建筑项目参保工伤保险43项，参保3788人次，全面完成参保扩面任务。同时，失业保险失业金支付494.04万元，全年待遇发放2113人次；工伤保险基金支付1118.84万元，享受待遇2659人次。</w:t>
      </w:r>
    </w:p>
    <w:p>
      <w:pPr>
        <w:spacing w:line="580" w:lineRule="exact"/>
        <w:ind w:firstLine="620" w:firstLineChars="200"/>
        <w:rPr>
          <w:rFonts w:ascii="仿宋" w:hAnsi="仿宋" w:eastAsia="仿宋"/>
          <w:szCs w:val="32"/>
        </w:rPr>
      </w:pPr>
      <w:r>
        <w:rPr>
          <w:rFonts w:hint="eastAsia" w:ascii="仿宋" w:hAnsi="仿宋" w:eastAsia="仿宋" w:cs="仿宋_GB2312"/>
          <w:color w:val="000000"/>
          <w:kern w:val="0"/>
          <w:sz w:val="31"/>
          <w:szCs w:val="31"/>
        </w:rPr>
        <w:t>政策宣传方面：</w:t>
      </w:r>
      <w:r>
        <w:rPr>
          <w:rFonts w:hint="eastAsia" w:ascii="仿宋" w:hAnsi="仿宋" w:eastAsia="仿宋"/>
          <w:szCs w:val="32"/>
        </w:rPr>
        <w:t>一是积极落实“人社惠企百千万”活动，深入建筑工地、参保企业，针对性地开展社保降费减负、稳岗返还和工伤待遇等政策宣讲。利用各类会议宣讲政策4次，累计入企宣传政策53次，发放政策宣传资料4000余份，接受现场政策咨询120余人次；二是联合航空基地管委会社会事业局共同举办“2019年失业保险支持企业稳定发展工作暨业务培训会”，并邀请西安市人社局失业保险处的同志前来工作指导;三是面向30余户企业开展稳岗返还政策宣传和业务上门服务，面对面进行政策解读和操作指导；四是开展“政策课堂”3期，提升中心工作人员业务经办水平。</w:t>
      </w:r>
    </w:p>
    <w:p>
      <w:pPr>
        <w:spacing w:line="560" w:lineRule="exact"/>
        <w:ind w:firstLine="620" w:firstLineChars="200"/>
        <w:rPr>
          <w:rFonts w:ascii="仿宋" w:hAnsi="仿宋" w:eastAsia="仿宋"/>
          <w:szCs w:val="32"/>
        </w:rPr>
      </w:pPr>
      <w:r>
        <w:rPr>
          <w:rFonts w:hint="eastAsia" w:ascii="仿宋" w:hAnsi="仿宋" w:eastAsia="仿宋" w:cs="仿宋_GB2312"/>
          <w:color w:val="000000"/>
          <w:kern w:val="0"/>
          <w:sz w:val="31"/>
          <w:szCs w:val="31"/>
        </w:rPr>
        <w:t>援企稳岗方面：</w:t>
      </w:r>
      <w:r>
        <w:rPr>
          <w:rFonts w:hint="eastAsia" w:ascii="仿宋" w:hAnsi="仿宋" w:eastAsia="仿宋"/>
          <w:szCs w:val="32"/>
        </w:rPr>
        <w:t>一是对企业</w:t>
      </w:r>
      <w:r>
        <w:rPr>
          <w:rFonts w:hint="eastAsia" w:ascii="仿宋" w:hAnsi="仿宋" w:eastAsia="仿宋"/>
          <w:bCs/>
          <w:szCs w:val="32"/>
        </w:rPr>
        <w:t>稳岗返还申报工作</w:t>
      </w:r>
      <w:r>
        <w:rPr>
          <w:rFonts w:hint="eastAsia" w:ascii="仿宋" w:hAnsi="仿宋" w:eastAsia="仿宋"/>
          <w:szCs w:val="32"/>
        </w:rPr>
        <w:t>建立工作台账，对规模比较大的企业实行专人跟踪指导，全面了解企业情况，提供点对点的精准服务。完成2019年度稳岗返还初审178户企业，涉及资金2538.14万元，完成拨付99户。完成技能提升补贴发放52人，发放金额9.2万元；二是加大社保降费减负政策宣传，持续亲商助企，优化我区营商环境。失业保险累计为企业降费1518.07万元，工伤保险累计为企业降费322万元；三是</w:t>
      </w:r>
      <w:r>
        <w:rPr>
          <w:rFonts w:hint="eastAsia" w:ascii="仿宋" w:hAnsi="仿宋" w:eastAsia="仿宋"/>
          <w:bCs/>
          <w:szCs w:val="32"/>
        </w:rPr>
        <w:t>对我区经营困难且恢复有望企业针对性的开展稳岗返还培训会，</w:t>
      </w:r>
      <w:r>
        <w:rPr>
          <w:rFonts w:hint="eastAsia" w:ascii="仿宋" w:hAnsi="仿宋" w:eastAsia="仿宋"/>
          <w:szCs w:val="32"/>
        </w:rPr>
        <w:t>详细解说稳岗返还政策以及申领程序，</w:t>
      </w:r>
      <w:r>
        <w:rPr>
          <w:rFonts w:hint="eastAsia" w:ascii="仿宋" w:hAnsi="仿宋" w:eastAsia="仿宋"/>
          <w:bCs/>
          <w:szCs w:val="32"/>
        </w:rPr>
        <w:t>使惠民政策落到实处</w:t>
      </w:r>
      <w:r>
        <w:rPr>
          <w:rFonts w:hint="eastAsia" w:ascii="仿宋" w:hAnsi="仿宋" w:eastAsia="仿宋"/>
          <w:szCs w:val="32"/>
        </w:rPr>
        <w:t>。</w:t>
      </w:r>
    </w:p>
    <w:p>
      <w:pPr>
        <w:spacing w:line="560" w:lineRule="exact"/>
        <w:ind w:firstLine="620" w:firstLineChars="200"/>
        <w:rPr>
          <w:rFonts w:ascii="仿宋" w:hAnsi="仿宋" w:eastAsia="仿宋"/>
          <w:szCs w:val="32"/>
        </w:rPr>
      </w:pPr>
      <w:r>
        <w:rPr>
          <w:rFonts w:hint="eastAsia" w:ascii="仿宋" w:hAnsi="仿宋" w:eastAsia="仿宋" w:cs="仿宋_GB2312"/>
          <w:color w:val="000000"/>
          <w:kern w:val="0"/>
          <w:sz w:val="31"/>
          <w:szCs w:val="31"/>
        </w:rPr>
        <w:t>缴费基数申报方面：</w:t>
      </w:r>
      <w:r>
        <w:rPr>
          <w:rFonts w:hint="eastAsia" w:ascii="仿宋" w:hAnsi="仿宋" w:eastAsia="仿宋"/>
          <w:szCs w:val="32"/>
        </w:rPr>
        <w:t>集中开展缴费基数申报工作，分派业务、财务人员进驻行政审批局，实行三级审核制，确保申报数据准确，申报工作零差错。全面完成519户参保企业缴费基数申报工作。</w:t>
      </w:r>
    </w:p>
    <w:p>
      <w:pPr>
        <w:spacing w:line="560" w:lineRule="exact"/>
        <w:ind w:firstLine="640" w:firstLineChars="200"/>
        <w:rPr>
          <w:rFonts w:ascii="仿宋" w:hAnsi="仿宋" w:eastAsia="仿宋"/>
          <w:szCs w:val="32"/>
        </w:rPr>
      </w:pPr>
      <w:r>
        <w:rPr>
          <w:rFonts w:hint="eastAsia" w:ascii="仿宋" w:hAnsi="仿宋" w:eastAsia="仿宋"/>
          <w:szCs w:val="32"/>
        </w:rPr>
        <w:t>经办服务方面：一是持续开展“最多跑一次”和“容缺受理”机制常态化运行，在中心营造比学赶超的良好氛围；二是继续开展月对账工作，梳理工作思路，制定工作计划及措施，查漏补缺，使各项工作稳步推进；三是在行政审批局设立办事窗口，实行全部业务“一窗通办”，缩短业务办理时限。</w:t>
      </w:r>
    </w:p>
    <w:p>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发现的问题及原因：</w:t>
      </w:r>
      <w:r>
        <w:rPr>
          <w:rFonts w:hint="eastAsia" w:ascii="仿宋" w:hAnsi="仿宋" w:eastAsia="仿宋" w:cs="仿宋_GB2312"/>
          <w:color w:val="000000"/>
          <w:kern w:val="0"/>
          <w:sz w:val="31"/>
          <w:szCs w:val="31"/>
        </w:rPr>
        <w:t>支出进度不够均衡，绩效指标不够细致。</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 w:hAnsi="仿宋" w:eastAsia="仿宋" w:cs="仿宋_GB2312"/>
          <w:color w:val="000000"/>
          <w:kern w:val="0"/>
          <w:sz w:val="31"/>
          <w:szCs w:val="31"/>
        </w:rPr>
        <w:t>下一步改进措施：今后将进一步提高预算编制的科学性</w:t>
      </w:r>
      <w:r>
        <w:rPr>
          <w:rFonts w:hint="eastAsia" w:ascii="仿宋" w:hAnsi="仿宋" w:eastAsia="仿宋" w:cs="仿宋_GB2312"/>
          <w:color w:val="000000"/>
          <w:kern w:val="0"/>
          <w:sz w:val="31"/>
          <w:szCs w:val="31"/>
        </w:rPr>
        <w:t>和</w:t>
      </w:r>
      <w:r>
        <w:rPr>
          <w:rFonts w:ascii="仿宋" w:hAnsi="仿宋" w:eastAsia="仿宋" w:cs="仿宋_GB2312"/>
          <w:color w:val="000000"/>
          <w:kern w:val="0"/>
          <w:sz w:val="31"/>
          <w:szCs w:val="31"/>
        </w:rPr>
        <w:t xml:space="preserve"> 准确性，</w:t>
      </w:r>
      <w:r>
        <w:rPr>
          <w:rFonts w:hint="eastAsia" w:ascii="仿宋" w:hAnsi="仿宋" w:eastAsia="仿宋" w:cs="仿宋_GB2312"/>
          <w:color w:val="000000"/>
          <w:kern w:val="0"/>
          <w:sz w:val="31"/>
          <w:szCs w:val="31"/>
        </w:rPr>
        <w:t>加强资金管理，加强项目绩效管理</w:t>
      </w:r>
      <w:r>
        <w:rPr>
          <w:rFonts w:ascii="仿宋" w:hAnsi="仿宋" w:eastAsia="仿宋" w:cs="仿宋_GB2312"/>
          <w:color w:val="000000"/>
          <w:kern w:val="0"/>
          <w:sz w:val="31"/>
          <w:szCs w:val="31"/>
        </w:rPr>
        <w:t>，</w:t>
      </w:r>
      <w:r>
        <w:rPr>
          <w:rFonts w:hint="eastAsia" w:ascii="仿宋" w:hAnsi="仿宋" w:eastAsia="仿宋" w:cs="仿宋_GB2312"/>
          <w:color w:val="000000"/>
          <w:kern w:val="0"/>
          <w:sz w:val="31"/>
          <w:szCs w:val="31"/>
        </w:rPr>
        <w:t>细化绩效指标，合理使用资金，</w:t>
      </w:r>
      <w:r>
        <w:rPr>
          <w:rFonts w:ascii="仿宋" w:hAnsi="仿宋" w:eastAsia="仿宋" w:cs="仿宋_GB2312"/>
          <w:color w:val="000000"/>
          <w:kern w:val="0"/>
          <w:sz w:val="31"/>
          <w:szCs w:val="31"/>
        </w:rPr>
        <w:t>切实提高预算管理水平。</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r>
        <w:rPr>
          <w:rFonts w:hint="eastAsia"/>
          <w:szCs w:val="31"/>
        </w:rPr>
        <w:drawing>
          <wp:inline distT="0" distB="0" distL="0" distR="0">
            <wp:extent cx="5274310" cy="7542530"/>
            <wp:effectExtent l="1905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noChangeArrowheads="1"/>
                    </pic:cNvPicPr>
                  </pic:nvPicPr>
                  <pic:blipFill>
                    <a:blip r:embed="rId9" cstate="print"/>
                    <a:srcRect/>
                    <a:stretch>
                      <a:fillRect/>
                    </a:stretch>
                  </pic:blipFill>
                  <pic:spPr>
                    <a:xfrm>
                      <a:off x="0" y="0"/>
                      <a:ext cx="5274310" cy="7543100"/>
                    </a:xfrm>
                    <a:prstGeom prst="rect">
                      <a:avLst/>
                    </a:prstGeom>
                    <a:noFill/>
                    <a:ln w="9525">
                      <a:noFill/>
                      <a:miter lim="800000"/>
                      <a:headEnd/>
                      <a:tailEnd/>
                    </a:ln>
                  </pic:spPr>
                </pic:pic>
              </a:graphicData>
            </a:graphic>
          </wp:inline>
        </w:drawing>
      </w:r>
    </w:p>
    <w:p>
      <w:pPr>
        <w:widowControl/>
        <w:jc w:val="left"/>
        <w:rPr>
          <w:rFonts w:ascii="仿宋_GB2312" w:hAnsi="仿宋_GB2312" w:eastAsia="仿宋_GB2312" w:cs="仿宋_GB2312"/>
          <w:color w:val="000000"/>
          <w:kern w:val="0"/>
          <w:sz w:val="31"/>
          <w:szCs w:val="31"/>
        </w:rPr>
      </w:pPr>
    </w:p>
    <w:p>
      <w:pPr>
        <w:widowControl/>
        <w:jc w:val="left"/>
        <w:rPr>
          <w:rFonts w:hint="eastAsia"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rPr>
      </w:pPr>
      <w:r>
        <w:rPr>
          <w:szCs w:val="31"/>
        </w:rPr>
        <w:drawing>
          <wp:inline distT="0" distB="0" distL="0" distR="0">
            <wp:extent cx="8863330" cy="5156835"/>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10" cstate="print"/>
                    <a:srcRect/>
                    <a:stretch>
                      <a:fillRect/>
                    </a:stretch>
                  </pic:blipFill>
                  <pic:spPr>
                    <a:xfrm>
                      <a:off x="0" y="0"/>
                      <a:ext cx="8863330" cy="5156847"/>
                    </a:xfrm>
                    <a:prstGeom prst="rect">
                      <a:avLst/>
                    </a:prstGeom>
                    <a:noFill/>
                    <a:ln w="9525">
                      <a:noFill/>
                      <a:miter lim="800000"/>
                      <a:headEnd/>
                      <a:tailEnd/>
                    </a:ln>
                  </pic:spPr>
                </pic:pic>
              </a:graphicData>
            </a:graphic>
          </wp:inline>
        </w:drawing>
      </w:r>
    </w:p>
    <w:p>
      <w:pPr>
        <w:widowControl/>
        <w:jc w:val="left"/>
        <w:rPr>
          <w:rFonts w:ascii="仿宋_GB2312" w:hAnsi="仿宋_GB2312" w:eastAsia="仿宋_GB2312" w:cs="仿宋_GB2312"/>
          <w:color w:val="000000"/>
          <w:kern w:val="0"/>
          <w:sz w:val="31"/>
          <w:szCs w:val="31"/>
        </w:rPr>
        <w:sectPr>
          <w:pgSz w:w="16838" w:h="11906" w:orient="landscape"/>
          <w:pgMar w:top="1797" w:right="1440" w:bottom="1797" w:left="1440" w:header="851" w:footer="992" w:gutter="0"/>
          <w:cols w:space="425" w:num="1"/>
          <w:docGrid w:linePitch="312" w:charSpace="0"/>
        </w:sectPr>
      </w:pPr>
    </w:p>
    <w:p>
      <w:pPr>
        <w:widowControl/>
        <w:jc w:val="left"/>
        <w:rPr>
          <w:szCs w:val="31"/>
        </w:rPr>
      </w:pPr>
      <w:r>
        <w:rPr>
          <w:rFonts w:hint="eastAsia"/>
          <w:szCs w:val="31"/>
        </w:rPr>
        <w:drawing>
          <wp:inline distT="0" distB="0" distL="0" distR="0">
            <wp:extent cx="8863330" cy="4519930"/>
            <wp:effectExtent l="1905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1" cstate="print"/>
                    <a:srcRect/>
                    <a:stretch>
                      <a:fillRect/>
                    </a:stretch>
                  </pic:blipFill>
                  <pic:spPr>
                    <a:xfrm>
                      <a:off x="0" y="0"/>
                      <a:ext cx="8863330" cy="4520137"/>
                    </a:xfrm>
                    <a:prstGeom prst="rect">
                      <a:avLst/>
                    </a:prstGeom>
                    <a:noFill/>
                    <a:ln w="9525">
                      <a:noFill/>
                      <a:miter lim="800000"/>
                      <a:headEnd/>
                      <a:tailEnd/>
                    </a:ln>
                  </pic:spPr>
                </pic:pic>
              </a:graphicData>
            </a:graphic>
          </wp:inline>
        </w:drawing>
      </w:r>
    </w:p>
    <w:p>
      <w:pPr>
        <w:widowControl/>
        <w:jc w:val="left"/>
        <w:rPr>
          <w:szCs w:val="31"/>
        </w:rPr>
      </w:pPr>
    </w:p>
    <w:p>
      <w:pPr>
        <w:widowControl/>
        <w:jc w:val="left"/>
        <w:rPr>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r>
        <w:rPr>
          <w:szCs w:val="31"/>
        </w:rPr>
        <w:drawing>
          <wp:inline distT="0" distB="0" distL="0" distR="0">
            <wp:extent cx="8863330" cy="447929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2" cstate="print"/>
                    <a:srcRect/>
                    <a:stretch>
                      <a:fillRect/>
                    </a:stretch>
                  </pic:blipFill>
                  <pic:spPr>
                    <a:xfrm>
                      <a:off x="0" y="0"/>
                      <a:ext cx="8863330" cy="4479923"/>
                    </a:xfrm>
                    <a:prstGeom prst="rect">
                      <a:avLst/>
                    </a:prstGeom>
                    <a:noFill/>
                    <a:ln w="9525">
                      <a:noFill/>
                      <a:miter lim="800000"/>
                      <a:headEnd/>
                      <a:tailEnd/>
                    </a:ln>
                  </pic:spPr>
                </pic:pic>
              </a:graphicData>
            </a:graphic>
          </wp:inline>
        </w:drawing>
      </w:r>
    </w:p>
    <w:p>
      <w:pPr>
        <w:widowControl/>
        <w:jc w:val="left"/>
        <w:rPr>
          <w:rFonts w:ascii="仿宋_GB2312" w:hAnsi="仿宋_GB2312" w:eastAsia="仿宋_GB2312" w:cs="仿宋_GB2312"/>
          <w:color w:val="000000"/>
          <w:kern w:val="0"/>
          <w:sz w:val="31"/>
          <w:szCs w:val="31"/>
        </w:rPr>
      </w:pPr>
      <w:bookmarkStart w:id="0" w:name="_1662907596"/>
      <w:bookmarkEnd w:id="0"/>
      <w:bookmarkStart w:id="1" w:name="_1662907080"/>
      <w:bookmarkEnd w:id="1"/>
      <w:bookmarkStart w:id="2" w:name="_1662907161"/>
      <w:bookmarkEnd w:id="2"/>
    </w:p>
    <w:p>
      <w:pPr>
        <w:rPr>
          <w:rFonts w:ascii="黑体" w:hAnsi="黑体" w:eastAsia="黑体"/>
          <w:color w:val="000000"/>
          <w:kern w:val="0"/>
          <w:szCs w:val="32"/>
        </w:rPr>
        <w:sectPr>
          <w:pgSz w:w="16838" w:h="11906" w:orient="landscape"/>
          <w:pgMar w:top="1797" w:right="1440" w:bottom="1797" w:left="1440" w:header="851" w:footer="992" w:gutter="0"/>
          <w:cols w:space="425" w:num="1"/>
          <w:docGrid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9.75</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调整预算数为8.83万元，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8.83</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2019年度本部门政府采购支出总额共0.27万元，其中政府采购货物类支出0.27万元、政府采购服务类支出0万元、政府采购工程类支出0万元。</w:t>
      </w:r>
      <w:r>
        <w:rPr>
          <w:rFonts w:ascii="仿宋_GB2312" w:hAnsi="宋体" w:eastAsia="仿宋_GB2312" w:cs="仿宋_GB2312"/>
          <w:color w:val="000000"/>
          <w:kern w:val="0"/>
          <w:szCs w:val="32"/>
        </w:rPr>
        <w:t>授予中小企业合同金额</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%，其中：授予小微企业合同金额</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截至2019年末，本部门机关及所属单位共有车辆0辆；单价50万元以上的通用设备0台（套）；单价100万元以上的专用设备0台（套）。201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numPr>
          <w:ilvl w:val="0"/>
          <w:numId w:val="2"/>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0322B"/>
    <w:rsid w:val="00040C49"/>
    <w:rsid w:val="00050FBA"/>
    <w:rsid w:val="00056A57"/>
    <w:rsid w:val="0007676A"/>
    <w:rsid w:val="000955BC"/>
    <w:rsid w:val="00096778"/>
    <w:rsid w:val="000C2489"/>
    <w:rsid w:val="000C3910"/>
    <w:rsid w:val="000C608E"/>
    <w:rsid w:val="000E09E2"/>
    <w:rsid w:val="000E4708"/>
    <w:rsid w:val="000E64FB"/>
    <w:rsid w:val="0010571E"/>
    <w:rsid w:val="001071C1"/>
    <w:rsid w:val="00122892"/>
    <w:rsid w:val="00136AA7"/>
    <w:rsid w:val="0019253C"/>
    <w:rsid w:val="00196701"/>
    <w:rsid w:val="001B332E"/>
    <w:rsid w:val="001C1FEE"/>
    <w:rsid w:val="001D19CE"/>
    <w:rsid w:val="001D647C"/>
    <w:rsid w:val="001D781F"/>
    <w:rsid w:val="001E3B35"/>
    <w:rsid w:val="0021065D"/>
    <w:rsid w:val="00215E6C"/>
    <w:rsid w:val="00257AB5"/>
    <w:rsid w:val="00272047"/>
    <w:rsid w:val="002B387A"/>
    <w:rsid w:val="002B554C"/>
    <w:rsid w:val="002E6AC2"/>
    <w:rsid w:val="002F33A4"/>
    <w:rsid w:val="003060E1"/>
    <w:rsid w:val="0031429E"/>
    <w:rsid w:val="003418F3"/>
    <w:rsid w:val="003534FA"/>
    <w:rsid w:val="003673FA"/>
    <w:rsid w:val="003732E7"/>
    <w:rsid w:val="0038316D"/>
    <w:rsid w:val="003A40B8"/>
    <w:rsid w:val="003D330C"/>
    <w:rsid w:val="003E3A9F"/>
    <w:rsid w:val="003E51D7"/>
    <w:rsid w:val="003E7735"/>
    <w:rsid w:val="003F73C0"/>
    <w:rsid w:val="004039D2"/>
    <w:rsid w:val="004256F1"/>
    <w:rsid w:val="00447F53"/>
    <w:rsid w:val="00471B52"/>
    <w:rsid w:val="004A5CA8"/>
    <w:rsid w:val="004C4694"/>
    <w:rsid w:val="004E64EB"/>
    <w:rsid w:val="004F7D75"/>
    <w:rsid w:val="00514CD3"/>
    <w:rsid w:val="00520129"/>
    <w:rsid w:val="005320AB"/>
    <w:rsid w:val="00534548"/>
    <w:rsid w:val="0055544F"/>
    <w:rsid w:val="00557D85"/>
    <w:rsid w:val="0056314E"/>
    <w:rsid w:val="005D137C"/>
    <w:rsid w:val="005E2001"/>
    <w:rsid w:val="005E40DB"/>
    <w:rsid w:val="00642C72"/>
    <w:rsid w:val="006751A9"/>
    <w:rsid w:val="00681A0C"/>
    <w:rsid w:val="006909BB"/>
    <w:rsid w:val="006B3FAA"/>
    <w:rsid w:val="006B67A6"/>
    <w:rsid w:val="006C0614"/>
    <w:rsid w:val="006C1918"/>
    <w:rsid w:val="006C6402"/>
    <w:rsid w:val="006E7CB0"/>
    <w:rsid w:val="00716682"/>
    <w:rsid w:val="00731D7F"/>
    <w:rsid w:val="00747971"/>
    <w:rsid w:val="007661FA"/>
    <w:rsid w:val="00771064"/>
    <w:rsid w:val="00773BDD"/>
    <w:rsid w:val="0077682A"/>
    <w:rsid w:val="007773DE"/>
    <w:rsid w:val="00786A6E"/>
    <w:rsid w:val="00787804"/>
    <w:rsid w:val="00787A78"/>
    <w:rsid w:val="00791AD1"/>
    <w:rsid w:val="00792780"/>
    <w:rsid w:val="00792EF5"/>
    <w:rsid w:val="007973CC"/>
    <w:rsid w:val="007A3055"/>
    <w:rsid w:val="007B1910"/>
    <w:rsid w:val="007B516B"/>
    <w:rsid w:val="007C2740"/>
    <w:rsid w:val="007C6EA7"/>
    <w:rsid w:val="007D5843"/>
    <w:rsid w:val="007D7541"/>
    <w:rsid w:val="007F03B0"/>
    <w:rsid w:val="008076D4"/>
    <w:rsid w:val="00816F23"/>
    <w:rsid w:val="008408DD"/>
    <w:rsid w:val="0084312C"/>
    <w:rsid w:val="00857BBE"/>
    <w:rsid w:val="00860F79"/>
    <w:rsid w:val="00892655"/>
    <w:rsid w:val="008968D7"/>
    <w:rsid w:val="00896EEA"/>
    <w:rsid w:val="008A58C2"/>
    <w:rsid w:val="008B561D"/>
    <w:rsid w:val="008C11A8"/>
    <w:rsid w:val="008C192A"/>
    <w:rsid w:val="008E321E"/>
    <w:rsid w:val="008E5FC9"/>
    <w:rsid w:val="009164A0"/>
    <w:rsid w:val="00927B35"/>
    <w:rsid w:val="009426CB"/>
    <w:rsid w:val="00991F88"/>
    <w:rsid w:val="009926ED"/>
    <w:rsid w:val="009A2DE4"/>
    <w:rsid w:val="009A44AF"/>
    <w:rsid w:val="009A5B4F"/>
    <w:rsid w:val="009E3CDB"/>
    <w:rsid w:val="009F5FDF"/>
    <w:rsid w:val="00A16312"/>
    <w:rsid w:val="00A27C6A"/>
    <w:rsid w:val="00A649B4"/>
    <w:rsid w:val="00A64A4A"/>
    <w:rsid w:val="00A731C0"/>
    <w:rsid w:val="00A80A38"/>
    <w:rsid w:val="00AA67BC"/>
    <w:rsid w:val="00AD57CF"/>
    <w:rsid w:val="00AD7394"/>
    <w:rsid w:val="00AE7FA3"/>
    <w:rsid w:val="00AF10E1"/>
    <w:rsid w:val="00B26C94"/>
    <w:rsid w:val="00B32069"/>
    <w:rsid w:val="00B43BE2"/>
    <w:rsid w:val="00B639A9"/>
    <w:rsid w:val="00B75BA7"/>
    <w:rsid w:val="00B81617"/>
    <w:rsid w:val="00B91AB6"/>
    <w:rsid w:val="00B9282D"/>
    <w:rsid w:val="00B9741C"/>
    <w:rsid w:val="00BA2DF0"/>
    <w:rsid w:val="00BD0FF6"/>
    <w:rsid w:val="00BE28EC"/>
    <w:rsid w:val="00BF76C3"/>
    <w:rsid w:val="00C04A88"/>
    <w:rsid w:val="00C30C4F"/>
    <w:rsid w:val="00C34164"/>
    <w:rsid w:val="00C50111"/>
    <w:rsid w:val="00C71304"/>
    <w:rsid w:val="00C82C74"/>
    <w:rsid w:val="00CA15BF"/>
    <w:rsid w:val="00CA34DE"/>
    <w:rsid w:val="00CA79FC"/>
    <w:rsid w:val="00CA7AB4"/>
    <w:rsid w:val="00CB2520"/>
    <w:rsid w:val="00CD47A4"/>
    <w:rsid w:val="00CE2D7B"/>
    <w:rsid w:val="00CE7A2D"/>
    <w:rsid w:val="00CF0675"/>
    <w:rsid w:val="00D01C66"/>
    <w:rsid w:val="00D24E60"/>
    <w:rsid w:val="00D429B7"/>
    <w:rsid w:val="00D546CE"/>
    <w:rsid w:val="00D55692"/>
    <w:rsid w:val="00D56119"/>
    <w:rsid w:val="00D6346F"/>
    <w:rsid w:val="00D73277"/>
    <w:rsid w:val="00D84D2A"/>
    <w:rsid w:val="00D909E0"/>
    <w:rsid w:val="00DA138E"/>
    <w:rsid w:val="00DA7C1C"/>
    <w:rsid w:val="00DC5427"/>
    <w:rsid w:val="00DD4A95"/>
    <w:rsid w:val="00DD6099"/>
    <w:rsid w:val="00DE1473"/>
    <w:rsid w:val="00DE7306"/>
    <w:rsid w:val="00DF14AE"/>
    <w:rsid w:val="00E128B7"/>
    <w:rsid w:val="00E15F00"/>
    <w:rsid w:val="00E30BB6"/>
    <w:rsid w:val="00E402F2"/>
    <w:rsid w:val="00E708FE"/>
    <w:rsid w:val="00E76D1F"/>
    <w:rsid w:val="00E95DEE"/>
    <w:rsid w:val="00EA6F3B"/>
    <w:rsid w:val="00EB3307"/>
    <w:rsid w:val="00EB5D46"/>
    <w:rsid w:val="00EF0B75"/>
    <w:rsid w:val="00F21504"/>
    <w:rsid w:val="00F40717"/>
    <w:rsid w:val="00F51EF2"/>
    <w:rsid w:val="00F6752E"/>
    <w:rsid w:val="00F979DF"/>
    <w:rsid w:val="00FB6472"/>
    <w:rsid w:val="00FF1470"/>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6807B00"/>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Balloon Text"/>
    <w:basedOn w:val="1"/>
    <w:link w:val="1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paragraph" w:customStyle="1" w:styleId="18">
    <w:name w:val="Char"/>
    <w:uiPriority w:val="0"/>
    <w:pPr>
      <w:spacing w:after="160" w:line="240" w:lineRule="exact"/>
    </w:pPr>
    <w:rPr>
      <w:rFonts w:ascii="Verdana" w:hAnsi="Verdana" w:eastAsia="仿宋_GB2312" w:cs="Verdana"/>
      <w:color w:val="000000"/>
      <w:sz w:val="24"/>
      <w:szCs w:val="21"/>
      <w:u w:color="000000"/>
      <w:lang w:val="en-US" w:eastAsia="en-US" w:bidi="ar-SA"/>
    </w:rPr>
  </w:style>
  <w:style w:type="character" w:customStyle="1" w:styleId="19">
    <w:name w:val="批注框文本 Char"/>
    <w:basedOn w:val="9"/>
    <w:link w:val="3"/>
    <w:uiPriority w:val="0"/>
    <w:rPr>
      <w:rFonts w:ascii="Calibri" w:hAnsi="Calibri"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部门人员情况</a:t>
            </a:r>
            <a:endParaRPr lang="zh-CN"/>
          </a:p>
        </c:rich>
      </c:tx>
      <c:layout/>
      <c:overlay val="0"/>
    </c:title>
    <c:autoTitleDeleted val="0"/>
    <c:plotArea>
      <c:layout/>
      <c:barChart>
        <c:barDir val="col"/>
        <c:grouping val="clustered"/>
        <c:varyColors val="0"/>
        <c:ser>
          <c:idx val="0"/>
          <c:order val="0"/>
          <c:tx>
            <c:strRef>
              <c:f>Sheet1!$B$1</c:f>
              <c:strCache>
                <c:ptCount val="1"/>
                <c:pt idx="0">
                  <c:v>事业</c:v>
                </c:pt>
              </c:strCache>
            </c:strRef>
          </c:tx>
          <c:invertIfNegative val="0"/>
          <c:dLbls>
            <c:delete val="1"/>
          </c:dLbls>
          <c:cat>
            <c:strRef>
              <c:f>Sheet1!$A$2:$A$3</c:f>
              <c:strCache>
                <c:ptCount val="2"/>
                <c:pt idx="0">
                  <c:v>编制数</c:v>
                </c:pt>
                <c:pt idx="1">
                  <c:v>实有数</c:v>
                </c:pt>
              </c:strCache>
            </c:strRef>
          </c:cat>
          <c:val>
            <c:numRef>
              <c:f>Sheet1!$B$2:$B$3</c:f>
              <c:numCache>
                <c:formatCode>General</c:formatCode>
                <c:ptCount val="2"/>
                <c:pt idx="0">
                  <c:v>10</c:v>
                </c:pt>
                <c:pt idx="1">
                  <c:v>9</c:v>
                </c:pt>
              </c:numCache>
            </c:numRef>
          </c:val>
        </c:ser>
        <c:dLbls>
          <c:showLegendKey val="0"/>
          <c:showVal val="0"/>
          <c:showCatName val="0"/>
          <c:showSerName val="0"/>
          <c:showPercent val="0"/>
          <c:showBubbleSize val="0"/>
        </c:dLbls>
        <c:gapWidth val="150"/>
        <c:axId val="126118528"/>
        <c:axId val="126329216"/>
      </c:barChart>
      <c:catAx>
        <c:axId val="12611852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26329216"/>
        <c:crosses val="autoZero"/>
        <c:auto val="1"/>
        <c:lblAlgn val="ctr"/>
        <c:lblOffset val="100"/>
        <c:noMultiLvlLbl val="0"/>
      </c:catAx>
      <c:valAx>
        <c:axId val="12632921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261185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收入支出对比图</a:t>
            </a:r>
            <a:endParaRPr lang="zh-CN" altLang="en-US"/>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2018年</c:v>
                </c:pt>
                <c:pt idx="1">
                  <c:v>2019年</c:v>
                </c:pt>
              </c:strCache>
            </c:strRef>
          </c:cat>
          <c:val>
            <c:numRef>
              <c:f>Sheet1!$B$2:$B$3</c:f>
              <c:numCache>
                <c:formatCode>General</c:formatCode>
                <c:ptCount val="2"/>
                <c:pt idx="0">
                  <c:v>2098.12</c:v>
                </c:pt>
                <c:pt idx="1">
                  <c:v>241.49</c:v>
                </c:pt>
              </c:numCache>
            </c:numRef>
          </c:val>
        </c:ser>
        <c:ser>
          <c:idx val="1"/>
          <c:order val="1"/>
          <c:tx>
            <c:strRef>
              <c:f>Sheet1!$C$1</c:f>
              <c:strCache>
                <c:ptCount val="1"/>
                <c:pt idx="0">
                  <c:v>支出</c:v>
                </c:pt>
              </c:strCache>
            </c:strRef>
          </c:tx>
          <c:invertIfNegative val="0"/>
          <c:dLbls>
            <c:delete val="1"/>
          </c:dLbls>
          <c:cat>
            <c:strRef>
              <c:f>Sheet1!$A$2:$A$3</c:f>
              <c:strCache>
                <c:ptCount val="2"/>
                <c:pt idx="0">
                  <c:v>2018年</c:v>
                </c:pt>
                <c:pt idx="1">
                  <c:v>2019年</c:v>
                </c:pt>
              </c:strCache>
            </c:strRef>
          </c:cat>
          <c:val>
            <c:numRef>
              <c:f>Sheet1!$C$2:$C$3</c:f>
              <c:numCache>
                <c:formatCode>General</c:formatCode>
                <c:ptCount val="2"/>
                <c:pt idx="0">
                  <c:v>2098.12</c:v>
                </c:pt>
                <c:pt idx="1">
                  <c:v>241.49</c:v>
                </c:pt>
              </c:numCache>
            </c:numRef>
          </c:val>
        </c:ser>
        <c:dLbls>
          <c:showLegendKey val="0"/>
          <c:showVal val="0"/>
          <c:showCatName val="0"/>
          <c:showSerName val="0"/>
          <c:showPercent val="0"/>
          <c:showBubbleSize val="0"/>
        </c:dLbls>
        <c:gapWidth val="150"/>
        <c:axId val="128050304"/>
        <c:axId val="128051840"/>
      </c:barChart>
      <c:catAx>
        <c:axId val="1280503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051840"/>
        <c:crosses val="autoZero"/>
        <c:auto val="1"/>
        <c:lblAlgn val="ctr"/>
        <c:lblOffset val="100"/>
        <c:noMultiLvlLbl val="0"/>
      </c:catAx>
      <c:valAx>
        <c:axId val="1280518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0503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2019</a:t>
            </a:r>
            <a:r>
              <a:rPr lang="zh-CN"/>
              <a:t>年度收入情况</a:t>
            </a:r>
            <a:endParaRPr lang="zh-CN"/>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Lbls>
            <c:delete val="1"/>
          </c:dLbls>
          <c:cat>
            <c:strRef>
              <c:f>Sheet1!$A$2</c:f>
              <c:strCache>
                <c:ptCount val="1"/>
                <c:pt idx="0">
                  <c:v>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2019</a:t>
            </a:r>
            <a:r>
              <a:rPr lang="zh-CN"/>
              <a:t>年度支出情况</a:t>
            </a:r>
            <a:endParaRPr lang="en-US"/>
          </a:p>
        </c:rich>
      </c:tx>
      <c:layout/>
      <c:overlay val="0"/>
    </c:title>
    <c:autoTitleDeleted val="0"/>
    <c:plotArea>
      <c:layout/>
      <c:pieChart>
        <c:varyColors val="1"/>
        <c:ser>
          <c:idx val="0"/>
          <c:order val="0"/>
          <c:tx>
            <c:strRef>
              <c:f>Sheet1!$B$1</c:f>
              <c:strCache>
                <c:ptCount val="1"/>
                <c:pt idx="0">
                  <c:v>列1</c:v>
                </c:pt>
              </c:strCache>
            </c:strRef>
          </c:tx>
          <c:explosion val="25"/>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c:formatCode>
                <c:ptCount val="2"/>
                <c:pt idx="0">
                  <c:v>0.870000000000002</c:v>
                </c:pt>
                <c:pt idx="1">
                  <c:v>0.13</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2019</a:t>
            </a:r>
            <a:r>
              <a:rPr lang="zh-CN"/>
              <a:t>年收入支出决算总体情况</a:t>
            </a:r>
            <a:endParaRPr lang="zh-CN"/>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2018年</c:v>
                </c:pt>
                <c:pt idx="1">
                  <c:v>2019年</c:v>
                </c:pt>
              </c:strCache>
            </c:strRef>
          </c:cat>
          <c:val>
            <c:numRef>
              <c:f>Sheet1!$B$2:$B$3</c:f>
              <c:numCache>
                <c:formatCode>General</c:formatCode>
                <c:ptCount val="2"/>
                <c:pt idx="0">
                  <c:v>2098.12</c:v>
                </c:pt>
                <c:pt idx="1">
                  <c:v>241.49</c:v>
                </c:pt>
              </c:numCache>
            </c:numRef>
          </c:val>
        </c:ser>
        <c:ser>
          <c:idx val="1"/>
          <c:order val="1"/>
          <c:tx>
            <c:strRef>
              <c:f>Sheet1!$C$1</c:f>
              <c:strCache>
                <c:ptCount val="1"/>
                <c:pt idx="0">
                  <c:v>支出</c:v>
                </c:pt>
              </c:strCache>
            </c:strRef>
          </c:tx>
          <c:invertIfNegative val="0"/>
          <c:dLbls>
            <c:delete val="1"/>
          </c:dLbls>
          <c:cat>
            <c:strRef>
              <c:f>Sheet1!$A$2:$A$3</c:f>
              <c:strCache>
                <c:ptCount val="2"/>
                <c:pt idx="0">
                  <c:v>2018年</c:v>
                </c:pt>
                <c:pt idx="1">
                  <c:v>2019年</c:v>
                </c:pt>
              </c:strCache>
            </c:strRef>
          </c:cat>
          <c:val>
            <c:numRef>
              <c:f>Sheet1!$C$2:$C$3</c:f>
              <c:numCache>
                <c:formatCode>General</c:formatCode>
                <c:ptCount val="2"/>
                <c:pt idx="0">
                  <c:v>2098.12</c:v>
                </c:pt>
                <c:pt idx="1">
                  <c:v>241.49</c:v>
                </c:pt>
              </c:numCache>
            </c:numRef>
          </c:val>
        </c:ser>
        <c:dLbls>
          <c:showLegendKey val="0"/>
          <c:showVal val="0"/>
          <c:showCatName val="0"/>
          <c:showSerName val="0"/>
          <c:showPercent val="0"/>
          <c:showBubbleSize val="0"/>
        </c:dLbls>
        <c:gapWidth val="150"/>
        <c:axId val="306333184"/>
        <c:axId val="306334720"/>
      </c:barChart>
      <c:catAx>
        <c:axId val="3063331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6334720"/>
        <c:crosses val="autoZero"/>
        <c:auto val="1"/>
        <c:lblAlgn val="ctr"/>
        <c:lblOffset val="100"/>
        <c:noMultiLvlLbl val="0"/>
      </c:catAx>
      <c:valAx>
        <c:axId val="30633472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63331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0304C-C6BA-4CFC-BE64-AB754264A2DC}">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1741</Words>
  <Characters>9926</Characters>
  <Lines>82</Lines>
  <Paragraphs>23</Paragraphs>
  <TotalTime>885</TotalTime>
  <ScaleCrop>false</ScaleCrop>
  <LinksUpToDate>false</LinksUpToDate>
  <CharactersWithSpaces>11644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Adiministraor</cp:lastModifiedBy>
  <cp:lastPrinted>2020-10-09T08:01:00Z</cp:lastPrinted>
  <dcterms:modified xsi:type="dcterms:W3CDTF">2020-10-23T08:19:01Z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