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lang w:eastAsia="zh-CN"/>
        </w:rPr>
        <w:t>阎良区企业退休人员社会化管理服务中心</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numPr>
          <w:ilvl w:val="0"/>
          <w:numId w:val="0"/>
        </w:numPr>
        <w:spacing w:line="360" w:lineRule="auto"/>
        <w:ind w:firstLine="640" w:firstLineChars="200"/>
        <w:rPr>
          <w:rFonts w:hint="eastAsia" w:ascii="楷体" w:hAnsi="楷体" w:eastAsia="楷体" w:cs="楷体"/>
          <w:b/>
          <w:bCs/>
          <w:color w:val="000000"/>
          <w:kern w:val="0"/>
          <w:sz w:val="32"/>
          <w:szCs w:val="32"/>
          <w:lang w:bidi="ar"/>
        </w:rPr>
      </w:pPr>
      <w:r>
        <w:rPr>
          <w:rFonts w:hint="eastAsia" w:ascii="仿宋_GB2312" w:hAnsi="仿宋_GB2312" w:eastAsia="仿宋_GB2312" w:cs="仿宋_GB2312"/>
          <w:sz w:val="32"/>
          <w:szCs w:val="32"/>
          <w:lang w:val="en-US" w:eastAsia="zh-CN"/>
        </w:rPr>
        <w:t>主要负责组织领导、统筹安排本地区管辖范围内的企业退管服务业务工作;对街道（镇）社区企业退管服务机构进行业务指导，组织检查和监督落实；对本地区管辖范围内的企业退管服务工作进行了登记和统计；将新接收的企业退休人员按户口所在地介绍到各街道社区退管服务机构；按规定管理使用好活动资金；筹划街道社区企业退休人员活动场所的建设等。</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内设机构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sz w:val="32"/>
          <w:szCs w:val="32"/>
          <w:lang w:val="en-US" w:eastAsia="zh-CN"/>
        </w:rPr>
      </w:pPr>
      <w:r>
        <w:rPr>
          <w:rFonts w:hint="eastAsia" w:ascii="楷体" w:hAnsi="楷体" w:eastAsia="楷体" w:cs="楷体"/>
          <w:b/>
          <w:bCs/>
          <w:color w:val="000000"/>
          <w:kern w:val="0"/>
          <w:sz w:val="32"/>
          <w:szCs w:val="32"/>
          <w:lang w:val="en-US" w:eastAsia="zh-CN" w:bidi="ar"/>
        </w:rPr>
        <w:t xml:space="preserve">    </w:t>
      </w:r>
      <w:r>
        <w:rPr>
          <w:rFonts w:hint="eastAsia" w:ascii="仿宋_GB2312" w:hAnsi="仿宋_GB2312" w:eastAsia="仿宋_GB2312" w:cs="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tbl>
      <w:tblPr>
        <w:tblStyle w:val="7"/>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69"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30"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66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3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阎良区企业退休人员社会化管理服务中心</w:t>
            </w:r>
          </w:p>
        </w:tc>
      </w:tr>
    </w:tbl>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lang w:eastAsia="zh-CN"/>
        </w:rPr>
      </w:pPr>
    </w:p>
    <w:p>
      <w:pPr>
        <w:widowControl/>
        <w:jc w:val="center"/>
        <w:rPr>
          <w:rFonts w:ascii="黑体" w:hAnsi="宋体" w:eastAsia="黑体"/>
          <w:color w:val="000000"/>
          <w:kern w:val="0"/>
          <w:sz w:val="44"/>
          <w:szCs w:val="44"/>
        </w:rPr>
      </w:pPr>
      <w:r>
        <w:rPr>
          <w:rFonts w:hint="eastAsia" w:ascii="仿宋_GB2312" w:hAnsi="仿宋_GB2312" w:eastAsia="仿宋_GB2312" w:cs="仿宋_GB2312"/>
          <w:sz w:val="32"/>
          <w:szCs w:val="32"/>
          <w:lang w:eastAsia="zh-CN"/>
        </w:rPr>
        <w:drawing>
          <wp:inline distT="0" distB="0" distL="114300" distR="114300">
            <wp:extent cx="3965575" cy="3020060"/>
            <wp:effectExtent l="4445" t="4445" r="11430"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jc w:val="both"/>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5579"/>
        <w:gridCol w:w="1321"/>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55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1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无政府性基金</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50.77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49.85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0.92</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67" w:type="dxa"/>
        <w:tblInd w:w="0" w:type="dxa"/>
        <w:tblLayout w:type="fixed"/>
        <w:tblCellMar>
          <w:top w:w="15" w:type="dxa"/>
          <w:left w:w="15" w:type="dxa"/>
          <w:bottom w:w="15" w:type="dxa"/>
          <w:right w:w="15" w:type="dxa"/>
        </w:tblCellMar>
      </w:tblPr>
      <w:tblGrid>
        <w:gridCol w:w="831"/>
        <w:gridCol w:w="990"/>
        <w:gridCol w:w="716"/>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8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831"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9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8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1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50.77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208</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社会保障和就业支出</w:t>
            </w:r>
          </w:p>
        </w:tc>
        <w:tc>
          <w:tcPr>
            <w:tcW w:w="71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49.85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49.85</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20801</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人力资源和社会保障管理事务</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40.70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40.70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2080101</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 xml:space="preserve">  行政运行</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40.70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40.70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20805</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行政事业单位离退休</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9.15</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9.15</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2080503</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 xml:space="preserve">  离退休人员管理机构</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5.83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5.83</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2080505</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 xml:space="preserve">  机关事业单位基本养老保险缴费支出</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3.32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3.32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210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卫生健康支出</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0.92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0.92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21011</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行政事业单位医疗</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0.92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0.92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2101101</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rPr>
              <w:t xml:space="preserve">  行政单位医疗</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0.92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0.92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rPr>
            </w:pPr>
          </w:p>
        </w:tc>
      </w:tr>
      <w:tr>
        <w:tblPrEx>
          <w:tblCellMar>
            <w:top w:w="15" w:type="dxa"/>
            <w:left w:w="15" w:type="dxa"/>
            <w:bottom w:w="15" w:type="dxa"/>
            <w:right w:w="15" w:type="dxa"/>
          </w:tblCellMar>
        </w:tblPrEx>
        <w:trPr>
          <w:trHeight w:val="4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46.49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45.58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20801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人力资源和社会保障管理事务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40.70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40.70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2080101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40.70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40.70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9.15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2080503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 xml:space="preserve">  离退休人员管理机构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5.83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3.32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0.92</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0.92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0.92</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0.92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0.92</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0.92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49.85</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49.85</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50.77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50.77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50.77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50.77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50.77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50.77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46.49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42.60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49.85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45.58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41.68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20801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人力资源和社会保障管理事务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40.70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40.70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38.36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2080101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40.70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40.70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38.36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9.15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2080503</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 xml:space="preserve">  离退休人员管理机构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5.83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3.32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0.92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0.92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szCs w:val="22"/>
                <w:lang w:val="en-US" w:eastAsia="zh-CN"/>
              </w:rPr>
              <w:t>0.92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46.49</w:t>
            </w:r>
          </w:p>
        </w:tc>
        <w:tc>
          <w:tcPr>
            <w:tcW w:w="1437"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42.60</w:t>
            </w:r>
          </w:p>
        </w:tc>
        <w:tc>
          <w:tcPr>
            <w:tcW w:w="1363"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3.90</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42.59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42.60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13.29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10.46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10.46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3.90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3.90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46.49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42.60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0.23</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0.18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黑体" w:hAnsi="宋体" w:eastAsia="黑体"/>
          <w:color w:val="000000"/>
          <w:kern w:val="0"/>
          <w:sz w:val="44"/>
          <w:szCs w:val="44"/>
          <w:lang w:eastAsia="zh-CN" w:bidi="ar"/>
        </w:rPr>
      </w:pPr>
      <w:r>
        <w:rPr>
          <w:rFonts w:hint="eastAsia" w:ascii="黑体" w:hAnsi="宋体" w:eastAsia="黑体"/>
          <w:color w:val="000000"/>
          <w:kern w:val="0"/>
          <w:sz w:val="44"/>
          <w:szCs w:val="44"/>
        </w:rPr>
        <w:t>第三部分 2019年度部门决算情况说明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spacing w:before="0" w:beforeLines="0" w:beforeAutospacing="0" w:after="0" w:afterLines="0" w:afterAutospacing="0" w:line="560" w:lineRule="exact"/>
        <w:ind w:firstLine="640" w:firstLineChars="200"/>
        <w:rPr>
          <w:rFonts w:hint="eastAsia"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201</w:t>
      </w:r>
      <w:r>
        <w:rPr>
          <w:rFonts w:hint="eastAsia" w:ascii="仿宋_GB2312" w:hAnsi="华文仿宋" w:eastAsia="仿宋_GB2312" w:cs="华文仿宋"/>
          <w:color w:val="auto"/>
          <w:sz w:val="32"/>
          <w:szCs w:val="32"/>
          <w:lang w:val="en-US" w:eastAsia="zh-CN"/>
        </w:rPr>
        <w:t>9</w:t>
      </w:r>
      <w:r>
        <w:rPr>
          <w:rFonts w:hint="eastAsia" w:ascii="仿宋_GB2312" w:hAnsi="华文仿宋" w:eastAsia="仿宋_GB2312" w:cs="华文仿宋"/>
          <w:color w:val="auto"/>
          <w:sz w:val="32"/>
          <w:szCs w:val="32"/>
        </w:rPr>
        <w:t>年度本年收入合计</w:t>
      </w:r>
      <w:r>
        <w:rPr>
          <w:rFonts w:hint="eastAsia" w:ascii="仿宋_GB2312" w:hAnsi="华文仿宋" w:eastAsia="仿宋_GB2312" w:cs="华文仿宋"/>
          <w:color w:val="auto"/>
          <w:sz w:val="32"/>
          <w:szCs w:val="32"/>
          <w:lang w:val="en-US" w:eastAsia="zh-CN"/>
        </w:rPr>
        <w:t>50.77</w:t>
      </w:r>
      <w:r>
        <w:rPr>
          <w:rFonts w:hint="eastAsia" w:ascii="仿宋_GB2312" w:hAnsi="华文仿宋" w:eastAsia="仿宋_GB2312" w:cs="华文仿宋"/>
          <w:color w:val="auto"/>
          <w:sz w:val="32"/>
          <w:szCs w:val="32"/>
        </w:rPr>
        <w:t>万元，较上年</w:t>
      </w:r>
      <w:r>
        <w:rPr>
          <w:rFonts w:hint="eastAsia" w:ascii="仿宋_GB2312" w:hAnsi="华文仿宋" w:eastAsia="仿宋_GB2312" w:cs="华文仿宋"/>
          <w:color w:val="auto"/>
          <w:sz w:val="32"/>
          <w:szCs w:val="32"/>
          <w:lang w:val="en-US" w:eastAsia="zh-CN"/>
        </w:rPr>
        <w:t>54.08万元减少3.31</w:t>
      </w:r>
      <w:r>
        <w:rPr>
          <w:rFonts w:hint="eastAsia" w:ascii="仿宋_GB2312" w:hAnsi="华文仿宋" w:eastAsia="仿宋_GB2312" w:cs="华文仿宋"/>
          <w:color w:val="auto"/>
          <w:sz w:val="32"/>
          <w:szCs w:val="32"/>
        </w:rPr>
        <w:t>万元，主要原因是</w:t>
      </w:r>
      <w:r>
        <w:rPr>
          <w:rFonts w:hint="eastAsia" w:ascii="仿宋_GB2312" w:hAnsi="华文仿宋" w:eastAsia="仿宋_GB2312" w:cs="华文仿宋"/>
          <w:color w:val="auto"/>
          <w:sz w:val="32"/>
          <w:szCs w:val="32"/>
          <w:lang w:eastAsia="zh-CN"/>
        </w:rPr>
        <w:t>人员减少</w:t>
      </w:r>
      <w:r>
        <w:rPr>
          <w:rFonts w:hint="eastAsia" w:ascii="仿宋_GB2312" w:hAnsi="华文仿宋" w:eastAsia="仿宋_GB2312" w:cs="华文仿宋"/>
          <w:color w:val="auto"/>
          <w:sz w:val="32"/>
          <w:szCs w:val="32"/>
          <w:lang w:val="en-US" w:eastAsia="zh-CN"/>
        </w:rPr>
        <w:t>,压减开支</w:t>
      </w:r>
      <w:r>
        <w:rPr>
          <w:rFonts w:hint="eastAsia" w:ascii="仿宋_GB2312" w:hAnsi="华文仿宋" w:eastAsia="仿宋_GB2312" w:cs="华文仿宋"/>
          <w:color w:val="auto"/>
          <w:sz w:val="32"/>
          <w:szCs w:val="32"/>
        </w:rPr>
        <w:t>。</w:t>
      </w:r>
    </w:p>
    <w:p>
      <w:pPr>
        <w:pStyle w:val="5"/>
        <w:spacing w:before="0" w:beforeLines="0" w:beforeAutospacing="0" w:after="0" w:afterLines="0" w:afterAutospacing="0" w:line="560" w:lineRule="exact"/>
        <w:ind w:firstLine="640" w:firstLineChars="200"/>
        <w:rPr>
          <w:rFonts w:ascii="仿宋_GB2312" w:hAnsi="仿宋" w:eastAsia="仿宋_GB2312"/>
          <w:sz w:val="32"/>
          <w:szCs w:val="32"/>
        </w:rPr>
      </w:pPr>
      <w:r>
        <w:rPr>
          <w:rFonts w:hint="eastAsia" w:ascii="仿宋_GB2312" w:hAnsi="华文仿宋" w:eastAsia="仿宋_GB2312" w:cs="华文仿宋"/>
          <w:color w:val="auto"/>
          <w:sz w:val="32"/>
          <w:szCs w:val="32"/>
        </w:rPr>
        <w:t>201</w:t>
      </w:r>
      <w:r>
        <w:rPr>
          <w:rFonts w:hint="eastAsia" w:ascii="仿宋_GB2312" w:hAnsi="华文仿宋" w:eastAsia="仿宋_GB2312" w:cs="华文仿宋"/>
          <w:color w:val="auto"/>
          <w:sz w:val="32"/>
          <w:szCs w:val="32"/>
          <w:lang w:val="en-US" w:eastAsia="zh-CN"/>
        </w:rPr>
        <w:t>9</w:t>
      </w:r>
      <w:r>
        <w:rPr>
          <w:rFonts w:hint="eastAsia" w:ascii="仿宋_GB2312" w:hAnsi="华文仿宋" w:eastAsia="仿宋_GB2312" w:cs="华文仿宋"/>
          <w:color w:val="auto"/>
          <w:sz w:val="32"/>
          <w:szCs w:val="32"/>
        </w:rPr>
        <w:t>年度本年</w:t>
      </w:r>
      <w:r>
        <w:rPr>
          <w:rFonts w:hint="eastAsia" w:ascii="仿宋_GB2312" w:hAnsi="华文仿宋" w:eastAsia="仿宋_GB2312" w:cs="华文仿宋"/>
          <w:color w:val="auto"/>
          <w:sz w:val="32"/>
          <w:szCs w:val="32"/>
          <w:lang w:eastAsia="zh-CN"/>
        </w:rPr>
        <w:t>支出</w:t>
      </w:r>
      <w:r>
        <w:rPr>
          <w:rFonts w:hint="eastAsia" w:ascii="仿宋_GB2312" w:hAnsi="华文仿宋" w:eastAsia="仿宋_GB2312" w:cs="华文仿宋"/>
          <w:color w:val="auto"/>
          <w:sz w:val="32"/>
          <w:szCs w:val="32"/>
        </w:rPr>
        <w:t>合计</w:t>
      </w:r>
      <w:r>
        <w:rPr>
          <w:rFonts w:hint="eastAsia" w:ascii="仿宋_GB2312" w:hAnsi="华文仿宋" w:eastAsia="仿宋_GB2312" w:cs="华文仿宋"/>
          <w:color w:val="auto"/>
          <w:sz w:val="32"/>
          <w:szCs w:val="32"/>
          <w:lang w:val="en-US" w:eastAsia="zh-CN"/>
        </w:rPr>
        <w:t>50.77</w:t>
      </w:r>
      <w:r>
        <w:rPr>
          <w:rFonts w:hint="eastAsia" w:ascii="仿宋_GB2312" w:hAnsi="华文仿宋" w:eastAsia="仿宋_GB2312" w:cs="华文仿宋"/>
          <w:color w:val="auto"/>
          <w:sz w:val="32"/>
          <w:szCs w:val="32"/>
        </w:rPr>
        <w:t>万元，较上年</w:t>
      </w:r>
      <w:r>
        <w:rPr>
          <w:rFonts w:hint="eastAsia" w:ascii="仿宋_GB2312" w:hAnsi="华文仿宋" w:eastAsia="仿宋_GB2312" w:cs="华文仿宋"/>
          <w:color w:val="auto"/>
          <w:sz w:val="32"/>
          <w:szCs w:val="32"/>
          <w:lang w:val="en-US" w:eastAsia="zh-CN"/>
        </w:rPr>
        <w:t>54.08万元减少3.31</w:t>
      </w:r>
      <w:r>
        <w:rPr>
          <w:rFonts w:hint="eastAsia" w:ascii="仿宋_GB2312" w:hAnsi="华文仿宋" w:eastAsia="仿宋_GB2312" w:cs="华文仿宋"/>
          <w:color w:val="auto"/>
          <w:sz w:val="32"/>
          <w:szCs w:val="32"/>
        </w:rPr>
        <w:t>万元，主要原因是</w:t>
      </w:r>
      <w:r>
        <w:rPr>
          <w:rFonts w:hint="eastAsia" w:ascii="仿宋_GB2312" w:hAnsi="华文仿宋" w:eastAsia="仿宋_GB2312" w:cs="华文仿宋"/>
          <w:color w:val="auto"/>
          <w:sz w:val="32"/>
          <w:szCs w:val="32"/>
          <w:lang w:eastAsia="zh-CN"/>
        </w:rPr>
        <w:t>人员减少，压减开支</w:t>
      </w:r>
      <w:r>
        <w:rPr>
          <w:rFonts w:hint="eastAsia" w:ascii="仿宋_GB2312" w:hAnsi="华文仿宋" w:eastAsia="仿宋_GB2312" w:cs="华文仿宋"/>
          <w:color w:val="auto"/>
          <w:sz w:val="32"/>
          <w:szCs w:val="32"/>
        </w:rPr>
        <w:t>。</w:t>
      </w:r>
    </w:p>
    <w:p>
      <w:pPr>
        <w:pStyle w:val="4"/>
        <w:rPr>
          <w:rFonts w:hint="eastAsia" w:eastAsia="方正仿宋简体"/>
          <w:lang w:eastAsia="zh-CN"/>
        </w:rPr>
      </w:pPr>
      <w:r>
        <w:rPr>
          <w:rFonts w:hint="eastAsia" w:eastAsia="方正仿宋简体"/>
          <w:lang w:eastAsia="zh-CN"/>
        </w:rPr>
        <w:drawing>
          <wp:anchor distT="0" distB="0" distL="114300" distR="114300" simplePos="0" relativeHeight="251665408" behindDoc="0" locked="0" layoutInCell="1" allowOverlap="1">
            <wp:simplePos x="0" y="0"/>
            <wp:positionH relativeFrom="column">
              <wp:posOffset>728345</wp:posOffset>
            </wp:positionH>
            <wp:positionV relativeFrom="paragraph">
              <wp:posOffset>90170</wp:posOffset>
            </wp:positionV>
            <wp:extent cx="4195445" cy="2658110"/>
            <wp:effectExtent l="4445" t="4445" r="10160" b="234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50.77</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50.77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58240" behindDoc="0" locked="0" layoutInCell="1" allowOverlap="1">
            <wp:simplePos x="0" y="0"/>
            <wp:positionH relativeFrom="column">
              <wp:posOffset>347345</wp:posOffset>
            </wp:positionH>
            <wp:positionV relativeFrom="paragraph">
              <wp:posOffset>-909955</wp:posOffset>
            </wp:positionV>
            <wp:extent cx="4738370" cy="2125980"/>
            <wp:effectExtent l="4445" t="4445" r="19685" b="222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2019年度支出合计50.77万元，其中：基本支出46.49万元，占91.57%；项目支出4.28万元，占8.43%</w:t>
      </w:r>
      <w:r>
        <w:rPr>
          <w:rFonts w:hint="eastAsia" w:ascii="仿宋_GB2312" w:hAnsi="仿宋" w:eastAsia="仿宋_GB2312"/>
          <w:sz w:val="32"/>
          <w:szCs w:val="32"/>
          <w:lang w:eastAsia="zh-CN"/>
        </w:rPr>
        <w:t>；经营支出</w:t>
      </w:r>
      <w:r>
        <w:rPr>
          <w:rFonts w:hint="eastAsia" w:ascii="仿宋_GB2312" w:hAnsi="仿宋" w:eastAsia="仿宋_GB2312"/>
          <w:sz w:val="32"/>
          <w:szCs w:val="32"/>
          <w:lang w:val="en-US" w:eastAsia="zh-CN"/>
        </w:rPr>
        <w:t>0万元，占0%</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59264" behindDoc="0" locked="0" layoutInCell="1" allowOverlap="1">
            <wp:simplePos x="0" y="0"/>
            <wp:positionH relativeFrom="column">
              <wp:posOffset>391795</wp:posOffset>
            </wp:positionH>
            <wp:positionV relativeFrom="paragraph">
              <wp:posOffset>231140</wp:posOffset>
            </wp:positionV>
            <wp:extent cx="4888865" cy="2486660"/>
            <wp:effectExtent l="4445" t="4445" r="21590" b="2349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2019年度</w:t>
      </w:r>
      <w:r>
        <w:rPr>
          <w:rFonts w:hint="eastAsia" w:ascii="仿宋_GB2312" w:hAnsi="仿宋" w:eastAsia="仿宋_GB2312"/>
          <w:sz w:val="32"/>
          <w:szCs w:val="32"/>
          <w:lang w:eastAsia="zh-CN"/>
        </w:rPr>
        <w:t>财政拨款</w:t>
      </w:r>
      <w:r>
        <w:rPr>
          <w:rFonts w:hint="eastAsia" w:ascii="仿宋_GB2312" w:hAnsi="仿宋" w:eastAsia="仿宋_GB2312"/>
          <w:sz w:val="32"/>
          <w:szCs w:val="32"/>
        </w:rPr>
        <w:t>收入合计50.77万元，较上年54.08万元减少3.31万元，主要原因是人员减少</w:t>
      </w:r>
      <w:r>
        <w:rPr>
          <w:rFonts w:hint="eastAsia" w:ascii="仿宋_GB2312" w:hAnsi="仿宋" w:eastAsia="仿宋_GB2312"/>
          <w:sz w:val="32"/>
          <w:szCs w:val="32"/>
          <w:lang w:eastAsia="zh-CN"/>
        </w:rPr>
        <w:t>，压减开支</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2019年度财政拨款</w:t>
      </w:r>
      <w:r>
        <w:rPr>
          <w:rFonts w:hint="eastAsia" w:ascii="仿宋_GB2312" w:hAnsi="仿宋" w:eastAsia="仿宋_GB2312"/>
          <w:sz w:val="32"/>
          <w:szCs w:val="32"/>
          <w:lang w:eastAsia="zh-CN"/>
        </w:rPr>
        <w:t>支出</w:t>
      </w:r>
      <w:r>
        <w:rPr>
          <w:rFonts w:hint="eastAsia" w:ascii="仿宋_GB2312" w:hAnsi="仿宋" w:eastAsia="仿宋_GB2312"/>
          <w:sz w:val="32"/>
          <w:szCs w:val="32"/>
        </w:rPr>
        <w:t>合计50.77万元，较上年54.08万元减少3.31万元，主要原因是人员减少</w:t>
      </w:r>
      <w:r>
        <w:rPr>
          <w:rFonts w:hint="eastAsia" w:ascii="仿宋_GB2312" w:hAnsi="仿宋" w:eastAsia="仿宋_GB2312"/>
          <w:sz w:val="32"/>
          <w:szCs w:val="32"/>
          <w:lang w:eastAsia="zh-CN"/>
        </w:rPr>
        <w:t>，压减开支</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华文仿宋" w:eastAsia="仿宋_GB2312" w:cs="华文仿宋"/>
          <w:sz w:val="32"/>
          <w:szCs w:val="32"/>
        </w:rPr>
        <w:drawing>
          <wp:anchor distT="0" distB="0" distL="114300" distR="114300" simplePos="0" relativeHeight="251664384" behindDoc="0" locked="0" layoutInCell="1" allowOverlap="1">
            <wp:simplePos x="0" y="0"/>
            <wp:positionH relativeFrom="column">
              <wp:posOffset>80645</wp:posOffset>
            </wp:positionH>
            <wp:positionV relativeFrom="paragraph">
              <wp:posOffset>314960</wp:posOffset>
            </wp:positionV>
            <wp:extent cx="5274310" cy="1971675"/>
            <wp:effectExtent l="4445" t="4445" r="17145"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楷体_GB2312" w:hAnsi="宋体" w:eastAsia="楷体_GB2312" w:cs="楷体_GB2312"/>
          <w:b/>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50.77</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3.31</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6</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eastAsia="zh-CN" w:bidi="ar"/>
        </w:rPr>
        <w:t>人员减少，压减开支</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r>
        <w:rPr>
          <w:rFonts w:hint="eastAsia" w:ascii="仿宋_GB2312" w:hAnsi="华文仿宋" w:eastAsia="仿宋_GB2312" w:cs="华文仿宋"/>
          <w:sz w:val="32"/>
          <w:szCs w:val="32"/>
        </w:rPr>
        <w:drawing>
          <wp:anchor distT="0" distB="0" distL="114300" distR="114300" simplePos="0" relativeHeight="251672576" behindDoc="0" locked="0" layoutInCell="1" allowOverlap="1">
            <wp:simplePos x="0" y="0"/>
            <wp:positionH relativeFrom="column">
              <wp:posOffset>68580</wp:posOffset>
            </wp:positionH>
            <wp:positionV relativeFrom="page">
              <wp:posOffset>5636895</wp:posOffset>
            </wp:positionV>
            <wp:extent cx="5274310" cy="1971675"/>
            <wp:effectExtent l="4445" t="4445" r="17145" b="508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34.14</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50.77万元，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50.77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其中</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b/>
          <w:bCs/>
          <w:color w:val="000000"/>
          <w:kern w:val="0"/>
          <w:sz w:val="32"/>
          <w:szCs w:val="32"/>
          <w:lang w:val="en-US" w:eastAsia="zh-CN" w:bidi="ar"/>
        </w:rPr>
        <w:t>1.社会保障和就业支出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eastAsia="zh-CN"/>
        </w:rPr>
        <w:t>人力资源和社会保障管理</w:t>
      </w:r>
      <w:r>
        <w:rPr>
          <w:rFonts w:ascii="仿宋_GB2312" w:hAnsi="宋体" w:eastAsia="仿宋_GB2312" w:cs="仿宋_GB2312"/>
          <w:b/>
          <w:color w:val="000000"/>
          <w:kern w:val="0"/>
          <w:szCs w:val="32"/>
        </w:rPr>
        <w:t>事务（款）行政运行（项）</w:t>
      </w:r>
      <w:r>
        <w:rPr>
          <w:rFonts w:hint="eastAsia" w:ascii="仿宋_GB2312" w:hAnsi="宋体" w:eastAsia="仿宋_GB2312" w:cs="仿宋_GB2312"/>
          <w:color w:val="000000"/>
          <w:kern w:val="0"/>
          <w:sz w:val="32"/>
          <w:szCs w:val="32"/>
          <w:lang w:eastAsia="zh-CN" w:bidi="ar"/>
        </w:rPr>
        <w:t>。年初预算为</w:t>
      </w:r>
      <w:r>
        <w:rPr>
          <w:rFonts w:hint="eastAsia" w:ascii="仿宋_GB2312" w:hAnsi="宋体" w:eastAsia="仿宋_GB2312" w:cs="仿宋_GB2312"/>
          <w:color w:val="000000"/>
          <w:kern w:val="0"/>
          <w:sz w:val="32"/>
          <w:szCs w:val="32"/>
          <w:lang w:val="en-US" w:eastAsia="zh-CN" w:bidi="ar"/>
        </w:rPr>
        <w:t>28.08</w:t>
      </w:r>
      <w:r>
        <w:rPr>
          <w:rFonts w:hint="eastAsia" w:ascii="仿宋_GB2312" w:hAnsi="宋体" w:eastAsia="仿宋_GB2312" w:cs="仿宋_GB2312"/>
          <w:color w:val="000000"/>
          <w:kern w:val="0"/>
          <w:sz w:val="32"/>
          <w:szCs w:val="32"/>
          <w:lang w:eastAsia="zh-CN" w:bidi="ar"/>
        </w:rPr>
        <w:t>万元，调整预算数为</w:t>
      </w:r>
      <w:r>
        <w:rPr>
          <w:rFonts w:hint="eastAsia" w:ascii="仿宋_GB2312" w:hAnsi="宋体" w:eastAsia="仿宋_GB2312" w:cs="仿宋_GB2312"/>
          <w:color w:val="000000"/>
          <w:kern w:val="0"/>
          <w:sz w:val="32"/>
          <w:szCs w:val="32"/>
          <w:lang w:val="en-US" w:eastAsia="zh-CN" w:bidi="ar"/>
        </w:rPr>
        <w:t>40.7万元，</w:t>
      </w:r>
      <w:r>
        <w:rPr>
          <w:rFonts w:hint="eastAsia" w:ascii="仿宋_GB2312" w:hAnsi="宋体" w:eastAsia="仿宋_GB2312" w:cs="仿宋_GB2312"/>
          <w:color w:val="000000"/>
          <w:kern w:val="0"/>
          <w:sz w:val="32"/>
          <w:szCs w:val="32"/>
          <w:lang w:eastAsia="zh-CN" w:bidi="ar"/>
        </w:rPr>
        <w:t>支出决算为</w:t>
      </w:r>
      <w:r>
        <w:rPr>
          <w:rFonts w:hint="eastAsia" w:ascii="仿宋_GB2312" w:hAnsi="宋体" w:eastAsia="仿宋_GB2312" w:cs="仿宋_GB2312"/>
          <w:color w:val="000000"/>
          <w:kern w:val="0"/>
          <w:sz w:val="32"/>
          <w:szCs w:val="32"/>
          <w:lang w:val="en-US" w:eastAsia="zh-CN" w:bidi="ar"/>
        </w:rPr>
        <w:t>40.7</w:t>
      </w:r>
      <w:r>
        <w:rPr>
          <w:rFonts w:hint="eastAsia" w:ascii="仿宋_GB2312" w:hAnsi="宋体" w:eastAsia="仿宋_GB2312" w:cs="仿宋_GB2312"/>
          <w:color w:val="000000"/>
          <w:kern w:val="0"/>
          <w:sz w:val="32"/>
          <w:szCs w:val="32"/>
          <w:lang w:eastAsia="zh-CN" w:bidi="ar"/>
        </w:rPr>
        <w:t>万元，完成年初预算的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Cs w:val="32"/>
        </w:rPr>
      </w:pPr>
      <w:r>
        <w:rPr>
          <w:rFonts w:hint="eastAsia" w:ascii="仿宋_GB2312" w:hAnsi="宋体" w:eastAsia="仿宋_GB2312" w:cs="仿宋_GB2312"/>
          <w:b/>
          <w:color w:val="000000"/>
          <w:kern w:val="0"/>
          <w:szCs w:val="32"/>
          <w:lang w:val="en-US" w:eastAsia="zh-CN"/>
        </w:rPr>
        <w:t>2.</w:t>
      </w:r>
      <w:r>
        <w:rPr>
          <w:rFonts w:hint="eastAsia" w:ascii="仿宋_GB2312" w:hAnsi="宋体" w:eastAsia="仿宋_GB2312" w:cs="仿宋_GB2312"/>
          <w:b/>
          <w:bCs/>
          <w:color w:val="000000"/>
          <w:kern w:val="0"/>
          <w:sz w:val="32"/>
          <w:szCs w:val="32"/>
          <w:lang w:val="en-US" w:eastAsia="zh-CN" w:bidi="ar"/>
        </w:rPr>
        <w:t>社会保障和就业支出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eastAsia="zh-CN"/>
        </w:rPr>
        <w:t>行政事业单位离退休</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lang w:val="en-US" w:eastAsia="zh-CN"/>
        </w:rPr>
        <w:t>离退休人员管理机构</w:t>
      </w:r>
      <w:r>
        <w:rPr>
          <w:rFonts w:ascii="仿宋_GB2312" w:hAnsi="宋体" w:eastAsia="仿宋_GB2312" w:cs="仿宋_GB2312"/>
          <w:b/>
          <w:color w:val="000000"/>
          <w:kern w:val="0"/>
          <w:szCs w:val="32"/>
        </w:rPr>
        <w:t>（项）</w:t>
      </w:r>
      <w:r>
        <w:rPr>
          <w:rFonts w:hint="eastAsia" w:ascii="仿宋_GB2312" w:hAnsi="宋体" w:eastAsia="仿宋_GB2312" w:cs="仿宋_GB2312"/>
          <w:b/>
          <w:color w:val="000000"/>
          <w:kern w:val="0"/>
          <w:szCs w:val="32"/>
        </w:rPr>
        <w:t>。</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6.06</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5.83万元，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lang w:val="en-US" w:eastAsia="zh-CN"/>
        </w:rPr>
        <w:t>5.83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Cs w:val="32"/>
        </w:rPr>
      </w:pPr>
      <w:r>
        <w:rPr>
          <w:rFonts w:hint="eastAsia" w:ascii="仿宋_GB2312" w:hAnsi="宋体" w:eastAsia="仿宋_GB2312" w:cs="仿宋_GB2312"/>
          <w:b/>
          <w:color w:val="000000"/>
          <w:kern w:val="0"/>
          <w:szCs w:val="32"/>
          <w:lang w:val="en-US" w:eastAsia="zh-CN"/>
        </w:rPr>
        <w:t>3.</w:t>
      </w:r>
      <w:r>
        <w:rPr>
          <w:rFonts w:hint="eastAsia" w:ascii="仿宋_GB2312" w:hAnsi="宋体" w:eastAsia="仿宋_GB2312" w:cs="仿宋_GB2312"/>
          <w:b/>
          <w:bCs/>
          <w:color w:val="000000"/>
          <w:kern w:val="0"/>
          <w:sz w:val="32"/>
          <w:szCs w:val="32"/>
          <w:lang w:val="en-US" w:eastAsia="zh-CN" w:bidi="ar"/>
        </w:rPr>
        <w:t>社会保障和就业支出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eastAsia="zh-CN"/>
        </w:rPr>
        <w:t>行政事业单位离退休</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lang w:val="en-US" w:eastAsia="zh-CN"/>
        </w:rPr>
        <w:t>机关事业单位基本养老保险缴费支出</w:t>
      </w:r>
      <w:r>
        <w:rPr>
          <w:rFonts w:ascii="仿宋_GB2312" w:hAnsi="宋体" w:eastAsia="仿宋_GB2312" w:cs="仿宋_GB2312"/>
          <w:b/>
          <w:color w:val="000000"/>
          <w:kern w:val="0"/>
          <w:szCs w:val="32"/>
        </w:rPr>
        <w:t>（项）</w:t>
      </w:r>
      <w:r>
        <w:rPr>
          <w:rFonts w:hint="eastAsia" w:ascii="仿宋_GB2312" w:hAnsi="宋体" w:eastAsia="仿宋_GB2312" w:cs="仿宋_GB2312"/>
          <w:b/>
          <w:color w:val="000000"/>
          <w:kern w:val="0"/>
          <w:szCs w:val="32"/>
        </w:rPr>
        <w:t>。</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3.32万元，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lang w:val="en-US" w:eastAsia="zh-CN"/>
        </w:rPr>
        <w:t>3.32</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Cs w:val="32"/>
          <w:lang w:eastAsia="zh-CN"/>
        </w:rPr>
      </w:pPr>
      <w:r>
        <w:rPr>
          <w:rFonts w:hint="eastAsia" w:ascii="仿宋_GB2312" w:hAnsi="宋体" w:eastAsia="仿宋_GB2312" w:cs="仿宋_GB2312"/>
          <w:b/>
          <w:color w:val="000000"/>
          <w:kern w:val="0"/>
          <w:szCs w:val="32"/>
          <w:lang w:val="en-US" w:eastAsia="zh-CN"/>
        </w:rPr>
        <w:t>4.</w:t>
      </w:r>
      <w:r>
        <w:rPr>
          <w:rFonts w:hint="eastAsia" w:ascii="仿宋_GB2312" w:hAnsi="宋体" w:eastAsia="仿宋_GB2312" w:cs="仿宋_GB2312"/>
          <w:b/>
          <w:bCs/>
          <w:color w:val="000000"/>
          <w:kern w:val="0"/>
          <w:sz w:val="32"/>
          <w:szCs w:val="32"/>
          <w:lang w:val="en-US" w:eastAsia="zh-CN" w:bidi="ar"/>
        </w:rPr>
        <w:t>卫生健康支出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val="en-US" w:eastAsia="zh-CN"/>
        </w:rPr>
        <w:t>行政事业单位医疗</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lang w:val="en-US" w:eastAsia="zh-CN"/>
        </w:rPr>
        <w:t>行政单位医疗</w:t>
      </w:r>
      <w:r>
        <w:rPr>
          <w:rFonts w:ascii="仿宋_GB2312" w:hAnsi="宋体" w:eastAsia="仿宋_GB2312" w:cs="仿宋_GB2312"/>
          <w:b/>
          <w:color w:val="000000"/>
          <w:kern w:val="0"/>
          <w:szCs w:val="32"/>
        </w:rPr>
        <w:t>（项）</w:t>
      </w:r>
      <w:r>
        <w:rPr>
          <w:rFonts w:hint="eastAsia" w:ascii="仿宋_GB2312" w:hAnsi="宋体" w:eastAsia="仿宋_GB2312" w:cs="仿宋_GB2312"/>
          <w:b/>
          <w:color w:val="000000"/>
          <w:kern w:val="0"/>
          <w:szCs w:val="32"/>
        </w:rPr>
        <w:t>。</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0.92万元，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lang w:val="en-US" w:eastAsia="zh-CN"/>
        </w:rPr>
        <w:t>0.92</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46.49</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42.6</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3.9</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b w:val="0"/>
          <w:bCs w:val="0"/>
          <w:color w:val="000000"/>
          <w:kern w:val="0"/>
          <w:sz w:val="32"/>
          <w:szCs w:val="32"/>
          <w:lang w:val="en-US" w:eastAsia="zh-CN" w:bidi="ar"/>
        </w:rPr>
        <w:t>42.6</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，主要包括基本工资</w:t>
      </w:r>
      <w:r>
        <w:rPr>
          <w:rFonts w:hint="eastAsia" w:ascii="仿宋_GB2312" w:hAnsi="宋体" w:eastAsia="仿宋_GB2312" w:cs="仿宋_GB2312"/>
          <w:color w:val="000000"/>
          <w:kern w:val="0"/>
          <w:sz w:val="32"/>
          <w:szCs w:val="32"/>
          <w:lang w:val="en-US" w:eastAsia="zh-CN" w:bidi="ar"/>
        </w:rPr>
        <w:t>13.29</w:t>
      </w:r>
      <w:r>
        <w:rPr>
          <w:rFonts w:hint="eastAsia" w:ascii="仿宋_GB2312" w:hAnsi="宋体" w:eastAsia="仿宋_GB2312" w:cs="仿宋_GB2312"/>
          <w:color w:val="000000"/>
          <w:kern w:val="0"/>
          <w:sz w:val="32"/>
          <w:szCs w:val="32"/>
          <w:lang w:bidi="ar"/>
        </w:rPr>
        <w:t>万元，津贴补贴</w:t>
      </w:r>
      <w:r>
        <w:rPr>
          <w:rFonts w:hint="eastAsia" w:ascii="仿宋_GB2312" w:hAnsi="宋体" w:eastAsia="仿宋_GB2312" w:cs="仿宋_GB2312"/>
          <w:color w:val="000000"/>
          <w:kern w:val="0"/>
          <w:sz w:val="32"/>
          <w:szCs w:val="32"/>
          <w:lang w:val="en-US" w:eastAsia="zh-CN" w:bidi="ar"/>
        </w:rPr>
        <w:t>9.1</w:t>
      </w:r>
      <w:r>
        <w:rPr>
          <w:rFonts w:hint="eastAsia" w:ascii="仿宋_GB2312" w:hAnsi="宋体" w:eastAsia="仿宋_GB2312" w:cs="仿宋_GB2312"/>
          <w:color w:val="000000"/>
          <w:kern w:val="0"/>
          <w:sz w:val="32"/>
          <w:szCs w:val="32"/>
          <w:lang w:bidi="ar"/>
        </w:rPr>
        <w:t>万元，奖金</w:t>
      </w:r>
      <w:r>
        <w:rPr>
          <w:rFonts w:hint="eastAsia" w:ascii="仿宋_GB2312" w:hAnsi="宋体" w:eastAsia="仿宋_GB2312" w:cs="仿宋_GB2312"/>
          <w:color w:val="000000"/>
          <w:kern w:val="0"/>
          <w:sz w:val="32"/>
          <w:szCs w:val="32"/>
          <w:lang w:val="en-US" w:eastAsia="zh-CN" w:bidi="ar"/>
        </w:rPr>
        <w:t>10.46</w:t>
      </w:r>
      <w:r>
        <w:rPr>
          <w:rFonts w:hint="eastAsia" w:ascii="仿宋_GB2312" w:hAnsi="宋体" w:eastAsia="仿宋_GB2312" w:cs="仿宋_GB2312"/>
          <w:color w:val="000000"/>
          <w:kern w:val="0"/>
          <w:sz w:val="32"/>
          <w:szCs w:val="32"/>
          <w:lang w:bidi="ar"/>
        </w:rPr>
        <w:t>万元，机关事业单位基本养老保险缴费</w:t>
      </w:r>
      <w:r>
        <w:rPr>
          <w:rFonts w:hint="eastAsia" w:ascii="仿宋_GB2312" w:hAnsi="宋体" w:eastAsia="仿宋_GB2312" w:cs="仿宋_GB2312"/>
          <w:color w:val="000000"/>
          <w:kern w:val="0"/>
          <w:sz w:val="32"/>
          <w:szCs w:val="32"/>
          <w:lang w:val="en-US" w:eastAsia="zh-CN" w:bidi="ar"/>
        </w:rPr>
        <w:t>3.32</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职业年金缴费</w:t>
      </w:r>
      <w:r>
        <w:rPr>
          <w:rFonts w:hint="eastAsia" w:ascii="仿宋_GB2312" w:hAnsi="宋体" w:eastAsia="仿宋_GB2312" w:cs="仿宋_GB2312"/>
          <w:color w:val="000000"/>
          <w:kern w:val="0"/>
          <w:sz w:val="32"/>
          <w:szCs w:val="32"/>
          <w:lang w:val="en-US" w:eastAsia="zh-CN" w:bidi="ar"/>
        </w:rPr>
        <w:t>0.99万元，</w:t>
      </w:r>
      <w:r>
        <w:rPr>
          <w:rFonts w:hint="eastAsia" w:ascii="仿宋_GB2312" w:hAnsi="宋体" w:eastAsia="仿宋_GB2312" w:cs="仿宋_GB2312"/>
          <w:color w:val="000000"/>
          <w:kern w:val="0"/>
          <w:sz w:val="32"/>
          <w:szCs w:val="32"/>
          <w:lang w:bidi="ar"/>
        </w:rPr>
        <w:t>职工基本医疗保险缴费</w:t>
      </w:r>
      <w:r>
        <w:rPr>
          <w:rFonts w:hint="eastAsia" w:ascii="仿宋_GB2312" w:hAnsi="宋体" w:eastAsia="仿宋_GB2312" w:cs="仿宋_GB2312"/>
          <w:color w:val="000000"/>
          <w:kern w:val="0"/>
          <w:sz w:val="32"/>
          <w:szCs w:val="32"/>
          <w:lang w:val="en-US" w:eastAsia="zh-CN" w:bidi="ar"/>
        </w:rPr>
        <w:t>1.07</w:t>
      </w:r>
      <w:r>
        <w:rPr>
          <w:rFonts w:hint="eastAsia" w:ascii="仿宋_GB2312" w:hAnsi="宋体" w:eastAsia="仿宋_GB2312" w:cs="仿宋_GB2312"/>
          <w:color w:val="000000"/>
          <w:kern w:val="0"/>
          <w:sz w:val="32"/>
          <w:szCs w:val="32"/>
          <w:lang w:bidi="ar"/>
        </w:rPr>
        <w:t>万元，住房公积金</w:t>
      </w:r>
      <w:r>
        <w:rPr>
          <w:rFonts w:hint="eastAsia" w:ascii="仿宋_GB2312" w:hAnsi="宋体" w:eastAsia="仿宋_GB2312" w:cs="仿宋_GB2312"/>
          <w:color w:val="000000"/>
          <w:kern w:val="0"/>
          <w:sz w:val="32"/>
          <w:szCs w:val="32"/>
          <w:lang w:val="en-US" w:eastAsia="zh-CN" w:bidi="ar"/>
        </w:rPr>
        <w:t>4.36</w:t>
      </w:r>
      <w:r>
        <w:rPr>
          <w:rFonts w:hint="eastAsia" w:ascii="仿宋_GB2312" w:hAnsi="宋体" w:eastAsia="仿宋_GB2312" w:cs="仿宋_GB2312"/>
          <w:color w:val="000000"/>
          <w:kern w:val="0"/>
          <w:sz w:val="32"/>
          <w:szCs w:val="32"/>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hint="eastAsia"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3.9</w:t>
      </w:r>
      <w:r>
        <w:rPr>
          <w:rFonts w:hint="eastAsia"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0.37</w:t>
      </w:r>
      <w:r>
        <w:rPr>
          <w:rFonts w:hint="eastAsia" w:ascii="仿宋_GB2312" w:hAnsi="宋体" w:eastAsia="仿宋_GB2312" w:cs="仿宋_GB2312"/>
          <w:color w:val="000000"/>
          <w:kern w:val="0"/>
          <w:sz w:val="32"/>
          <w:szCs w:val="32"/>
          <w:lang w:bidi="ar"/>
        </w:rPr>
        <w:t>万元，印刷费</w:t>
      </w:r>
      <w:r>
        <w:rPr>
          <w:rFonts w:hint="eastAsia" w:ascii="仿宋_GB2312" w:hAnsi="宋体" w:eastAsia="仿宋_GB2312" w:cs="仿宋_GB2312"/>
          <w:color w:val="000000"/>
          <w:kern w:val="0"/>
          <w:sz w:val="32"/>
          <w:szCs w:val="32"/>
          <w:lang w:val="en-US" w:eastAsia="zh-CN" w:bidi="ar"/>
        </w:rPr>
        <w:t>0.23</w:t>
      </w:r>
      <w:r>
        <w:rPr>
          <w:rFonts w:hint="eastAsia" w:ascii="仿宋_GB2312" w:hAnsi="宋体" w:eastAsia="仿宋_GB2312" w:cs="仿宋_GB2312"/>
          <w:color w:val="000000"/>
          <w:kern w:val="0"/>
          <w:sz w:val="32"/>
          <w:szCs w:val="32"/>
          <w:lang w:bidi="ar"/>
        </w:rPr>
        <w:t>万元，邮电费</w:t>
      </w:r>
      <w:r>
        <w:rPr>
          <w:rFonts w:hint="eastAsia" w:ascii="仿宋_GB2312" w:hAnsi="宋体" w:eastAsia="仿宋_GB2312" w:cs="仿宋_GB2312"/>
          <w:color w:val="000000"/>
          <w:kern w:val="0"/>
          <w:sz w:val="32"/>
          <w:szCs w:val="32"/>
          <w:lang w:val="en-US" w:eastAsia="zh-CN" w:bidi="ar"/>
        </w:rPr>
        <w:t>0.27</w:t>
      </w:r>
      <w:r>
        <w:rPr>
          <w:rFonts w:hint="eastAsia" w:ascii="仿宋_GB2312" w:hAnsi="宋体" w:eastAsia="仿宋_GB2312" w:cs="仿宋_GB2312"/>
          <w:color w:val="000000"/>
          <w:kern w:val="0"/>
          <w:sz w:val="32"/>
          <w:szCs w:val="32"/>
          <w:lang w:bidi="ar"/>
        </w:rPr>
        <w:t>万元，差旅费</w:t>
      </w:r>
      <w:r>
        <w:rPr>
          <w:rFonts w:hint="eastAsia" w:ascii="仿宋_GB2312" w:hAnsi="宋体" w:eastAsia="仿宋_GB2312" w:cs="仿宋_GB2312"/>
          <w:color w:val="000000"/>
          <w:kern w:val="0"/>
          <w:sz w:val="32"/>
          <w:szCs w:val="32"/>
          <w:lang w:val="en-US" w:eastAsia="zh-CN" w:bidi="ar"/>
        </w:rPr>
        <w:t>0.16</w:t>
      </w:r>
      <w:r>
        <w:rPr>
          <w:rFonts w:hint="eastAsia" w:ascii="仿宋_GB2312" w:hAnsi="宋体" w:eastAsia="仿宋_GB2312" w:cs="仿宋_GB2312"/>
          <w:color w:val="000000"/>
          <w:kern w:val="0"/>
          <w:sz w:val="32"/>
          <w:szCs w:val="32"/>
          <w:lang w:bidi="ar"/>
        </w:rPr>
        <w:t>万元，维修(护)费</w:t>
      </w:r>
      <w:r>
        <w:rPr>
          <w:rFonts w:hint="eastAsia" w:ascii="仿宋_GB2312" w:hAnsi="宋体" w:eastAsia="仿宋_GB2312" w:cs="仿宋_GB2312"/>
          <w:color w:val="000000"/>
          <w:kern w:val="0"/>
          <w:sz w:val="32"/>
          <w:szCs w:val="32"/>
          <w:lang w:val="en-US" w:eastAsia="zh-CN" w:bidi="ar"/>
        </w:rPr>
        <w:t>0.22</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工会经费</w:t>
      </w:r>
      <w:r>
        <w:rPr>
          <w:rFonts w:hint="eastAsia" w:ascii="仿宋_GB2312" w:hAnsi="宋体" w:eastAsia="仿宋_GB2312" w:cs="仿宋_GB2312"/>
          <w:color w:val="000000"/>
          <w:kern w:val="0"/>
          <w:sz w:val="32"/>
          <w:szCs w:val="32"/>
          <w:lang w:val="en-US" w:eastAsia="zh-CN" w:bidi="ar"/>
        </w:rPr>
        <w:t>0.31万元，</w:t>
      </w:r>
      <w:r>
        <w:rPr>
          <w:rFonts w:hint="eastAsia" w:ascii="仿宋_GB2312" w:hAnsi="宋体" w:eastAsia="仿宋_GB2312" w:cs="仿宋_GB2312"/>
          <w:color w:val="000000"/>
          <w:kern w:val="0"/>
          <w:sz w:val="32"/>
          <w:szCs w:val="32"/>
          <w:lang w:bidi="ar"/>
        </w:rPr>
        <w:t>其他交通费用</w:t>
      </w:r>
      <w:r>
        <w:rPr>
          <w:rFonts w:hint="eastAsia" w:ascii="仿宋_GB2312" w:hAnsi="宋体" w:eastAsia="仿宋_GB2312" w:cs="仿宋_GB2312"/>
          <w:color w:val="000000"/>
          <w:kern w:val="0"/>
          <w:sz w:val="32"/>
          <w:szCs w:val="32"/>
          <w:lang w:val="en-US" w:eastAsia="zh-CN" w:bidi="ar"/>
        </w:rPr>
        <w:t>2.34</w:t>
      </w:r>
      <w:r>
        <w:rPr>
          <w:rFonts w:hint="eastAsia" w:ascii="仿宋_GB2312" w:hAnsi="宋体" w:eastAsia="仿宋_GB2312" w:cs="仿宋_GB2312"/>
          <w:color w:val="000000"/>
          <w:kern w:val="0"/>
          <w:sz w:val="32"/>
          <w:szCs w:val="32"/>
          <w:lang w:bidi="ar"/>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0.18</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其中公务接待费支出预算为</w:t>
      </w:r>
      <w:r>
        <w:rPr>
          <w:rFonts w:hint="eastAsia" w:ascii="仿宋_GB2312" w:hAnsi="宋体" w:eastAsia="仿宋_GB2312" w:cs="仿宋_GB2312"/>
          <w:color w:val="000000"/>
          <w:kern w:val="0"/>
          <w:sz w:val="32"/>
          <w:szCs w:val="32"/>
          <w:lang w:val="en-US" w:eastAsia="zh-CN" w:bidi="ar"/>
        </w:rPr>
        <w:t>0.18万元，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0.18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未产生公务接待费支出</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持平，主要原因无因公出国（境）情况</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持平，主要原因无公务车辆购置</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 xml:space="preserve"> 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持平，主要原因是无公务用车。</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0.18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减少</w:t>
      </w:r>
      <w:r>
        <w:rPr>
          <w:rFonts w:hint="eastAsia" w:ascii="仿宋_GB2312" w:hAnsi="宋体" w:eastAsia="仿宋_GB2312" w:cs="仿宋_GB2312"/>
          <w:color w:val="000000"/>
          <w:kern w:val="0"/>
          <w:sz w:val="32"/>
          <w:szCs w:val="32"/>
          <w:lang w:val="en-US" w:eastAsia="zh-CN" w:bidi="ar"/>
        </w:rPr>
        <w:t>0.18万元</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无公务接待</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持平，主要原因是无培训费支出</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0.05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0.05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2019年度无重大会议</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hint="eastAsia" w:ascii="仿宋_GB2312" w:hAnsi="仿宋_GB2312" w:eastAsia="仿宋_GB2312" w:cs="仿宋_GB2312"/>
          <w:sz w:val="32"/>
          <w:szCs w:val="32"/>
          <w:lang w:eastAsia="zh-CN"/>
        </w:rPr>
        <w:t>，分别是举办企业退休人员大型文体娱乐活动、节日慰问走访困难退休人员，</w:t>
      </w:r>
      <w:r>
        <w:rPr>
          <w:rFonts w:ascii="仿宋_GB2312" w:hAnsi="仿宋_GB2312" w:eastAsia="仿宋_GB2312" w:cs="仿宋_GB2312"/>
          <w:sz w:val="32"/>
          <w:szCs w:val="32"/>
        </w:rPr>
        <w:t>共涉及资金</w:t>
      </w:r>
      <w:r>
        <w:rPr>
          <w:rFonts w:hint="eastAsia" w:ascii="仿宋_GB2312" w:hAnsi="仿宋_GB2312" w:eastAsia="仿宋_GB2312" w:cs="仿宋_GB2312"/>
          <w:sz w:val="32"/>
          <w:szCs w:val="32"/>
          <w:lang w:val="en-US" w:eastAsia="zh-CN"/>
        </w:rPr>
        <w:t>4.5</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；我单位无政府性基金预算项目。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50.77</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sz w:val="32"/>
          <w:szCs w:val="32"/>
          <w:lang w:eastAsia="zh-CN"/>
        </w:rPr>
        <w:t>举办企业退休人员大型文体娱乐活动</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调整预算数为</w:t>
      </w:r>
      <w:r>
        <w:rPr>
          <w:rFonts w:hint="eastAsia" w:ascii="仿宋_GB2312" w:hAnsi="仿宋_GB2312" w:eastAsia="仿宋_GB2312" w:cs="仿宋_GB2312"/>
          <w:color w:val="000000"/>
          <w:kern w:val="0"/>
          <w:sz w:val="31"/>
          <w:szCs w:val="31"/>
          <w:lang w:val="en-US" w:eastAsia="zh-CN" w:bidi="ar"/>
        </w:rPr>
        <w:t>1.9万元，</w:t>
      </w:r>
      <w:r>
        <w:rPr>
          <w:rFonts w:ascii="仿宋_GB2312" w:hAnsi="仿宋_GB2312" w:eastAsia="仿宋_GB2312" w:cs="仿宋_GB2312"/>
          <w:color w:val="000000"/>
          <w:kern w:val="0"/>
          <w:sz w:val="31"/>
          <w:szCs w:val="31"/>
          <w:lang w:bidi="ar"/>
        </w:rPr>
        <w:t>执行数</w:t>
      </w:r>
      <w:r>
        <w:rPr>
          <w:rFonts w:hint="eastAsia" w:ascii="仿宋_GB2312" w:hAnsi="仿宋_GB2312" w:eastAsia="仿宋_GB2312" w:cs="仿宋_GB2312"/>
          <w:color w:val="000000"/>
          <w:kern w:val="0"/>
          <w:sz w:val="31"/>
          <w:szCs w:val="31"/>
          <w:lang w:val="en-US" w:eastAsia="zh-CN" w:bidi="ar"/>
        </w:rPr>
        <w:t>1.9</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spacing w:line="360" w:lineRule="auto"/>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该项目为经常性项目，通过项目实施，丰富了企业退休人员的晚年生活。</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由于经费少，人员少，活动比较单一</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增加预算，开展丰富多彩的文体娱乐活动</w:t>
      </w:r>
      <w:r>
        <w:rPr>
          <w:rFonts w:hint="eastAsia" w:ascii="仿宋_GB2312" w:hAnsi="仿宋_GB2312" w:eastAsia="仿宋_GB2312" w:cs="仿宋_GB2312"/>
          <w:color w:val="000000"/>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34.14</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调整预算数</w:t>
      </w:r>
      <w:r>
        <w:rPr>
          <w:rFonts w:hint="eastAsia" w:ascii="仿宋_GB2312" w:hAnsi="仿宋_GB2312" w:eastAsia="仿宋_GB2312" w:cs="仿宋_GB2312"/>
          <w:color w:val="000000"/>
          <w:kern w:val="0"/>
          <w:sz w:val="31"/>
          <w:szCs w:val="31"/>
          <w:lang w:val="en-US" w:eastAsia="zh-CN" w:bidi="ar"/>
        </w:rPr>
        <w:t>50.77万元，</w:t>
      </w:r>
      <w:r>
        <w:rPr>
          <w:rFonts w:ascii="仿宋_GB2312" w:hAnsi="仿宋_GB2312" w:eastAsia="仿宋_GB2312" w:cs="仿宋_GB2312"/>
          <w:color w:val="000000"/>
          <w:kern w:val="0"/>
          <w:sz w:val="31"/>
          <w:szCs w:val="31"/>
          <w:lang w:bidi="ar"/>
        </w:rPr>
        <w:t>执行数</w:t>
      </w:r>
      <w:r>
        <w:rPr>
          <w:rFonts w:hint="eastAsia" w:ascii="仿宋_GB2312" w:hAnsi="仿宋_GB2312" w:eastAsia="仿宋_GB2312" w:cs="仿宋_GB2312"/>
          <w:color w:val="000000"/>
          <w:kern w:val="0"/>
          <w:sz w:val="31"/>
          <w:szCs w:val="31"/>
          <w:lang w:val="en-US" w:eastAsia="zh-CN" w:bidi="ar"/>
        </w:rPr>
        <w:t>50.77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b/>
          <w:bCs/>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b/>
          <w:bCs/>
          <w:color w:val="000000"/>
          <w:kern w:val="0"/>
          <w:sz w:val="31"/>
          <w:szCs w:val="31"/>
          <w:lang w:bidi="ar"/>
        </w:rPr>
        <w:t>1.紧密联系知民情，解困帮扶送温暖。</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双节”期间我中心利用3天时间与街办劳保所、社区工作人员走访慰问辖区特困、孤寡企业退休人员54人，为他们送去了党和政府的温暖。(2)与纪委第三巡视组深入荆塬社区了解就业、社保等情况，并对困难企业退休人员进行了慰问。</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(3)“五一”劳动节前对延凤社区的2名企业退休的市级、区级两级劳模进行慰问。(4)“七一”党的生日期间，我们和社区同志对荆塬社区辖区内的10名企业退休老党员、困难党员进行了慰问。</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2.开展多样化的文体娱乐活动，丰富企业退休人员的精神文化生活。</w:t>
      </w:r>
      <w:r>
        <w:rPr>
          <w:rFonts w:hint="eastAsia" w:ascii="仿宋_GB2312" w:hAnsi="仿宋_GB2312" w:eastAsia="仿宋_GB2312" w:cs="仿宋_GB2312"/>
          <w:color w:val="000000"/>
          <w:kern w:val="0"/>
          <w:sz w:val="31"/>
          <w:szCs w:val="31"/>
          <w:lang w:bidi="ar"/>
        </w:rPr>
        <w:t>(1)1月7日组织召开企业退休人员工作座谈会，邀请部分社区主任、退休人员代表参加座谈会，畅谈改革开放成果，并征集到企业退休人员社会化管理服务工作的意见建议3条。(2)为隆重庆祝建国70周年纪念日，我中心于5月6日召开了以“我和我的祖国”为主题的征文活动筹备会。征文截稿于8月底，共收到各类稿件36篇。经过专家的评审，评选出优秀组织奖2个，一等奖1人，二等奖2人，三等奖3人，优秀奖16人。并于9月20日下午在人力资源大厦负一层进行了表彰。(3)在“七一”节前携手胜利街社区党支部共同举办了“永远跟党走”庆“七一”文艺演出。(4)9月20日下午在人力资源大厦负一层举办了阎良区企业退休人员喜迎建国70周年文艺汇演，本次汇演共精选出13个形式多样的节目，约150余人观看了演出。(5)9月26日与阎良区老年大学在皇冠花园社区共同举办了“盛世华诞 举国同庆”文艺汇演活动，约200余人观看了演出。(6)12月15日与阎良区老年大学共同举办了星辰雅韵艺术团迎新年联欢晚会。</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3.主动出击，及时掌握情况</w:t>
      </w:r>
      <w:r>
        <w:rPr>
          <w:rFonts w:hint="eastAsia" w:ascii="仿宋_GB2312" w:hAnsi="仿宋_GB2312" w:eastAsia="仿宋_GB2312" w:cs="仿宋_GB2312"/>
          <w:color w:val="000000"/>
          <w:kern w:val="0"/>
          <w:sz w:val="31"/>
          <w:szCs w:val="31"/>
          <w:lang w:bidi="ar"/>
        </w:rPr>
        <w:t>。根据“三供一业”工作要求，在区政府召开协调会后，迅速指派专人对西飞厂办大集体企业已退休人员基本情况进行摸查，做到底子清，为下一步工作打下基础。</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4.以人为本，一如既往做好企退人员管理工作。</w:t>
      </w:r>
      <w:r>
        <w:rPr>
          <w:rFonts w:hint="eastAsia" w:ascii="仿宋_GB2312" w:hAnsi="仿宋_GB2312" w:eastAsia="仿宋_GB2312" w:cs="仿宋_GB2312"/>
          <w:color w:val="000000"/>
          <w:kern w:val="0"/>
          <w:sz w:val="31"/>
          <w:szCs w:val="31"/>
          <w:lang w:bidi="ar"/>
        </w:rPr>
        <w:t>截止2019年12月底，我区共有企业退休人员17301人，其中部省属1000人以上企业退休人员11409人，市属企业退休人员12人，区属企业退休人员5728人。</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预算编制精准度不高，预算资金分配的科学性与预算执行的严肃性都有待提高。</w:t>
      </w:r>
    </w:p>
    <w:p>
      <w:pPr>
        <w:widowControl/>
        <w:ind w:firstLine="620" w:firstLineChars="200"/>
        <w:jc w:val="left"/>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科学合理编制预算，优化单位的支出结构，严格控制支出，使</w:t>
      </w:r>
      <w:bookmarkStart w:id="0" w:name="_1662907596"/>
      <w:bookmarkEnd w:id="0"/>
      <w:bookmarkStart w:id="1" w:name="_1662907080"/>
      <w:bookmarkEnd w:id="1"/>
      <w:bookmarkStart w:id="2" w:name="_1662907161"/>
      <w:bookmarkEnd w:id="2"/>
      <w:r>
        <w:rPr>
          <w:rFonts w:hint="eastAsia" w:ascii="仿宋_GB2312" w:hAnsi="仿宋_GB2312" w:eastAsia="仿宋_GB2312" w:cs="仿宋_GB2312"/>
          <w:color w:val="000000"/>
          <w:kern w:val="0"/>
          <w:sz w:val="31"/>
          <w:szCs w:val="31"/>
          <w:lang w:eastAsia="zh-CN" w:bidi="ar"/>
        </w:rPr>
        <w:t>预算编制能够与单位的实际业务紧密联系，提高预算编制的科学性、预见性。</w:t>
      </w: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eastAsia="zh-CN" w:bidi="ar"/>
        </w:rPr>
      </w:pPr>
    </w:p>
    <w:p>
      <w:pPr>
        <w:widowControl/>
        <w:jc w:val="left"/>
        <w:rPr>
          <w:rFonts w:hint="eastAsia" w:ascii="仿宋_GB2312" w:hAnsi="仿宋_GB2312" w:eastAsia="仿宋_GB2312" w:cs="仿宋_GB2312"/>
          <w:color w:val="000000"/>
          <w:kern w:val="0"/>
          <w:sz w:val="31"/>
          <w:szCs w:val="31"/>
          <w:lang w:bidi="ar"/>
        </w:rPr>
      </w:pPr>
      <w:r>
        <w:drawing>
          <wp:inline distT="0" distB="0" distL="114300" distR="114300">
            <wp:extent cx="6089650" cy="7353935"/>
            <wp:effectExtent l="0" t="0" r="6350"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6089650" cy="7353935"/>
                    </a:xfrm>
                    <a:prstGeom prst="rect">
                      <a:avLst/>
                    </a:prstGeom>
                    <a:noFill/>
                    <a:ln>
                      <a:noFill/>
                    </a:ln>
                  </pic:spPr>
                </pic:pic>
              </a:graphicData>
            </a:graphic>
          </wp:inline>
        </w:drawing>
      </w:r>
    </w:p>
    <w:p>
      <w:pPr>
        <w:rPr>
          <w:rFonts w:hint="eastAsia" w:ascii="黑体" w:hAnsi="黑体" w:eastAsia="黑体"/>
          <w:color w:val="000000"/>
          <w:kern w:val="0"/>
          <w:sz w:val="32"/>
          <w:szCs w:val="32"/>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3" w:name="_1662907696"/>
      <w:bookmarkEnd w:id="3"/>
    </w:p>
    <w:tbl>
      <w:tblPr>
        <w:tblStyle w:val="6"/>
        <w:tblpPr w:leftFromText="180" w:rightFromText="180" w:vertAnchor="text" w:horzAnchor="page" w:tblpX="607" w:tblpY="321"/>
        <w:tblOverlap w:val="never"/>
        <w:tblW w:w="15735" w:type="dxa"/>
        <w:tblInd w:w="0" w:type="dxa"/>
        <w:shd w:val="clear" w:color="auto" w:fill="auto"/>
        <w:tblLayout w:type="fixed"/>
        <w:tblCellMar>
          <w:top w:w="0" w:type="dxa"/>
          <w:left w:w="0" w:type="dxa"/>
          <w:bottom w:w="0" w:type="dxa"/>
          <w:right w:w="0" w:type="dxa"/>
        </w:tblCellMar>
      </w:tblPr>
      <w:tblGrid>
        <w:gridCol w:w="508"/>
        <w:gridCol w:w="682"/>
        <w:gridCol w:w="552"/>
        <w:gridCol w:w="363"/>
        <w:gridCol w:w="2750"/>
        <w:gridCol w:w="3270"/>
        <w:gridCol w:w="1685"/>
        <w:gridCol w:w="770"/>
        <w:gridCol w:w="857"/>
        <w:gridCol w:w="610"/>
        <w:gridCol w:w="886"/>
        <w:gridCol w:w="2802"/>
      </w:tblGrid>
      <w:tr>
        <w:tblPrEx>
          <w:shd w:val="clear" w:color="auto" w:fill="auto"/>
          <w:tblCellMar>
            <w:top w:w="0" w:type="dxa"/>
            <w:left w:w="0" w:type="dxa"/>
            <w:bottom w:w="0" w:type="dxa"/>
            <w:right w:w="0" w:type="dxa"/>
          </w:tblCellMar>
        </w:tblPrEx>
        <w:trPr>
          <w:trHeight w:val="715" w:hRule="atLeast"/>
        </w:trPr>
        <w:tc>
          <w:tcPr>
            <w:tcW w:w="5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5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15" w:hRule="atLeast"/>
        </w:trPr>
        <w:tc>
          <w:tcPr>
            <w:tcW w:w="5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5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82" w:hRule="atLeast"/>
        </w:trPr>
        <w:tc>
          <w:tcPr>
            <w:tcW w:w="1573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部门整体支出绩效自评表</w:t>
            </w:r>
            <w:r>
              <w:rPr>
                <w:rFonts w:hint="eastAsia" w:ascii="黑体" w:hAnsi="宋体" w:eastAsia="黑体" w:cs="黑体"/>
                <w:i w:val="0"/>
                <w:color w:val="000000"/>
                <w:kern w:val="0"/>
                <w:sz w:val="40"/>
                <w:szCs w:val="4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CellMar>
            <w:top w:w="0" w:type="dxa"/>
            <w:left w:w="0" w:type="dxa"/>
            <w:bottom w:w="0" w:type="dxa"/>
            <w:right w:w="0" w:type="dxa"/>
          </w:tblCellMar>
        </w:tblPrEx>
        <w:trPr>
          <w:trHeight w:val="796" w:hRule="atLeast"/>
        </w:trPr>
        <w:tc>
          <w:tcPr>
            <w:tcW w:w="485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填报单位:西安市阎良区企业退休人员社会化管理服务中心</w:t>
            </w:r>
          </w:p>
        </w:tc>
        <w:tc>
          <w:tcPr>
            <w:tcW w:w="327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自评得分：95分</w:t>
            </w:r>
          </w:p>
        </w:tc>
        <w:tc>
          <w:tcPr>
            <w:tcW w:w="168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7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1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8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98" w:hRule="atLeast"/>
        </w:trPr>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（一）简要概述部门职能与职责。</w:t>
            </w:r>
          </w:p>
        </w:tc>
        <w:tc>
          <w:tcPr>
            <w:tcW w:w="108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主要负责组织领导、统筹安排本地区管辖范围内的企业退管服务业务工作;对街道（镇）社区企业退管服务机构进行业务指导，组织检查和监督落实；对本地区管辖范围内的企业退管服务工作进行了登记和统计；将新接收的企业退休人员按户口所在地介绍到各街道社区退管服务机构；按规定管理使用好活动资金；筹划街道社区企业退休人员活动场所的建设等。</w:t>
            </w:r>
          </w:p>
        </w:tc>
      </w:tr>
      <w:tr>
        <w:tblPrEx>
          <w:tblCellMar>
            <w:top w:w="0" w:type="dxa"/>
            <w:left w:w="0" w:type="dxa"/>
            <w:bottom w:w="0" w:type="dxa"/>
            <w:right w:w="0" w:type="dxa"/>
          </w:tblCellMar>
        </w:tblPrEx>
        <w:trPr>
          <w:trHeight w:val="442" w:hRule="atLeast"/>
        </w:trPr>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108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基本支出46.49万元，举办企业退休人员大型文体娱乐活动1.9万元，节日慰问、走访困难退休人员2.38万元</w:t>
            </w:r>
          </w:p>
        </w:tc>
      </w:tr>
      <w:tr>
        <w:tblPrEx>
          <w:tblCellMar>
            <w:top w:w="0" w:type="dxa"/>
            <w:left w:w="0" w:type="dxa"/>
            <w:bottom w:w="0" w:type="dxa"/>
            <w:right w:w="0" w:type="dxa"/>
          </w:tblCellMar>
        </w:tblPrEx>
        <w:trPr>
          <w:trHeight w:val="442" w:hRule="atLeast"/>
        </w:trPr>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108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19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trHeight w:val="4308"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（50.77/34.14）</w:t>
            </w:r>
            <w:r>
              <w:rPr>
                <w:rFonts w:ascii="Arial" w:hAnsi="Arial" w:eastAsia="楷体_GB2312" w:cs="Arial"/>
                <w:i w:val="0"/>
                <w:color w:val="000000"/>
                <w:kern w:val="0"/>
                <w:sz w:val="20"/>
                <w:szCs w:val="20"/>
                <w:u w:val="none"/>
                <w:lang w:val="en-US" w:eastAsia="zh-CN" w:bidi="ar"/>
              </w:rPr>
              <w:t>×</w:t>
            </w:r>
            <w:r>
              <w:rPr>
                <w:rFonts w:hint="eastAsia" w:ascii="楷体_GB2312" w:hAnsi="宋体" w:eastAsia="楷体_GB2312" w:cs="楷体_GB2312"/>
                <w:i w:val="0"/>
                <w:color w:val="000000"/>
                <w:kern w:val="0"/>
                <w:sz w:val="20"/>
                <w:szCs w:val="20"/>
                <w:u w:val="none"/>
                <w:lang w:val="en-US" w:eastAsia="zh-CN" w:bidi="ar"/>
              </w:rPr>
              <w:t>100%=148.71%</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34.14</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50.77</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2749"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楷体_GB2312" w:hAnsi="宋体" w:eastAsia="楷体_GB2312" w:cs="楷体_GB2312"/>
                <w:i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0"/>
                <w:szCs w:val="20"/>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（50.77/34.14）</w:t>
            </w:r>
            <w:r>
              <w:rPr>
                <w:rFonts w:ascii="Arial" w:hAnsi="Arial" w:eastAsia="楷体_GB2312" w:cs="Arial"/>
                <w:i w:val="0"/>
                <w:color w:val="000000"/>
                <w:kern w:val="0"/>
                <w:sz w:val="20"/>
                <w:szCs w:val="20"/>
                <w:u w:val="none"/>
                <w:lang w:val="en-US" w:eastAsia="zh-CN" w:bidi="ar"/>
              </w:rPr>
              <w:t>×</w:t>
            </w:r>
            <w:r>
              <w:rPr>
                <w:rFonts w:hint="eastAsia" w:ascii="楷体_GB2312" w:hAnsi="宋体" w:eastAsia="楷体_GB2312" w:cs="楷体_GB2312"/>
                <w:i w:val="0"/>
                <w:color w:val="000000"/>
                <w:kern w:val="0"/>
                <w:sz w:val="20"/>
                <w:szCs w:val="20"/>
                <w:u w:val="none"/>
                <w:lang w:val="en-US" w:eastAsia="zh-CN" w:bidi="ar"/>
              </w:rPr>
              <w:t>100%=148.71%</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34.14</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50.77</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19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trHeight w:val="4697"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（50.77/34.14）</w:t>
            </w:r>
            <w:r>
              <w:rPr>
                <w:rFonts w:ascii="Arial" w:hAnsi="Arial" w:eastAsia="楷体_GB2312" w:cs="Arial"/>
                <w:i w:val="0"/>
                <w:color w:val="000000"/>
                <w:kern w:val="0"/>
                <w:sz w:val="20"/>
                <w:szCs w:val="20"/>
                <w:u w:val="none"/>
                <w:lang w:val="en-US" w:eastAsia="zh-CN" w:bidi="ar"/>
              </w:rPr>
              <w:t>×</w:t>
            </w:r>
            <w:r>
              <w:rPr>
                <w:rFonts w:hint="eastAsia" w:ascii="楷体_GB2312" w:hAnsi="宋体" w:eastAsia="楷体_GB2312" w:cs="楷体_GB2312"/>
                <w:i w:val="0"/>
                <w:color w:val="000000"/>
                <w:kern w:val="0"/>
                <w:sz w:val="20"/>
                <w:szCs w:val="20"/>
                <w:u w:val="none"/>
                <w:lang w:val="en-US" w:eastAsia="zh-CN" w:bidi="ar"/>
              </w:rPr>
              <w:t>100%=148.71%</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50.77</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34.14</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97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楷体_GB2312" w:hAnsi="宋体" w:eastAsia="楷体_GB2312" w:cs="楷体_GB2312"/>
                <w:i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0"/>
                <w:szCs w:val="20"/>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236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0.18</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3139"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楷体_GB2312" w:hAnsi="宋体" w:eastAsia="楷体_GB2312" w:cs="楷体_GB2312"/>
                <w:i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0"/>
                <w:szCs w:val="20"/>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614" w:hRule="atLeast"/>
        </w:trPr>
        <w:tc>
          <w:tcPr>
            <w:tcW w:w="508" w:type="dxa"/>
            <w:tcBorders>
              <w:top w:val="nil"/>
              <w:left w:val="nil"/>
              <w:bottom w:val="nil"/>
              <w:right w:val="nil"/>
            </w:tcBorders>
            <w:shd w:val="clear" w:color="auto" w:fill="auto"/>
            <w:noWrap/>
            <w:tcMar>
              <w:top w:w="15" w:type="dxa"/>
              <w:left w:w="15" w:type="dxa"/>
              <w:right w:w="15" w:type="dxa"/>
            </w:tcMar>
            <w:textDirection w:val="tbRlV"/>
            <w:vAlign w:val="center"/>
          </w:tcPr>
          <w:p>
            <w:pPr>
              <w:jc w:val="center"/>
              <w:rPr>
                <w:rFonts w:hint="eastAsia" w:ascii="楷体_GB2312" w:hAnsi="宋体" w:eastAsia="楷体_GB2312" w:cs="楷体_GB2312"/>
                <w:i w:val="0"/>
                <w:color w:val="000000"/>
                <w:sz w:val="20"/>
                <w:szCs w:val="20"/>
                <w:u w:val="none"/>
              </w:rPr>
            </w:pPr>
          </w:p>
        </w:tc>
        <w:tc>
          <w:tcPr>
            <w:tcW w:w="68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0"/>
                <w:szCs w:val="20"/>
                <w:u w:val="none"/>
              </w:rPr>
            </w:pPr>
          </w:p>
        </w:tc>
        <w:tc>
          <w:tcPr>
            <w:tcW w:w="552" w:type="dxa"/>
            <w:tcBorders>
              <w:top w:val="nil"/>
              <w:left w:val="nil"/>
              <w:bottom w:val="nil"/>
              <w:right w:val="nil"/>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36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0"/>
                <w:szCs w:val="20"/>
                <w:u w:val="none"/>
              </w:rPr>
            </w:pPr>
          </w:p>
        </w:tc>
        <w:tc>
          <w:tcPr>
            <w:tcW w:w="275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3270" w:type="dxa"/>
            <w:tcBorders>
              <w:top w:val="nil"/>
              <w:left w:val="nil"/>
              <w:bottom w:val="nil"/>
              <w:right w:val="nil"/>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1685" w:type="dxa"/>
            <w:tcBorders>
              <w:top w:val="nil"/>
              <w:left w:val="nil"/>
              <w:bottom w:val="nil"/>
              <w:right w:val="nil"/>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770" w:type="dxa"/>
            <w:tcBorders>
              <w:top w:val="nil"/>
              <w:left w:val="nil"/>
              <w:bottom w:val="nil"/>
              <w:right w:val="nil"/>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857" w:type="dxa"/>
            <w:tcBorders>
              <w:top w:val="nil"/>
              <w:left w:val="nil"/>
              <w:bottom w:val="nil"/>
              <w:right w:val="nil"/>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61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88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9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trHeight w:val="547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582"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效果</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履职尽责（60分）</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（40分）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351"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楷体_GB2312" w:hAnsi="宋体" w:eastAsia="楷体_GB2312" w:cs="楷体_GB2312"/>
                <w:i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0"/>
                <w:szCs w:val="20"/>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（20分）</w:t>
            </w:r>
          </w:p>
        </w:tc>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2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rPr>
            </w:pP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600" w:hRule="atLeast"/>
        </w:trPr>
        <w:tc>
          <w:tcPr>
            <w:tcW w:w="1573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olor w:val="000000"/>
          <w:kern w:val="0"/>
          <w:sz w:val="32"/>
          <w:szCs w:val="32"/>
          <w:lang w:bidi="ar"/>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sectPr>
          <w:pgSz w:w="16838" w:h="11906" w:orient="landscape"/>
          <w:pgMar w:top="1803" w:right="1440" w:bottom="1803" w:left="1440" w:header="851" w:footer="992" w:gutter="0"/>
          <w:paperSrc/>
          <w:cols w:space="0" w:num="1"/>
          <w:rtlGutter w:val="0"/>
          <w:docGrid w:type="lines" w:linePitch="436"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sz w:val="32"/>
          <w:szCs w:val="32"/>
          <w:lang w:eastAsia="zh-CN"/>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1.56</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预算调整数为</w:t>
      </w:r>
      <w:r>
        <w:rPr>
          <w:rFonts w:hint="eastAsia" w:ascii="仿宋_GB2312" w:hAnsi="宋体" w:eastAsia="仿宋_GB2312" w:cs="仿宋_GB2312"/>
          <w:color w:val="000000"/>
          <w:kern w:val="0"/>
          <w:sz w:val="32"/>
          <w:szCs w:val="32"/>
          <w:lang w:val="en-US" w:eastAsia="zh-CN" w:bidi="ar"/>
        </w:rPr>
        <w:t>3.90万元，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3.90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3" w:bottom="1440" w:left="1803"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
    <w:pitch w:val="default"/>
    <w:sig w:usb0="00007A87" w:usb1="80000000" w:usb2="00000008" w:usb3="00000000" w:csb0="400001FF" w:csb1="FFFF0000"/>
  </w:font>
  <w:font w:name="华文仿宋">
    <w:altName w:val="仿宋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6FDA9"/>
    <w:multiLevelType w:val="singleLevel"/>
    <w:tmpl w:val="85A6FDA9"/>
    <w:lvl w:ilvl="0" w:tentative="0">
      <w:start w:val="2"/>
      <w:numFmt w:val="chineseCounting"/>
      <w:suff w:val="nothing"/>
      <w:lvlText w:val="（%1）"/>
      <w:lvlJc w:val="left"/>
      <w:rPr>
        <w:rFonts w:hint="eastAsia"/>
      </w:rPr>
    </w:lvl>
  </w:abstractNum>
  <w:abstractNum w:abstractNumId="1">
    <w:nsid w:val="9728CCBA"/>
    <w:multiLevelType w:val="singleLevel"/>
    <w:tmpl w:val="9728CCBA"/>
    <w:lvl w:ilvl="0" w:tentative="0">
      <w:start w:val="3"/>
      <w:numFmt w:val="chineseCounting"/>
      <w:suff w:val="nothing"/>
      <w:lvlText w:val="%1、"/>
      <w:lvlJc w:val="left"/>
      <w:rPr>
        <w:rFonts w:hint="eastAsia"/>
      </w:rPr>
    </w:lvl>
  </w:abstractNum>
  <w:abstractNum w:abstractNumId="2">
    <w:nsid w:val="9F232710"/>
    <w:multiLevelType w:val="singleLevel"/>
    <w:tmpl w:val="9F232710"/>
    <w:lvl w:ilvl="0" w:tentative="0">
      <w:start w:val="1"/>
      <w:numFmt w:val="chineseCounting"/>
      <w:suff w:val="space"/>
      <w:lvlText w:val="第%1部分"/>
      <w:lvlJc w:val="left"/>
      <w:rPr>
        <w:rFonts w:hint="eastAsia"/>
      </w:rPr>
    </w:lvl>
  </w:abstractNum>
  <w:abstractNum w:abstractNumId="3">
    <w:nsid w:val="0A625059"/>
    <w:multiLevelType w:val="singleLevel"/>
    <w:tmpl w:val="0A625059"/>
    <w:lvl w:ilvl="0" w:tentative="0">
      <w:start w:val="4"/>
      <w:numFmt w:val="chineseCounting"/>
      <w:suff w:val="nothing"/>
      <w:lvlText w:val="%1、"/>
      <w:lvlJc w:val="left"/>
      <w:rPr>
        <w:rFonts w:hint="eastAsia"/>
      </w:rPr>
    </w:lvl>
  </w:abstractNum>
  <w:abstractNum w:abstractNumId="4">
    <w:nsid w:val="39BEA4A8"/>
    <w:multiLevelType w:val="singleLevel"/>
    <w:tmpl w:val="39BEA4A8"/>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95AA5"/>
    <w:rsid w:val="010E3361"/>
    <w:rsid w:val="02C30B98"/>
    <w:rsid w:val="03900F71"/>
    <w:rsid w:val="0500201F"/>
    <w:rsid w:val="05630CA6"/>
    <w:rsid w:val="05BB2825"/>
    <w:rsid w:val="068B7849"/>
    <w:rsid w:val="06EF0156"/>
    <w:rsid w:val="086C1E64"/>
    <w:rsid w:val="09F56D6B"/>
    <w:rsid w:val="0AA0433E"/>
    <w:rsid w:val="0DA177B6"/>
    <w:rsid w:val="0FCE3BD9"/>
    <w:rsid w:val="110506D4"/>
    <w:rsid w:val="13253129"/>
    <w:rsid w:val="13721098"/>
    <w:rsid w:val="151B40A7"/>
    <w:rsid w:val="15916C1F"/>
    <w:rsid w:val="16121535"/>
    <w:rsid w:val="16553FEC"/>
    <w:rsid w:val="16F94B8D"/>
    <w:rsid w:val="18634A0D"/>
    <w:rsid w:val="19D95FFF"/>
    <w:rsid w:val="1AF22409"/>
    <w:rsid w:val="1D211248"/>
    <w:rsid w:val="1D8B0C78"/>
    <w:rsid w:val="1DB011BB"/>
    <w:rsid w:val="206F28BD"/>
    <w:rsid w:val="20B96E79"/>
    <w:rsid w:val="20E506C4"/>
    <w:rsid w:val="2256467C"/>
    <w:rsid w:val="22EF592A"/>
    <w:rsid w:val="23C95540"/>
    <w:rsid w:val="23E208C0"/>
    <w:rsid w:val="2493072B"/>
    <w:rsid w:val="256264C3"/>
    <w:rsid w:val="26071793"/>
    <w:rsid w:val="26596FD7"/>
    <w:rsid w:val="2660352B"/>
    <w:rsid w:val="27BF2570"/>
    <w:rsid w:val="2802193D"/>
    <w:rsid w:val="287C13F1"/>
    <w:rsid w:val="28FB2AB2"/>
    <w:rsid w:val="29EB739F"/>
    <w:rsid w:val="2A1E28FD"/>
    <w:rsid w:val="2E482B57"/>
    <w:rsid w:val="3025445C"/>
    <w:rsid w:val="30DF4759"/>
    <w:rsid w:val="316E00D5"/>
    <w:rsid w:val="31A930C2"/>
    <w:rsid w:val="350A5D93"/>
    <w:rsid w:val="35CF3DF6"/>
    <w:rsid w:val="3669223E"/>
    <w:rsid w:val="366C12FC"/>
    <w:rsid w:val="39D17BCD"/>
    <w:rsid w:val="3BAF0523"/>
    <w:rsid w:val="3BE864D4"/>
    <w:rsid w:val="3BFC6DCC"/>
    <w:rsid w:val="3C4D7FE7"/>
    <w:rsid w:val="3C7A6DAB"/>
    <w:rsid w:val="3D904069"/>
    <w:rsid w:val="3DB7738A"/>
    <w:rsid w:val="3FAE27D2"/>
    <w:rsid w:val="3FCA23EC"/>
    <w:rsid w:val="3FFD2DC9"/>
    <w:rsid w:val="400F4491"/>
    <w:rsid w:val="40B54095"/>
    <w:rsid w:val="414A07DA"/>
    <w:rsid w:val="416D2671"/>
    <w:rsid w:val="417C245A"/>
    <w:rsid w:val="41942E54"/>
    <w:rsid w:val="424D60E4"/>
    <w:rsid w:val="42FA4769"/>
    <w:rsid w:val="43BC1030"/>
    <w:rsid w:val="441F0B2C"/>
    <w:rsid w:val="46A10265"/>
    <w:rsid w:val="47964FBE"/>
    <w:rsid w:val="4A1752A2"/>
    <w:rsid w:val="4B18398F"/>
    <w:rsid w:val="4B8D02EE"/>
    <w:rsid w:val="4C460F67"/>
    <w:rsid w:val="4D704224"/>
    <w:rsid w:val="50C46A00"/>
    <w:rsid w:val="511060EC"/>
    <w:rsid w:val="52AC7AB3"/>
    <w:rsid w:val="53652623"/>
    <w:rsid w:val="539173FC"/>
    <w:rsid w:val="540E6BB3"/>
    <w:rsid w:val="54207C4C"/>
    <w:rsid w:val="544D3043"/>
    <w:rsid w:val="54A74D4C"/>
    <w:rsid w:val="570D54A0"/>
    <w:rsid w:val="57BE3663"/>
    <w:rsid w:val="596D661C"/>
    <w:rsid w:val="5AFA5170"/>
    <w:rsid w:val="5B4A5EF2"/>
    <w:rsid w:val="5CB84CAF"/>
    <w:rsid w:val="5D371648"/>
    <w:rsid w:val="5D843DE0"/>
    <w:rsid w:val="5F5027A5"/>
    <w:rsid w:val="63AC61BB"/>
    <w:rsid w:val="648102D8"/>
    <w:rsid w:val="65104FC1"/>
    <w:rsid w:val="65706DA4"/>
    <w:rsid w:val="66046C02"/>
    <w:rsid w:val="662F0CE2"/>
    <w:rsid w:val="66B45363"/>
    <w:rsid w:val="67177DA5"/>
    <w:rsid w:val="672F78DB"/>
    <w:rsid w:val="68CC0728"/>
    <w:rsid w:val="69A157A9"/>
    <w:rsid w:val="6A264E0A"/>
    <w:rsid w:val="6B0C730E"/>
    <w:rsid w:val="6B3B79EC"/>
    <w:rsid w:val="6D02044E"/>
    <w:rsid w:val="6D7131F1"/>
    <w:rsid w:val="6EAC6681"/>
    <w:rsid w:val="6F094735"/>
    <w:rsid w:val="70A33A11"/>
    <w:rsid w:val="70E72D17"/>
    <w:rsid w:val="71840673"/>
    <w:rsid w:val="731120B8"/>
    <w:rsid w:val="73431FE5"/>
    <w:rsid w:val="76531676"/>
    <w:rsid w:val="76B42CA7"/>
    <w:rsid w:val="77212A13"/>
    <w:rsid w:val="778B0394"/>
    <w:rsid w:val="786F6F25"/>
    <w:rsid w:val="78D159DE"/>
    <w:rsid w:val="79382BBD"/>
    <w:rsid w:val="7B6D5E4A"/>
    <w:rsid w:val="7C3B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71"/>
    <w:basedOn w:val="8"/>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cap="none" spc="0" normalizeH="0" baseline="0">
                <a:solidFill>
                  <a:schemeClr val="tx1"/>
                </a:solidFill>
                <a:uFill>
                  <a:solidFill>
                    <a:schemeClr val="tx1"/>
                  </a:solidFill>
                </a:uFill>
                <a:latin typeface="+mn-lt"/>
                <a:ea typeface="+mn-ea"/>
                <a:cs typeface="+mn-cs"/>
              </a:defRPr>
            </a:pPr>
            <a:r>
              <a:t>部门人员情况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事业人员</c:v>
                </c:pt>
              </c:strCache>
            </c:strRef>
          </c:tx>
          <c:spPr>
            <a:solidFill>
              <a:schemeClr val="accent1"/>
            </a:solidFill>
            <a:ln>
              <a:noFill/>
            </a:ln>
            <a:effectLst/>
          </c:spPr>
          <c:invertIfNegative val="0"/>
          <c:dLbls>
            <c:delete val="1"/>
          </c:dLbls>
          <c:cat>
            <c:strRef>
              <c:f>Sheet1!$A$2:$A$4</c:f>
              <c:strCache>
                <c:ptCount val="3"/>
                <c:pt idx="0">
                  <c:v>编制人数</c:v>
                </c:pt>
                <c:pt idx="1">
                  <c:v>实有人数</c:v>
                </c:pt>
                <c:pt idx="2">
                  <c:v>单位管理的离退休人员</c:v>
                </c:pt>
              </c:strCache>
            </c:strRef>
          </c:cat>
          <c:val>
            <c:numRef>
              <c:f>Sheet1!$B$2:$B$4</c:f>
              <c:numCache>
                <c:formatCode>General</c:formatCode>
                <c:ptCount val="3"/>
                <c:pt idx="0">
                  <c:v>5</c:v>
                </c:pt>
                <c:pt idx="1">
                  <c:v>3</c:v>
                </c:pt>
                <c:pt idx="2">
                  <c:v>0</c:v>
                </c:pt>
              </c:numCache>
            </c:numRef>
          </c:val>
        </c:ser>
        <c:dLbls>
          <c:showLegendKey val="0"/>
          <c:showVal val="0"/>
          <c:showCatName val="0"/>
          <c:showSerName val="0"/>
          <c:showPercent val="0"/>
          <c:showBubbleSize val="0"/>
        </c:dLbls>
        <c:gapWidth val="219"/>
        <c:overlap val="-10"/>
        <c:axId val="742017552"/>
        <c:axId val="403631864"/>
      </c:barChart>
      <c:catAx>
        <c:axId val="742017552"/>
        <c:scaling>
          <c:orientation val="minMax"/>
        </c:scaling>
        <c:delete val="0"/>
        <c:axPos val="b"/>
        <c:numFmt formatCode="General" sourceLinked="1"/>
        <c:majorTickMark val="none"/>
        <c:minorTickMark val="none"/>
        <c:tickLblPos val="nextTo"/>
        <c:spPr>
          <a:noFill/>
          <a:ln w="9525" cap="flat" cmpd="sng" algn="ctr">
            <a:solidFill>
              <a:schemeClr val="bg1">
                <a:lumMod val="95000"/>
              </a:schemeClr>
            </a:solidFill>
            <a:round/>
          </a:ln>
          <a:effectLst/>
        </c:spPr>
        <c:txPr>
          <a:bodyPr rot="-60000000" spcFirstLastPara="0" vertOverflow="ellipsis" vert="horz" wrap="square" anchor="ctr" anchorCtr="1" forceAA="0"/>
          <a:lstStyle/>
          <a:p>
            <a:pPr>
              <a:defRPr lang="zh-CN" sz="900" b="1" i="0" u="none" strike="noStrike" kern="1200" cap="none" spc="0" normalizeH="0" baseline="0">
                <a:solidFill>
                  <a:schemeClr val="tx1"/>
                </a:solidFill>
                <a:uFill>
                  <a:solidFill>
                    <a:schemeClr val="tx1"/>
                  </a:solidFill>
                </a:uFill>
                <a:latin typeface="微软雅黑" panose="020B0503020204020204" charset="-122"/>
                <a:ea typeface="微软雅黑" panose="020B0503020204020204" charset="-122"/>
                <a:cs typeface="+mn-cs"/>
              </a:defRPr>
            </a:pPr>
          </a:p>
        </c:txPr>
        <c:crossAx val="403631864"/>
        <c:crosses val="autoZero"/>
        <c:auto val="0"/>
        <c:lblAlgn val="ctr"/>
        <c:lblOffset val="100"/>
        <c:noMultiLvlLbl val="0"/>
      </c:catAx>
      <c:valAx>
        <c:axId val="40363186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1" i="0" u="none" strike="noStrike" kern="1200" cap="none" spc="0" normalizeH="0" baseline="0">
                <a:solidFill>
                  <a:schemeClr val="tx1"/>
                </a:solidFill>
                <a:uFill>
                  <a:solidFill>
                    <a:schemeClr val="tx1"/>
                  </a:solidFill>
                </a:uFill>
                <a:latin typeface="Arial" panose="020B0604020202020204" pitchFamily="7" charset="0"/>
                <a:ea typeface="+mn-ea"/>
                <a:cs typeface="Arial" panose="020B0604020202020204" pitchFamily="7" charset="0"/>
              </a:defRPr>
            </a:pPr>
          </a:p>
        </c:txPr>
        <c:crossAx val="742017552"/>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cap="none" spc="0" normalizeH="0" baseline="0">
                <a:solidFill>
                  <a:schemeClr val="tx1"/>
                </a:solidFill>
                <a:uFill>
                  <a:solidFill>
                    <a:schemeClr val="tx1"/>
                  </a:solidFill>
                </a:uFill>
                <a:latin typeface="微软雅黑" panose="020B0503020204020204" charset="-122"/>
                <a:ea typeface="微软雅黑" panose="020B0503020204020204" charset="-122"/>
                <a:cs typeface="+mn-cs"/>
              </a:defRPr>
            </a:pPr>
          </a:p>
        </c:txPr>
      </c:legendEntry>
      <c:layout/>
      <c:overlay val="0"/>
      <c:spPr>
        <a:noFill/>
        <a:ln>
          <a:noFill/>
        </a:ln>
        <a:effectLst/>
      </c:spPr>
      <c:txPr>
        <a:bodyPr rot="0" spcFirstLastPara="0" vertOverflow="ellipsis" vert="horz" wrap="square" anchor="ctr" anchorCtr="1" forceAA="0"/>
        <a:lstStyle/>
        <a:p>
          <a:pPr>
            <a:defRPr lang="zh-CN" sz="900" b="1" i="0" u="none" strike="noStrike" kern="1200" cap="none" spc="0" normalizeH="0" baseline="0">
              <a:solidFill>
                <a:schemeClr val="tx1"/>
              </a:solidFill>
              <a:uFill>
                <a:solidFill>
                  <a:schemeClr val="tx1"/>
                </a:solidFill>
              </a:uFill>
              <a:latin typeface="微软雅黑" panose="020B0503020204020204" charset="-122"/>
              <a:ea typeface="微软雅黑" panose="020B0503020204020204" charset="-122"/>
              <a:cs typeface="+mn-cs"/>
            </a:defRPr>
          </a:pP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lang="zh-CN" b="1" u="none" strike="noStrike" kern="1200" cap="none" spc="0" normalizeH="0">
          <a:solidFill>
            <a:schemeClr val="tx1"/>
          </a:solidFill>
          <a:uFill>
            <a:solidFill>
              <a:schemeClr val="tx1"/>
            </a:solidFill>
          </a:u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7463296503708"/>
          <c:y val="0.192068800764453"/>
          <c:w val="0.669956107159074"/>
          <c:h val="0.696464405160057"/>
        </c:manualLayout>
      </c:layout>
      <c:barChart>
        <c:barDir val="col"/>
        <c:grouping val="clustered"/>
        <c:varyColors val="0"/>
        <c:ser>
          <c:idx val="0"/>
          <c:order val="0"/>
          <c:tx>
            <c:strRef>
              <c:f>Sheet1!$B$1</c:f>
              <c:strCache>
                <c:ptCount val="1"/>
                <c:pt idx="0">
                  <c:v>2019年度</c:v>
                </c:pt>
              </c:strCache>
            </c:strRef>
          </c:tx>
          <c:spPr>
            <a:solidFill>
              <a:schemeClr val="accent1"/>
            </a:solidFill>
            <a:ln>
              <a:noFill/>
            </a:ln>
            <a:effectLst/>
          </c:spPr>
          <c:invertIfNegative val="0"/>
          <c:dLbls>
            <c:delete val="1"/>
          </c:dLbls>
          <c:cat>
            <c:strRef>
              <c:f>Sheet1!$A$2:$A$5</c:f>
              <c:strCache>
                <c:ptCount val="4"/>
                <c:pt idx="0">
                  <c:v>收入（万元）</c:v>
                </c:pt>
                <c:pt idx="1">
                  <c:v>支出（万元）</c:v>
                </c:pt>
              </c:strCache>
            </c:strRef>
          </c:cat>
          <c:val>
            <c:numRef>
              <c:f>Sheet1!$B$2:$B$5</c:f>
              <c:numCache>
                <c:formatCode>General</c:formatCode>
                <c:ptCount val="4"/>
                <c:pt idx="0">
                  <c:v>50.77</c:v>
                </c:pt>
                <c:pt idx="1">
                  <c:v>50.77</c:v>
                </c:pt>
              </c:numCache>
            </c:numRef>
          </c:val>
        </c:ser>
        <c:ser>
          <c:idx val="1"/>
          <c:order val="1"/>
          <c:tx>
            <c:strRef>
              <c:f>Sheet1!$C$1</c:f>
              <c:strCache>
                <c:ptCount val="1"/>
                <c:pt idx="0">
                  <c:v>2018年度</c:v>
                </c:pt>
              </c:strCache>
            </c:strRef>
          </c:tx>
          <c:spPr>
            <a:solidFill>
              <a:schemeClr val="accent2"/>
            </a:solidFill>
            <a:ln>
              <a:noFill/>
            </a:ln>
            <a:effectLst/>
          </c:spPr>
          <c:invertIfNegative val="0"/>
          <c:dLbls>
            <c:delete val="1"/>
          </c:dLbls>
          <c:cat>
            <c:strRef>
              <c:f>Sheet1!$A$2:$A$5</c:f>
              <c:strCache>
                <c:ptCount val="4"/>
                <c:pt idx="0">
                  <c:v>收入（万元）</c:v>
                </c:pt>
                <c:pt idx="1">
                  <c:v>支出（万元）</c:v>
                </c:pt>
              </c:strCache>
            </c:strRef>
          </c:cat>
          <c:val>
            <c:numRef>
              <c:f>Sheet1!$C$2:$C$5</c:f>
              <c:numCache>
                <c:formatCode>General</c:formatCode>
                <c:ptCount val="4"/>
                <c:pt idx="0">
                  <c:v>54.08</c:v>
                </c:pt>
                <c:pt idx="1">
                  <c:v>54.08</c:v>
                </c:pt>
              </c:numCache>
            </c:numRef>
          </c:val>
        </c:ser>
        <c:ser>
          <c:idx val="2"/>
          <c:order val="2"/>
          <c:tx>
            <c:strRef>
              <c:f>Sheet1!$D$1</c:f>
              <c:strCache>
                <c:ptCount val="1"/>
                <c:pt idx="0">
                  <c:v>减少</c:v>
                </c:pt>
              </c:strCache>
            </c:strRef>
          </c:tx>
          <c:spPr>
            <a:solidFill>
              <a:schemeClr val="accent3"/>
            </a:solidFill>
            <a:ln>
              <a:noFill/>
            </a:ln>
            <a:effectLst/>
          </c:spPr>
          <c:invertIfNegative val="0"/>
          <c:dLbls>
            <c:delete val="1"/>
          </c:dLbls>
          <c:cat>
            <c:strRef>
              <c:f>Sheet1!$A$2:$A$5</c:f>
              <c:strCache>
                <c:ptCount val="4"/>
                <c:pt idx="0">
                  <c:v>收入（万元）</c:v>
                </c:pt>
                <c:pt idx="1">
                  <c:v>支出（万元）</c:v>
                </c:pt>
              </c:strCache>
            </c:strRef>
          </c:cat>
          <c:val>
            <c:numRef>
              <c:f>Sheet1!$D$2:$D$5</c:f>
              <c:numCache>
                <c:formatCode>General</c:formatCode>
                <c:ptCount val="4"/>
                <c:pt idx="0">
                  <c:v>3.31</c:v>
                </c:pt>
                <c:pt idx="1">
                  <c:v>3.31</c:v>
                </c:pt>
              </c:numCache>
            </c:numRef>
          </c:val>
        </c:ser>
        <c:dLbls>
          <c:showLegendKey val="0"/>
          <c:showVal val="0"/>
          <c:showCatName val="0"/>
          <c:showSerName val="0"/>
          <c:showPercent val="0"/>
          <c:showBubbleSize val="0"/>
        </c:dLbls>
        <c:gapWidth val="150"/>
        <c:overlap val="0"/>
        <c:axId val="95109826"/>
        <c:axId val="163623836"/>
      </c:barChart>
      <c:catAx>
        <c:axId val="951098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623836"/>
        <c:crosses val="autoZero"/>
        <c:auto val="1"/>
        <c:lblAlgn val="ctr"/>
        <c:lblOffset val="100"/>
        <c:noMultiLvlLbl val="0"/>
      </c:catAx>
      <c:valAx>
        <c:axId val="1636238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09826"/>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2019年度收入情况</a:t>
            </a:r>
          </a:p>
        </c:rich>
      </c:tx>
      <c:layout/>
      <c:overlay val="0"/>
      <c:spPr>
        <a:noFill/>
        <a:ln>
          <a:noFill/>
        </a:ln>
        <a:effectLst/>
      </c:spPr>
    </c:title>
    <c:autoTitleDeleted val="0"/>
    <c:plotArea>
      <c:layout/>
      <c:pieChart>
        <c:varyColors val="1"/>
        <c:ser>
          <c:idx val="0"/>
          <c:order val="0"/>
          <c:tx>
            <c:strRef>
              <c:f>Sheet1!$B$1</c:f>
              <c:strCache>
                <c:ptCount val="1"/>
                <c:pt idx="0">
                  <c:v>2019年</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财政拨款收入</c:v>
                </c:pt>
              </c:strCache>
            </c:strRef>
          </c:cat>
          <c:val>
            <c:numRef>
              <c:f>Sheet1!$B$2</c:f>
              <c:numCache>
                <c:formatCode>General</c:formatCode>
                <c:ptCount val="1"/>
                <c:pt idx="0">
                  <c:v>50.77</c:v>
                </c:pt>
              </c:numCache>
            </c:numRef>
          </c:val>
        </c:ser>
        <c:dLbls>
          <c:showLegendKey val="0"/>
          <c:showVal val="1"/>
          <c:showCatName val="0"/>
          <c:showSerName val="0"/>
          <c:showPercent val="0"/>
          <c:showBubbleSize val="0"/>
          <c:showLeaderLines val="1"/>
        </c:dLbls>
        <c:firstSliceAng val="8"/>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lang="en-US" altLang="zh-CN" sz="1600" b="1">
                <a:latin typeface="+mj-ea"/>
                <a:cs typeface="+mj-ea"/>
              </a:rPr>
              <a:t>2019</a:t>
            </a:r>
            <a:r>
              <a:rPr altLang="en-US" sz="1600" b="1">
                <a:latin typeface="+mj-ea"/>
                <a:cs typeface="+mj-ea"/>
              </a:rPr>
              <a:t>年度支出情况</a:t>
            </a:r>
            <a:endParaRPr altLang="en-US" sz="1600" b="1">
              <a:latin typeface="+mj-ea"/>
              <a:cs typeface="+mj-ea"/>
            </a:endParaRPr>
          </a:p>
        </c:rich>
      </c:tx>
      <c:layout/>
      <c:overlay val="0"/>
      <c:spPr>
        <a:noFill/>
        <a:ln>
          <a:noFill/>
        </a:ln>
        <a:effectLst/>
      </c:spPr>
    </c:title>
    <c:autoTitleDeleted val="0"/>
    <c:plotArea>
      <c:layout/>
      <c:ofPieChart>
        <c:ofPieType val="bar"/>
        <c:varyColors val="1"/>
        <c:ser>
          <c:idx val="1"/>
          <c:order val="0"/>
          <c:tx>
            <c:strRef>
              <c:f>Sheet1!$A$2</c:f>
              <c:strCache>
                <c:ptCount val="1"/>
                <c:pt idx="0">
                  <c:v>2019年支出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基本支出</c:v>
                </c:pt>
                <c:pt idx="1">
                  <c:v>项目支出</c:v>
                </c:pt>
              </c:strCache>
            </c:strRef>
          </c:cat>
          <c:val>
            <c:numRef>
              <c:f>Sheet1!$B$2:$C$2</c:f>
              <c:numCache>
                <c:formatCode>General</c:formatCode>
                <c:ptCount val="2"/>
                <c:pt idx="0">
                  <c:v>46.49</c:v>
                </c:pt>
                <c:pt idx="1">
                  <c:v>4.28</c:v>
                </c:pt>
              </c:numCache>
            </c:numRef>
          </c:val>
        </c:ser>
        <c:dLbls>
          <c:showLegendKey val="0"/>
          <c:showVal val="1"/>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收入支出决算总体情况</a:t>
            </a:r>
            <a:endParaRPr lang="zh-CN"/>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2018年</c:v>
                </c:pt>
                <c:pt idx="1">
                  <c:v>2019年</c:v>
                </c:pt>
              </c:strCache>
            </c:strRef>
          </c:cat>
          <c:val>
            <c:numRef>
              <c:f>Sheet1!$B$2:$B$3</c:f>
              <c:numCache>
                <c:formatCode>General</c:formatCode>
                <c:ptCount val="2"/>
                <c:pt idx="0">
                  <c:v>54.08</c:v>
                </c:pt>
                <c:pt idx="1">
                  <c:v>50.77</c:v>
                </c:pt>
              </c:numCache>
            </c:numRef>
          </c:val>
        </c:ser>
        <c:ser>
          <c:idx val="1"/>
          <c:order val="1"/>
          <c:tx>
            <c:strRef>
              <c:f>Sheet1!$C$1</c:f>
              <c:strCache>
                <c:ptCount val="1"/>
                <c:pt idx="0">
                  <c:v>支出</c:v>
                </c:pt>
              </c:strCache>
            </c:strRef>
          </c:tx>
          <c:invertIfNegative val="0"/>
          <c:dLbls>
            <c:delete val="1"/>
          </c:dLbls>
          <c:cat>
            <c:strRef>
              <c:f>Sheet1!$A$2:$A$3</c:f>
              <c:strCache>
                <c:ptCount val="2"/>
                <c:pt idx="0">
                  <c:v>2018年</c:v>
                </c:pt>
                <c:pt idx="1">
                  <c:v>2019年</c:v>
                </c:pt>
              </c:strCache>
            </c:strRef>
          </c:cat>
          <c:val>
            <c:numRef>
              <c:f>Sheet1!$C$2:$C$3</c:f>
              <c:numCache>
                <c:formatCode>General</c:formatCode>
                <c:ptCount val="2"/>
                <c:pt idx="0">
                  <c:v>54.08</c:v>
                </c:pt>
                <c:pt idx="1">
                  <c:v>50.77</c:v>
                </c:pt>
              </c:numCache>
            </c:numRef>
          </c:val>
        </c:ser>
        <c:dLbls>
          <c:showLegendKey val="0"/>
          <c:showVal val="0"/>
          <c:showCatName val="0"/>
          <c:showSerName val="0"/>
          <c:showPercent val="0"/>
          <c:showBubbleSize val="0"/>
        </c:dLbls>
        <c:gapWidth val="150"/>
        <c:axId val="87927424"/>
        <c:axId val="87933312"/>
      </c:barChart>
      <c:catAx>
        <c:axId val="879274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33312"/>
        <c:crosses val="autoZero"/>
        <c:auto val="1"/>
        <c:lblAlgn val="ctr"/>
        <c:lblOffset val="100"/>
        <c:noMultiLvlLbl val="0"/>
      </c:catAx>
      <c:valAx>
        <c:axId val="87933312"/>
        <c:scaling>
          <c:orientation val="minMax"/>
          <c:min val="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27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t>财政拨款支出决算总体情况</a:t>
            </a:r>
          </a:p>
        </c:rich>
      </c:tx>
      <c:layout>
        <c:manualLayout>
          <c:xMode val="edge"/>
          <c:yMode val="edge"/>
          <c:x val="0.231760173368649"/>
          <c:y val="0.00966183574879227"/>
        </c:manualLayout>
      </c:layout>
      <c:overlay val="0"/>
    </c:title>
    <c:autoTitleDeleted val="0"/>
    <c:plotArea>
      <c:layout/>
      <c:barChart>
        <c:barDir val="col"/>
        <c:grouping val="clustered"/>
        <c:varyColors val="0"/>
        <c:ser>
          <c:idx val="0"/>
          <c:order val="0"/>
          <c:tx>
            <c:strRef>
              <c:f>Sheet1!$B$1</c:f>
              <c:strCache>
                <c:ptCount val="1"/>
                <c:pt idx="0">
                  <c:v>支出</c:v>
                </c:pt>
              </c:strCache>
            </c:strRef>
          </c:tx>
          <c:spPr>
            <a:solidFill>
              <a:schemeClr val="accent6"/>
            </a:solidFill>
          </c:spPr>
          <c:invertIfNegative val="0"/>
          <c:dLbls>
            <c:delete val="1"/>
          </c:dLbls>
          <c:cat>
            <c:strRef>
              <c:f>Sheet1!$A$2:$A$3</c:f>
              <c:strCache>
                <c:ptCount val="2"/>
                <c:pt idx="0">
                  <c:v>2018年</c:v>
                </c:pt>
                <c:pt idx="1">
                  <c:v>2019年</c:v>
                </c:pt>
              </c:strCache>
            </c:strRef>
          </c:cat>
          <c:val>
            <c:numRef>
              <c:f>Sheet1!$B$2:$B$3</c:f>
              <c:numCache>
                <c:formatCode>General</c:formatCode>
                <c:ptCount val="2"/>
                <c:pt idx="0">
                  <c:v>54.08</c:v>
                </c:pt>
                <c:pt idx="1">
                  <c:v>50.77</c:v>
                </c:pt>
              </c:numCache>
            </c:numRef>
          </c:val>
        </c:ser>
        <c:dLbls>
          <c:showLegendKey val="0"/>
          <c:showVal val="0"/>
          <c:showCatName val="0"/>
          <c:showSerName val="0"/>
          <c:showPercent val="0"/>
          <c:showBubbleSize val="0"/>
        </c:dLbls>
        <c:gapWidth val="150"/>
        <c:axId val="87927424"/>
        <c:axId val="87933312"/>
      </c:barChart>
      <c:catAx>
        <c:axId val="879274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33312"/>
        <c:crosses val="autoZero"/>
        <c:auto val="1"/>
        <c:lblAlgn val="ctr"/>
        <c:lblOffset val="100"/>
        <c:noMultiLvlLbl val="0"/>
      </c:catAx>
      <c:valAx>
        <c:axId val="87933312"/>
        <c:scaling>
          <c:orientation val="minMax"/>
          <c:min val="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27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solidFill>
      <a:schemeClr val="bg1"/>
    </a:solidFill>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Adiministraor</cp:lastModifiedBy>
  <cp:lastPrinted>2020-10-23T07:02:00Z</cp:lastPrinted>
  <dcterms:modified xsi:type="dcterms:W3CDTF">2020-10-23T09:40:07Z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