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15" w:afterLines="20" w:line="576" w:lineRule="exact"/>
        <w:jc w:val="center"/>
        <w:rPr>
          <w:rFonts w:hint="eastAsia" w:ascii="方正小标宋简体" w:eastAsia="方正小标宋简体"/>
          <w:spacing w:val="30"/>
          <w:sz w:val="44"/>
          <w:szCs w:val="44"/>
        </w:rPr>
      </w:pPr>
    </w:p>
    <w:p>
      <w:pPr>
        <w:rPr>
          <w:rFonts w:ascii="黑体" w:hAnsi="黑体" w:eastAsia="黑体"/>
          <w:sz w:val="32"/>
          <w:szCs w:val="32"/>
        </w:rPr>
      </w:pP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5"/>
        <w:shd w:val="clear" w:color="auto" w:fill="FFFFFF"/>
        <w:spacing w:before="0" w:beforeAutospacing="0" w:after="0" w:afterAutospacing="0"/>
        <w:jc w:val="center"/>
        <w:rPr>
          <w:rStyle w:val="9"/>
          <w:rFonts w:hint="eastAsia"/>
          <w:sz w:val="36"/>
          <w:szCs w:val="36"/>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r>
        <w:rPr>
          <w:rStyle w:val="9"/>
          <w:rFonts w:hint="eastAsia" w:ascii="方正小标宋简体" w:hAnsi="方正小标宋简体" w:eastAsia="方正小标宋简体" w:cs="方正小标宋简体"/>
          <w:sz w:val="44"/>
          <w:szCs w:val="44"/>
          <w:lang w:eastAsia="zh-CN"/>
        </w:rPr>
        <w:t>阎良区统计局</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hint="eastAsia" w:ascii="方正小标宋简体" w:hAnsi="方正小标宋简体" w:eastAsia="方正小标宋简体" w:cs="方正小标宋简体"/>
          <w:color w:val="000000"/>
          <w:sz w:val="44"/>
          <w:szCs w:val="44"/>
        </w:rPr>
        <w:t>201</w:t>
      </w:r>
      <w:r>
        <w:rPr>
          <w:rStyle w:val="9"/>
          <w:rFonts w:hint="eastAsia" w:ascii="方正小标宋简体" w:hAnsi="方正小标宋简体" w:eastAsia="方正小标宋简体" w:cs="方正小标宋简体"/>
          <w:color w:val="000000"/>
          <w:sz w:val="44"/>
          <w:szCs w:val="44"/>
          <w:lang w:val="en-US" w:eastAsia="zh-CN"/>
        </w:rPr>
        <w:t>9</w:t>
      </w:r>
      <w:r>
        <w:rPr>
          <w:rStyle w:val="9"/>
          <w:rFonts w:hint="eastAsia" w:ascii="方正小标宋简体" w:hAnsi="方正小标宋简体" w:eastAsia="方正小标宋简体" w:cs="方正小标宋简体"/>
          <w:color w:val="000000"/>
          <w:sz w:val="44"/>
          <w:szCs w:val="44"/>
        </w:rPr>
        <w:t>年度部门决算</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lang w:eastAsia="zh-CN"/>
        </w:rPr>
        <w:t>已审查</w:t>
      </w:r>
    </w:p>
    <w:p>
      <w:pPr>
        <w:spacing w:line="400" w:lineRule="exact"/>
        <w:jc w:val="center"/>
        <w:rPr>
          <w:rFonts w:hint="eastAsia" w:asciiTheme="minorEastAsia" w:hAnsiTheme="minorEastAsia" w:eastAsiaTheme="minorEastAsia" w:cstheme="minorEastAsia"/>
          <w:b/>
          <w:bCs/>
          <w:sz w:val="32"/>
          <w:szCs w:val="32"/>
        </w:rPr>
      </w:pPr>
    </w:p>
    <w:p>
      <w:pPr>
        <w:spacing w:line="400" w:lineRule="exact"/>
        <w:ind w:firstLine="2088" w:firstLineChars="650"/>
        <w:rPr>
          <w:rFonts w:hint="default" w:ascii="宋体" w:hAnsi="宋体" w:cs="宋体" w:eastAsiaTheme="minorEastAsia"/>
          <w:b/>
          <w:bCs/>
          <w:sz w:val="32"/>
          <w:szCs w:val="32"/>
          <w:lang w:val="en-US" w:eastAsia="zh-CN"/>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lang w:eastAsia="zh-CN"/>
        </w:rPr>
        <w:t>曹新强</w:t>
      </w:r>
      <w:r>
        <w:rPr>
          <w:rFonts w:hint="eastAsia" w:asciiTheme="minorEastAsia" w:hAnsiTheme="minorEastAsia" w:eastAsiaTheme="minorEastAsia" w:cstheme="minorEastAsia"/>
          <w:b/>
          <w:bCs/>
          <w:sz w:val="32"/>
          <w:szCs w:val="32"/>
          <w:lang w:val="en-US" w:eastAsia="zh-CN"/>
        </w:rPr>
        <w:t xml:space="preserve"> 已审签</w:t>
      </w:r>
    </w:p>
    <w:p>
      <w:pPr>
        <w:jc w:val="center"/>
        <w:rPr>
          <w:rFonts w:ascii="黑体" w:hAnsi="宋体" w:eastAsia="黑体"/>
          <w:b/>
          <w:color w:val="000000"/>
          <w:kern w:val="0"/>
          <w:sz w:val="56"/>
          <w:szCs w:val="56"/>
          <w:lang w:bidi="ar"/>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eastAsia" w:ascii="黑体" w:hAnsi="Times New Roman" w:eastAsia="黑体" w:cs="楷体"/>
          <w:bCs/>
          <w:color w:val="000000"/>
          <w:kern w:val="0"/>
          <w:sz w:val="32"/>
          <w:szCs w:val="32"/>
          <w:lang w:val="en-US" w:eastAsia="zh-CN" w:bidi="ar-SA"/>
        </w:rPr>
      </w:pPr>
      <w:r>
        <w:rPr>
          <w:rFonts w:hint="eastAsia" w:ascii="黑体" w:hAnsi="Times New Roman" w:eastAsia="黑体" w:cs="楷体"/>
          <w:bCs/>
          <w:color w:val="000000"/>
          <w:kern w:val="0"/>
          <w:sz w:val="32"/>
          <w:szCs w:val="32"/>
          <w:lang w:val="en-US" w:eastAsia="zh-CN" w:bidi="ar-SA"/>
        </w:rPr>
        <w:t>一、部门主要职责及内设机构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（一）主要职责</w:t>
      </w:r>
    </w:p>
    <w:p>
      <w:pPr>
        <w:ind w:firstLine="640" w:firstLineChars="200"/>
        <w:rPr>
          <w:rFonts w:hint="eastAsia" w:ascii="仿宋_GB2312" w:eastAsia="仿宋_GB2312"/>
          <w:szCs w:val="32"/>
        </w:rPr>
      </w:pPr>
      <w:r>
        <w:rPr>
          <w:rFonts w:hint="eastAsia" w:ascii="仿宋_GB2312" w:eastAsia="仿宋_GB2312"/>
          <w:szCs w:val="32"/>
        </w:rPr>
        <w:t>1、贯彻执行国家、省、市统计工作的法律、法规、政策和统计标准，执行全国统一的基本统计报表制度和核算制度，完成国家、省、市、区政府下达的统计调查任务。</w:t>
      </w:r>
    </w:p>
    <w:p>
      <w:pPr>
        <w:ind w:firstLine="648"/>
        <w:rPr>
          <w:rFonts w:hint="eastAsia" w:ascii="仿宋_GB2312" w:eastAsia="仿宋_GB2312"/>
          <w:szCs w:val="32"/>
        </w:rPr>
      </w:pPr>
      <w:r>
        <w:rPr>
          <w:rFonts w:hint="eastAsia" w:ascii="仿宋_GB2312" w:eastAsia="仿宋_GB2312"/>
          <w:szCs w:val="32"/>
        </w:rPr>
        <w:t>2、收集、整理并提供本区国民经济、社会发展、科技进步、资源环境的基本数据及公共机关能源、资源节约利用的数据，并进行统计、分析、预测和监督；统一核定、管理、公布全区性的基本统计资料；定期向社会公众发布全区国民经济和社会发展情况的统计信息；向区委，区政府及综合职能部门提供统计资料，提供决策咨询。</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（二）内设机构</w:t>
      </w:r>
    </w:p>
    <w:p>
      <w:pPr>
        <w:ind w:firstLine="648"/>
        <w:rPr>
          <w:rFonts w:hint="eastAsia" w:ascii="楷体" w:hAnsi="楷体" w:eastAsia="楷体" w:cs="楷体"/>
          <w:b/>
          <w:bCs/>
          <w:color w:val="000000"/>
          <w:kern w:val="0"/>
          <w:sz w:val="32"/>
          <w:szCs w:val="32"/>
          <w:lang w:bidi="ar"/>
        </w:rPr>
      </w:pPr>
      <w:r>
        <w:rPr>
          <w:rFonts w:hint="eastAsia" w:ascii="仿宋_GB2312" w:eastAsia="仿宋_GB2312"/>
          <w:szCs w:val="32"/>
        </w:rPr>
        <w:t>根据职责，区统计局设3个科室，分别为综合科、业务科、数据管理科。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rPr>
      </w:pPr>
      <w:r>
        <w:rPr>
          <w:rFonts w:ascii="黑体" w:hAnsi="宋体" w:eastAsia="黑体"/>
          <w:color w:val="000000"/>
          <w:kern w:val="0"/>
          <w:sz w:val="32"/>
          <w:szCs w:val="32"/>
          <w:lang w:bidi="ar"/>
        </w:rPr>
        <w:t>二、</w:t>
      </w:r>
      <w:r>
        <w:rPr>
          <w:rFonts w:hint="eastAsia" w:ascii="黑体" w:hAnsi="宋体" w:eastAsia="黑体"/>
          <w:color w:val="000000"/>
          <w:kern w:val="0"/>
          <w:sz w:val="32"/>
          <w:szCs w:val="32"/>
          <w:lang w:bidi="ar"/>
        </w:rPr>
        <w:t>部门决算单位构成</w:t>
      </w:r>
    </w:p>
    <w:p>
      <w:pPr>
        <w:spacing w:line="576" w:lineRule="exact"/>
        <w:ind w:firstLine="480" w:firstLineChars="150"/>
        <w:rPr>
          <w:rFonts w:hint="eastAsia" w:ascii="仿宋_GB2312" w:hAnsi="微软雅黑" w:eastAsia="仿宋_GB2312" w:cs="Arial"/>
          <w:kern w:val="0"/>
          <w:szCs w:val="32"/>
          <w:lang w:eastAsia="zh-CN"/>
        </w:rPr>
      </w:pPr>
      <w:r>
        <w:rPr>
          <w:rFonts w:hint="eastAsia" w:ascii="仿宋_GB2312" w:hAnsi="微软雅黑" w:eastAsia="仿宋_GB2312" w:cs="Arial"/>
          <w:kern w:val="0"/>
          <w:szCs w:val="32"/>
        </w:rPr>
        <w:t>从决算单位构成看，本部门决算单位包括部门本级决算</w:t>
      </w:r>
      <w:r>
        <w:rPr>
          <w:rFonts w:hint="eastAsia" w:ascii="仿宋_GB2312" w:hAnsi="微软雅黑" w:eastAsia="仿宋_GB2312" w:cs="Arial"/>
          <w:kern w:val="0"/>
          <w:szCs w:val="32"/>
          <w:lang w:eastAsia="zh-CN"/>
        </w:rPr>
        <w:t>。</w:t>
      </w:r>
    </w:p>
    <w:p>
      <w:pPr>
        <w:numPr>
          <w:ilvl w:val="0"/>
          <w:numId w:val="0"/>
        </w:numPr>
        <w:spacing w:line="576" w:lineRule="exact"/>
        <w:ind w:left="480" w:leftChars="0"/>
        <w:rPr>
          <w:rFonts w:hint="eastAsia" w:ascii="仿宋_GB2312" w:hAnsi="微软雅黑" w:eastAsia="仿宋_GB2312" w:cs="Arial"/>
          <w:kern w:val="0"/>
          <w:szCs w:val="32"/>
        </w:rPr>
      </w:pPr>
      <w:r>
        <w:rPr>
          <w:rFonts w:hint="eastAsia" w:ascii="仿宋_GB2312" w:hAnsi="微软雅黑" w:eastAsia="仿宋_GB2312" w:cs="Arial"/>
          <w:kern w:val="0"/>
          <w:szCs w:val="32"/>
        </w:rPr>
        <w:t>纳入本部门201</w:t>
      </w:r>
      <w:r>
        <w:rPr>
          <w:rFonts w:hint="eastAsia" w:ascii="仿宋_GB2312" w:hAnsi="微软雅黑" w:eastAsia="仿宋_GB2312" w:cs="Arial"/>
          <w:kern w:val="0"/>
          <w:szCs w:val="32"/>
          <w:lang w:val="en-US" w:eastAsia="zh-CN"/>
        </w:rPr>
        <w:t>9</w:t>
      </w:r>
      <w:r>
        <w:rPr>
          <w:rFonts w:hint="eastAsia" w:ascii="仿宋_GB2312" w:hAnsi="微软雅黑" w:eastAsia="仿宋_GB2312" w:cs="Arial"/>
          <w:kern w:val="0"/>
          <w:szCs w:val="32"/>
        </w:rPr>
        <w:t>年部门决算编制范围的二级决算单位有</w:t>
      </w:r>
      <w:r>
        <w:rPr>
          <w:rFonts w:hint="eastAsia" w:ascii="仿宋_GB2312" w:hAnsi="微软雅黑" w:eastAsia="仿宋_GB2312" w:cs="Arial"/>
          <w:kern w:val="0"/>
          <w:szCs w:val="32"/>
          <w:lang w:val="en-US" w:eastAsia="zh-CN"/>
        </w:rPr>
        <w:t>2</w:t>
      </w:r>
      <w:r>
        <w:rPr>
          <w:rFonts w:hint="eastAsia" w:ascii="仿宋_GB2312" w:hAnsi="微软雅黑" w:eastAsia="仿宋_GB2312" w:cs="Arial"/>
          <w:kern w:val="0"/>
          <w:szCs w:val="32"/>
        </w:rPr>
        <w:t>个，包括：</w:t>
      </w:r>
      <w:r>
        <w:rPr>
          <w:rFonts w:hint="eastAsia" w:ascii="仿宋_GB2312" w:hAnsi="微软雅黑" w:eastAsia="仿宋_GB2312" w:cs="Arial"/>
          <w:kern w:val="0"/>
          <w:szCs w:val="32"/>
          <w:lang w:val="en-US" w:eastAsia="zh-CN"/>
        </w:rPr>
        <w:t>1</w:t>
      </w:r>
      <w:r>
        <w:rPr>
          <w:rFonts w:hint="eastAsia" w:ascii="仿宋_GB2312" w:hAnsi="微软雅黑" w:eastAsia="仿宋_GB2312" w:cs="Arial"/>
          <w:kern w:val="0"/>
          <w:szCs w:val="32"/>
        </w:rPr>
        <w:t>阎良区统计局本级机关</w:t>
      </w:r>
      <w:r>
        <w:rPr>
          <w:rFonts w:hint="eastAsia" w:ascii="仿宋_GB2312" w:hAnsi="微软雅黑" w:eastAsia="仿宋_GB2312" w:cs="Arial"/>
          <w:kern w:val="0"/>
          <w:szCs w:val="32"/>
          <w:lang w:val="en-US" w:eastAsia="zh-CN"/>
        </w:rPr>
        <w:t xml:space="preserve">   </w:t>
      </w:r>
      <w:r>
        <w:rPr>
          <w:rFonts w:hint="eastAsia" w:ascii="仿宋_GB2312" w:hAnsi="微软雅黑" w:eastAsia="仿宋_GB2312" w:cs="Arial"/>
          <w:b w:val="0"/>
          <w:bCs w:val="0"/>
          <w:kern w:val="0"/>
          <w:szCs w:val="32"/>
          <w:lang w:val="en-US" w:eastAsia="zh-CN"/>
        </w:rPr>
        <w:t xml:space="preserve"> 2、</w:t>
      </w:r>
      <w:r>
        <w:rPr>
          <w:rFonts w:hint="eastAsia" w:ascii="仿宋_GB2312" w:hAnsi="微软雅黑" w:eastAsia="仿宋_GB2312" w:cs="Arial"/>
          <w:b w:val="0"/>
          <w:bCs w:val="0"/>
          <w:kern w:val="0"/>
          <w:szCs w:val="32"/>
        </w:rPr>
        <w:t>阎良区普查中心</w:t>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1681" w:type="dxa"/>
            <w:vAlign w:val="center"/>
          </w:tcPr>
          <w:p>
            <w:pPr>
              <w:jc w:val="center"/>
              <w:rPr>
                <w:rFonts w:ascii="黑体" w:hAnsi="黑体" w:eastAsia="黑体"/>
                <w:sz w:val="28"/>
                <w:szCs w:val="28"/>
              </w:rPr>
            </w:pPr>
            <w:r>
              <w:rPr>
                <w:rFonts w:hint="eastAsia" w:ascii="黑体" w:hAnsi="黑体" w:eastAsia="黑体"/>
                <w:sz w:val="28"/>
                <w:szCs w:val="28"/>
              </w:rPr>
              <w:t>序号</w:t>
            </w:r>
          </w:p>
        </w:tc>
        <w:tc>
          <w:tcPr>
            <w:tcW w:w="7278" w:type="dxa"/>
            <w:vAlign w:val="center"/>
          </w:tcPr>
          <w:p>
            <w:pPr>
              <w:jc w:val="center"/>
              <w:rPr>
                <w:rFonts w:ascii="黑体" w:hAnsi="黑体" w:eastAsia="黑体"/>
                <w:sz w:val="28"/>
                <w:szCs w:val="28"/>
              </w:rPr>
            </w:pPr>
            <w:r>
              <w:rPr>
                <w:rFonts w:hint="eastAsia" w:ascii="黑体" w:hAnsi="黑体" w:eastAsia="黑体"/>
                <w:sz w:val="28"/>
                <w:szCs w:val="28"/>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68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278" w:type="dxa"/>
            <w:vAlign w:val="center"/>
          </w:tcPr>
          <w:p>
            <w:pPr>
              <w:ind w:firstLine="1960" w:firstLineChars="700"/>
              <w:jc w:val="both"/>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阎良区统计局本级机关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68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7278" w:type="dxa"/>
            <w:vAlign w:val="center"/>
          </w:tcPr>
          <w:p>
            <w:pPr>
              <w:ind w:firstLine="1960" w:firstLineChars="7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阎良区普查中心</w:t>
            </w:r>
          </w:p>
        </w:tc>
      </w:tr>
    </w:tbl>
    <w:p>
      <w:pPr>
        <w:ind w:firstLine="640"/>
        <w:rPr>
          <w:rFonts w:ascii="黑体" w:hAnsi="黑体" w:eastAsia="黑体"/>
          <w:b/>
          <w:bCs/>
          <w:sz w:val="32"/>
          <w:szCs w:val="32"/>
        </w:rPr>
      </w:pPr>
      <w:r>
        <w:rPr>
          <w:rFonts w:hint="eastAsia" w:ascii="黑体" w:hAnsi="黑体" w:eastAsia="黑体"/>
          <w:b/>
          <w:bCs/>
          <w:sz w:val="32"/>
          <w:szCs w:val="32"/>
        </w:rPr>
        <w:t>三、部门人员情况</w:t>
      </w:r>
    </w:p>
    <w:p>
      <w:pPr>
        <w:spacing w:line="576" w:lineRule="exact"/>
        <w:ind w:firstLine="480" w:firstLineChars="150"/>
        <w:rPr>
          <w:rFonts w:hint="eastAsia" w:ascii="仿宋_GB2312" w:hAnsi="微软雅黑" w:eastAsia="仿宋_GB2312" w:cs="Arial"/>
          <w:kern w:val="0"/>
          <w:szCs w:val="32"/>
        </w:rPr>
      </w:pPr>
      <w:r>
        <w:rPr>
          <w:rFonts w:hint="eastAsia" w:ascii="仿宋_GB2312" w:hAnsi="微软雅黑" w:eastAsia="仿宋_GB2312" w:cs="Arial"/>
          <w:kern w:val="0"/>
          <w:szCs w:val="32"/>
        </w:rPr>
        <w:t>截止201</w:t>
      </w:r>
      <w:r>
        <w:rPr>
          <w:rFonts w:hint="eastAsia" w:ascii="仿宋_GB2312" w:hAnsi="微软雅黑" w:eastAsia="仿宋_GB2312" w:cs="Arial"/>
          <w:kern w:val="0"/>
          <w:szCs w:val="32"/>
          <w:lang w:val="en-US" w:eastAsia="zh-CN"/>
        </w:rPr>
        <w:t>9</w:t>
      </w:r>
      <w:r>
        <w:rPr>
          <w:rFonts w:hint="eastAsia" w:ascii="仿宋_GB2312" w:hAnsi="微软雅黑" w:eastAsia="仿宋_GB2312" w:cs="Arial"/>
          <w:kern w:val="0"/>
          <w:szCs w:val="32"/>
        </w:rPr>
        <w:t>年底，本部门人员编制16人，其中行政单位编制8人，参公事业单位编制8人；实有1</w:t>
      </w:r>
      <w:r>
        <w:rPr>
          <w:rFonts w:hint="eastAsia" w:ascii="仿宋_GB2312" w:hAnsi="微软雅黑" w:eastAsia="仿宋_GB2312" w:cs="Arial"/>
          <w:kern w:val="0"/>
          <w:szCs w:val="32"/>
          <w:lang w:val="en-US" w:eastAsia="zh-CN"/>
        </w:rPr>
        <w:t>4</w:t>
      </w:r>
      <w:r>
        <w:rPr>
          <w:rFonts w:hint="eastAsia" w:ascii="仿宋_GB2312" w:hAnsi="微软雅黑" w:eastAsia="仿宋_GB2312" w:cs="Arial"/>
          <w:kern w:val="0"/>
          <w:szCs w:val="32"/>
        </w:rPr>
        <w:t>人，其中行政</w:t>
      </w:r>
      <w:r>
        <w:rPr>
          <w:rFonts w:hint="eastAsia" w:ascii="仿宋_GB2312" w:hAnsi="微软雅黑" w:eastAsia="仿宋_GB2312" w:cs="Arial"/>
          <w:kern w:val="0"/>
          <w:szCs w:val="32"/>
          <w:lang w:val="en-US" w:eastAsia="zh-CN"/>
        </w:rPr>
        <w:t>6</w:t>
      </w:r>
      <w:r>
        <w:rPr>
          <w:rFonts w:hint="eastAsia" w:ascii="仿宋_GB2312" w:hAnsi="微软雅黑" w:eastAsia="仿宋_GB2312" w:cs="Arial"/>
          <w:kern w:val="0"/>
          <w:szCs w:val="32"/>
        </w:rPr>
        <w:t>人，事业8人。单位管理的离退休人员5人。</w:t>
      </w:r>
    </w:p>
    <w:p>
      <w:pPr>
        <w:spacing w:line="576" w:lineRule="exact"/>
        <w:ind w:firstLine="480" w:firstLineChars="150"/>
        <w:rPr>
          <w:rFonts w:hint="eastAsia" w:ascii="仿宋_GB2312" w:hAnsi="微软雅黑" w:eastAsia="仿宋_GB2312" w:cs="Arial"/>
          <w:kern w:val="0"/>
          <w:szCs w:val="32"/>
        </w:rPr>
      </w:pPr>
    </w:p>
    <w:p>
      <w:pPr>
        <w:widowControl/>
        <w:jc w:val="center"/>
        <w:rPr>
          <w:sz w:val="44"/>
          <w:szCs w:val="44"/>
        </w:rPr>
      </w:pPr>
      <w:r>
        <w:rPr>
          <w:rFonts w:ascii="黑体" w:hAnsi="宋体" w:eastAsia="黑体"/>
          <w:color w:val="000000"/>
          <w:kern w:val="0"/>
          <w:sz w:val="44"/>
          <w:szCs w:val="44"/>
        </w:rPr>
        <w:t>第二部分 2019年度部门决算表</w:t>
      </w:r>
    </w:p>
    <w:tbl>
      <w:tblPr>
        <w:tblStyle w:val="6"/>
        <w:tblpPr w:leftFromText="180" w:rightFromText="180" w:vertAnchor="text" w:horzAnchor="page" w:tblpX="1508" w:tblpY="1123"/>
        <w:tblOverlap w:val="never"/>
        <w:tblW w:w="9261" w:type="dxa"/>
        <w:tblInd w:w="0" w:type="dxa"/>
        <w:tblLayout w:type="fixed"/>
        <w:tblCellMar>
          <w:top w:w="0" w:type="dxa"/>
          <w:left w:w="0" w:type="dxa"/>
          <w:bottom w:w="0" w:type="dxa"/>
          <w:right w:w="0" w:type="dxa"/>
        </w:tblCellMar>
      </w:tblPr>
      <w:tblGrid>
        <w:gridCol w:w="570"/>
        <w:gridCol w:w="6111"/>
        <w:gridCol w:w="600"/>
        <w:gridCol w:w="198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11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9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是</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1"/>
                <w:szCs w:val="21"/>
                <w:lang w:eastAsia="zh-CN"/>
              </w:rPr>
            </w:pPr>
            <w:r>
              <w:rPr>
                <w:rFonts w:hint="eastAsia" w:ascii="宋体" w:hAnsi="宋体" w:cs="宋体"/>
                <w:color w:val="000000"/>
                <w:sz w:val="18"/>
                <w:szCs w:val="18"/>
                <w:lang w:eastAsia="zh-CN"/>
              </w:rPr>
              <w:t>本部门不涉及此项</w:t>
            </w:r>
            <w:r>
              <w:rPr>
                <w:rFonts w:hint="eastAsia" w:ascii="宋体" w:hAnsi="宋体" w:cs="宋体"/>
                <w:color w:val="000000"/>
                <w:sz w:val="21"/>
                <w:szCs w:val="21"/>
                <w:lang w:eastAsia="zh-CN"/>
              </w:rPr>
              <w:t>支出</w:t>
            </w: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统计局</w:t>
      </w:r>
      <w:r>
        <w:rPr>
          <w:rFonts w:hint="eastAsia" w:ascii="宋体" w:hAnsi="宋体" w:eastAsia="宋体" w:cs="宋体"/>
          <w:b/>
          <w:bCs/>
          <w:sz w:val="21"/>
          <w:szCs w:val="21"/>
        </w:rPr>
        <w:t xml:space="preserve">                                               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318.05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tabs>
                <w:tab w:val="left" w:pos="525"/>
              </w:tabs>
              <w:jc w:val="righ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307.41</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8.35</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2.29</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64"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tabs>
                <w:tab w:val="left" w:pos="480"/>
              </w:tabs>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318.05</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jc w:val="right"/>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318.05</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jc w:val="right"/>
              <w:rPr>
                <w:rFonts w:ascii="宋体" w:hAnsi="宋体" w:eastAsia="宋体" w:cs="宋体"/>
                <w:b w:val="0"/>
                <w:bCs/>
                <w:color w:val="00000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val="0"/>
                <w:bCs/>
                <w:color w:val="000000"/>
                <w:sz w:val="21"/>
                <w:szCs w:val="21"/>
              </w:rPr>
            </w:pP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318.05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318.05</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统计局</w:t>
      </w:r>
      <w:r>
        <w:rPr>
          <w:rFonts w:hint="eastAsia" w:ascii="宋体" w:hAnsi="宋体" w:eastAsia="宋体" w:cs="宋体"/>
          <w:b/>
          <w:bCs/>
          <w:sz w:val="21"/>
          <w:szCs w:val="21"/>
        </w:rPr>
        <w:t xml:space="preserve">                                               金额单位：万元</w:t>
      </w:r>
    </w:p>
    <w:tbl>
      <w:tblPr>
        <w:tblStyle w:val="6"/>
        <w:tblW w:w="8867" w:type="dxa"/>
        <w:tblInd w:w="0" w:type="dxa"/>
        <w:tblLayout w:type="fixed"/>
        <w:tblCellMar>
          <w:top w:w="15" w:type="dxa"/>
          <w:left w:w="15" w:type="dxa"/>
          <w:bottom w:w="15" w:type="dxa"/>
          <w:right w:w="15" w:type="dxa"/>
        </w:tblCellMar>
      </w:tblPr>
      <w:tblGrid>
        <w:gridCol w:w="927"/>
        <w:gridCol w:w="1036"/>
        <w:gridCol w:w="945"/>
        <w:gridCol w:w="780"/>
        <w:gridCol w:w="600"/>
        <w:gridCol w:w="825"/>
        <w:gridCol w:w="1005"/>
        <w:gridCol w:w="949"/>
        <w:gridCol w:w="990"/>
        <w:gridCol w:w="810"/>
      </w:tblGrid>
      <w:tr>
        <w:tblPrEx>
          <w:tblCellMar>
            <w:top w:w="15" w:type="dxa"/>
            <w:left w:w="15" w:type="dxa"/>
            <w:bottom w:w="15" w:type="dxa"/>
            <w:right w:w="15" w:type="dxa"/>
          </w:tblCellMar>
        </w:tblPrEx>
        <w:trPr>
          <w:trHeight w:val="439" w:hRule="atLeast"/>
        </w:trPr>
        <w:tc>
          <w:tcPr>
            <w:tcW w:w="196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8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9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03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9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196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945" w:type="dxa"/>
            <w:tcBorders>
              <w:top w:val="single" w:color="000000" w:sz="4" w:space="0"/>
              <w:left w:val="single" w:color="000000" w:sz="4" w:space="0"/>
              <w:bottom w:val="single" w:color="000000" w:sz="4" w:space="0"/>
              <w:right w:val="single" w:color="000000" w:sz="4" w:space="0"/>
            </w:tcBorders>
            <w:vAlign w:val="center"/>
          </w:tcPr>
          <w:p>
            <w:pPr>
              <w:tabs>
                <w:tab w:val="left" w:pos="270"/>
              </w:tabs>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318.05</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318.05</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一般公共服务支出</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307.41</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307.41</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统计信息事务</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307.41</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307.41</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2010501</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行政运行</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132.01</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132.01</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2010502</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80.00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80.00</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2010505</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专项统计业务</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13.30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13.30</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2010507</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专项普查活动</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45.10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45.10</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2010599</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其他统计信息事务支出</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37.00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37.00</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社会保障和就业支出</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行政事业单位离退休</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2080505</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卫生健康支出</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行政事业单位医疗</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2101101</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行政单位医疗</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公开03表</w:t>
      </w:r>
    </w:p>
    <w:p>
      <w:pPr>
        <w:rPr>
          <w:rFonts w:ascii="宋体" w:hAnsi="宋体" w:eastAsia="宋体" w:cs="宋体"/>
          <w:b/>
          <w:bCs/>
          <w:sz w:val="48"/>
          <w:szCs w:val="48"/>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统计局</w:t>
      </w:r>
      <w:r>
        <w:rPr>
          <w:rFonts w:hint="eastAsia" w:ascii="宋体" w:hAnsi="宋体" w:eastAsia="宋体" w:cs="宋体"/>
          <w:b/>
          <w:bCs/>
          <w:sz w:val="21"/>
          <w:szCs w:val="21"/>
        </w:rPr>
        <w:t xml:space="preserve">                                          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318.05</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142.65</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175.40</w:t>
            </w:r>
          </w:p>
        </w:tc>
        <w:tc>
          <w:tcPr>
            <w:tcW w:w="1109" w:type="dxa"/>
            <w:tcBorders>
              <w:top w:val="single" w:color="000000" w:sz="4" w:space="0"/>
              <w:left w:val="single" w:color="000000" w:sz="4" w:space="0"/>
              <w:bottom w:val="single" w:color="000000" w:sz="4" w:space="0"/>
              <w:right w:val="single" w:color="000000" w:sz="4" w:space="0"/>
            </w:tcBorders>
            <w:vAlign w:val="center"/>
          </w:tcPr>
          <w:p>
            <w:pPr>
              <w:tabs>
                <w:tab w:val="left" w:pos="569"/>
              </w:tabs>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 xml:space="preserve">  0</w:t>
            </w:r>
          </w:p>
        </w:tc>
        <w:tc>
          <w:tcPr>
            <w:tcW w:w="908" w:type="dxa"/>
            <w:tcBorders>
              <w:top w:val="single" w:color="000000" w:sz="4" w:space="0"/>
              <w:left w:val="single" w:color="000000" w:sz="4" w:space="0"/>
              <w:bottom w:val="single" w:color="000000" w:sz="4" w:space="0"/>
              <w:right w:val="single" w:color="000000" w:sz="4" w:space="0"/>
            </w:tcBorders>
            <w:vAlign w:val="center"/>
          </w:tcPr>
          <w:p>
            <w:pPr>
              <w:tabs>
                <w:tab w:val="left" w:pos="569"/>
              </w:tabs>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tabs>
                <w:tab w:val="left" w:pos="569"/>
              </w:tabs>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一般公共服务支出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307.41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132.01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175.40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统计信息事务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307.41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132.01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175.40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行政运行</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132.01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132.01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专项统计业务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13.30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13.30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2010507</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专项普查活动</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45.10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45.10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其他统计信息事务支出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社会保障和就业支出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行政事业单位离退休</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行政单位医疗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统计局</w:t>
      </w:r>
      <w:r>
        <w:rPr>
          <w:rFonts w:hint="eastAsia" w:ascii="宋体" w:hAnsi="宋体" w:eastAsia="宋体" w:cs="宋体"/>
          <w:b/>
          <w:bCs/>
          <w:sz w:val="21"/>
          <w:szCs w:val="21"/>
        </w:rPr>
        <w:t xml:space="preserve">                                          金额单位：万元</w:t>
      </w:r>
    </w:p>
    <w:tbl>
      <w:tblPr>
        <w:tblStyle w:val="6"/>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318.05</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307.41</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307.41</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8.35</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统计局</w:t>
      </w:r>
      <w:r>
        <w:rPr>
          <w:rFonts w:hint="eastAsia" w:ascii="宋体" w:hAnsi="宋体" w:eastAsia="宋体" w:cs="宋体"/>
          <w:b/>
          <w:bCs/>
          <w:sz w:val="21"/>
          <w:szCs w:val="21"/>
        </w:rPr>
        <w:t xml:space="preserve">                                              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318.05</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318.05</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318.05</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val="en-US" w:eastAsia="zh-CN"/>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val="en-US" w:eastAsia="zh-CN"/>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318.05</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318.05</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318.05</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0</w:t>
            </w:r>
          </w:p>
        </w:tc>
      </w:tr>
    </w:tbl>
    <w:p>
      <w:pPr>
        <w:rPr>
          <w:rFonts w:ascii="宋体" w:hAnsi="宋体" w:eastAsia="宋体" w:cs="宋体"/>
          <w:sz w:val="21"/>
          <w:szCs w:val="21"/>
        </w:rPr>
      </w:pPr>
    </w:p>
    <w:p>
      <w:pPr>
        <w:widowControl/>
        <w:ind w:left="210" w:hanging="210" w:hangingChars="100"/>
        <w:jc w:val="left"/>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统计局</w:t>
      </w:r>
      <w:r>
        <w:rPr>
          <w:rFonts w:hint="eastAsia" w:ascii="宋体" w:hAnsi="宋体" w:eastAsia="宋体" w:cs="宋体"/>
          <w:b/>
          <w:bCs/>
          <w:sz w:val="21"/>
          <w:szCs w:val="21"/>
        </w:rPr>
        <w:t xml:space="preserve">                                        金额单位：万元</w:t>
      </w:r>
    </w:p>
    <w:tbl>
      <w:tblPr>
        <w:tblStyle w:val="6"/>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318.05</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142.65</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131.82</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10.83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175.40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一般公共服务支出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307.41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132.01</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121.18</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10.83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175.40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统计信息事务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307.41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132.01</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121.18</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10.83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175.40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2010501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132.01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132.01</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121.18</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10.83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2010502</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2010505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专项统计业务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13.30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13.30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2010507</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专项普查活动</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45.10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45.10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2010599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其他统计信息事务支出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37.00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37.00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8.35</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8.35</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8.35</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行政事业单位离退休</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8.35</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8.35</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8.35</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8.35</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8.35</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8.35</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行政单位医疗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统计局</w:t>
      </w:r>
      <w:r>
        <w:rPr>
          <w:rFonts w:hint="eastAsia" w:ascii="宋体" w:hAnsi="宋体" w:eastAsia="宋体" w:cs="宋体"/>
          <w:b/>
          <w:bCs/>
          <w:sz w:val="21"/>
          <w:szCs w:val="21"/>
        </w:rPr>
        <w:t xml:space="preserve">                                            金额单位：万元</w:t>
      </w:r>
    </w:p>
    <w:tbl>
      <w:tblPr>
        <w:tblStyle w:val="6"/>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142.65</w:t>
            </w:r>
          </w:p>
        </w:tc>
        <w:tc>
          <w:tcPr>
            <w:tcW w:w="1437"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131.82</w:t>
            </w:r>
          </w:p>
        </w:tc>
        <w:tc>
          <w:tcPr>
            <w:tcW w:w="1363"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10.83</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131.82</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131.82</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30.84</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30.84</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29.56</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29.56</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47.82</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47.82</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8.35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8.35</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2.17</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2.17</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10.79</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10.84</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10.83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1.12</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1.12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30205</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0.20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0.20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6.34</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6.34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统计局</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0.608</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0.608</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tabs>
                <w:tab w:val="left" w:pos="372"/>
              </w:tabs>
              <w:jc w:val="left"/>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eastAsia="zh-CN"/>
              </w:rPr>
              <w:tab/>
            </w: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统计局</w:t>
      </w:r>
      <w:r>
        <w:rPr>
          <w:rFonts w:hint="eastAsia" w:ascii="宋体" w:hAnsi="宋体" w:eastAsia="宋体" w:cs="宋体"/>
          <w:b/>
          <w:bCs/>
          <w:sz w:val="21"/>
          <w:szCs w:val="21"/>
        </w:rPr>
        <w:t xml:space="preserve">                                            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Pr>
        <w:rPr>
          <w:rFonts w:hint="eastAsia" w:eastAsia="方正仿宋简体"/>
          <w:lang w:eastAsia="zh-CN"/>
        </w:rPr>
      </w:pPr>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 2019年度部门决算情况说明</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宋体" w:eastAsia="黑体"/>
          <w:color w:val="000000"/>
          <w:kern w:val="0"/>
          <w:sz w:val="44"/>
          <w:szCs w:val="44"/>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一、收入支出决算总体情况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pStyle w:val="5"/>
        <w:widowControl w:val="0"/>
        <w:shd w:val="clear" w:color="auto" w:fill="FFFFFF"/>
        <w:spacing w:before="0" w:beforeAutospacing="0" w:after="0" w:afterAutospacing="0" w:line="520" w:lineRule="exact"/>
        <w:ind w:firstLine="585"/>
        <w:rPr>
          <w:rFonts w:hint="eastAsia" w:ascii="仿宋_GB2312" w:eastAsia="仿宋_GB2312"/>
          <w:color w:val="000000"/>
          <w:sz w:val="32"/>
          <w:szCs w:val="32"/>
          <w:lang w:eastAsia="zh-CN"/>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年度</w:t>
      </w:r>
      <w:r>
        <w:rPr>
          <w:rFonts w:hint="eastAsia" w:ascii="仿宋_GB2312" w:eastAsia="仿宋_GB2312"/>
          <w:color w:val="000000"/>
          <w:sz w:val="32"/>
          <w:szCs w:val="32"/>
          <w:lang w:eastAsia="zh-CN"/>
        </w:rPr>
        <w:t>统计局</w:t>
      </w:r>
      <w:r>
        <w:rPr>
          <w:rFonts w:hint="eastAsia" w:ascii="仿宋_GB2312" w:eastAsia="仿宋_GB2312"/>
          <w:color w:val="000000"/>
          <w:sz w:val="32"/>
          <w:szCs w:val="32"/>
        </w:rPr>
        <w:t>财政拨款收入合计</w:t>
      </w:r>
      <w:r>
        <w:rPr>
          <w:rFonts w:hint="eastAsia" w:ascii="仿宋_GB2312" w:eastAsia="仿宋_GB2312"/>
          <w:color w:val="000000"/>
          <w:sz w:val="32"/>
          <w:szCs w:val="32"/>
          <w:lang w:val="en-US" w:eastAsia="zh-CN"/>
        </w:rPr>
        <w:t>318.05</w:t>
      </w:r>
      <w:r>
        <w:rPr>
          <w:rFonts w:hint="eastAsia" w:ascii="仿宋_GB2312" w:eastAsia="仿宋_GB2312"/>
          <w:color w:val="000000"/>
          <w:sz w:val="32"/>
          <w:szCs w:val="32"/>
        </w:rPr>
        <w:t>万元，较上年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17.51</w:t>
      </w:r>
      <w:r>
        <w:rPr>
          <w:rFonts w:hint="eastAsia" w:ascii="仿宋_GB2312" w:eastAsia="仿宋_GB2312"/>
          <w:color w:val="000000"/>
          <w:sz w:val="32"/>
          <w:szCs w:val="32"/>
        </w:rPr>
        <w:t>万元，主要原因</w:t>
      </w:r>
      <w:r>
        <w:rPr>
          <w:rFonts w:hint="eastAsia" w:ascii="仿宋_GB2312" w:eastAsia="仿宋_GB2312"/>
          <w:color w:val="000000"/>
          <w:sz w:val="32"/>
          <w:szCs w:val="32"/>
          <w:lang w:eastAsia="zh-CN"/>
        </w:rPr>
        <w:t>是今年第四次经济普查</w:t>
      </w:r>
      <w:r>
        <w:rPr>
          <w:rFonts w:hint="eastAsia" w:ascii="仿宋_GB2312" w:eastAsia="仿宋_GB2312"/>
          <w:color w:val="000000"/>
          <w:sz w:val="32"/>
          <w:szCs w:val="32"/>
        </w:rPr>
        <w:t>专项经费</w:t>
      </w:r>
      <w:r>
        <w:rPr>
          <w:rFonts w:hint="eastAsia" w:ascii="仿宋_GB2312" w:eastAsia="仿宋_GB2312"/>
          <w:color w:val="000000"/>
          <w:sz w:val="32"/>
          <w:szCs w:val="32"/>
          <w:lang w:eastAsia="zh-CN"/>
        </w:rPr>
        <w:t>增加</w:t>
      </w: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年度本年支出</w:t>
      </w:r>
      <w:r>
        <w:rPr>
          <w:rFonts w:hint="eastAsia" w:ascii="仿宋_GB2312" w:eastAsia="仿宋_GB2312"/>
          <w:color w:val="000000"/>
          <w:sz w:val="32"/>
          <w:szCs w:val="32"/>
          <w:lang w:val="en-US" w:eastAsia="zh-CN"/>
        </w:rPr>
        <w:t>318.05</w:t>
      </w:r>
      <w:r>
        <w:rPr>
          <w:rFonts w:hint="eastAsia" w:ascii="仿宋_GB2312" w:eastAsia="仿宋_GB2312"/>
          <w:color w:val="000000"/>
          <w:sz w:val="32"/>
          <w:szCs w:val="32"/>
        </w:rPr>
        <w:t>万元，比上年增加</w:t>
      </w:r>
      <w:r>
        <w:rPr>
          <w:rFonts w:hint="eastAsia" w:ascii="仿宋_GB2312" w:eastAsia="仿宋_GB2312"/>
          <w:color w:val="000000"/>
          <w:sz w:val="32"/>
          <w:szCs w:val="32"/>
          <w:lang w:val="en-US" w:eastAsia="zh-CN"/>
        </w:rPr>
        <w:t>17.51</w:t>
      </w:r>
      <w:r>
        <w:rPr>
          <w:rFonts w:hint="eastAsia" w:ascii="仿宋_GB2312" w:eastAsia="仿宋_GB2312"/>
          <w:color w:val="000000"/>
          <w:sz w:val="32"/>
          <w:szCs w:val="32"/>
        </w:rPr>
        <w:t>万元。主要原因</w:t>
      </w:r>
      <w:r>
        <w:rPr>
          <w:rFonts w:hint="eastAsia" w:ascii="仿宋_GB2312" w:eastAsia="仿宋_GB2312"/>
          <w:color w:val="000000"/>
          <w:sz w:val="32"/>
          <w:szCs w:val="32"/>
          <w:lang w:eastAsia="zh-CN"/>
        </w:rPr>
        <w:t>今年第四次经济普查</w:t>
      </w:r>
      <w:r>
        <w:rPr>
          <w:rFonts w:hint="eastAsia" w:ascii="仿宋_GB2312" w:eastAsia="仿宋_GB2312"/>
          <w:color w:val="000000"/>
          <w:sz w:val="32"/>
          <w:szCs w:val="32"/>
        </w:rPr>
        <w:t>专项经费</w:t>
      </w:r>
      <w:r>
        <w:rPr>
          <w:rFonts w:hint="eastAsia" w:ascii="仿宋_GB2312" w:eastAsia="仿宋_GB2312"/>
          <w:color w:val="000000"/>
          <w:sz w:val="32"/>
          <w:szCs w:val="32"/>
          <w:lang w:eastAsia="zh-CN"/>
        </w:rPr>
        <w:t>增加。</w:t>
      </w:r>
    </w:p>
    <w:p>
      <w:pPr>
        <w:pStyle w:val="4"/>
        <w:rPr>
          <w:rFonts w:hint="eastAsia" w:ascii="仿宋_GB2312" w:eastAsia="仿宋_GB2312"/>
          <w:color w:val="000000"/>
          <w:sz w:val="32"/>
          <w:szCs w:val="32"/>
          <w:lang w:eastAsia="zh-CN"/>
        </w:rPr>
      </w:pPr>
    </w:p>
    <w:p>
      <w:pPr>
        <w:pStyle w:val="4"/>
        <w:rPr>
          <w:rFonts w:hint="eastAsia" w:ascii="仿宋_GB2312" w:eastAsia="仿宋_GB2312"/>
          <w:color w:val="000000"/>
          <w:sz w:val="32"/>
          <w:szCs w:val="32"/>
          <w:lang w:eastAsia="zh-CN"/>
        </w:rPr>
      </w:pPr>
      <w:r>
        <w:rPr>
          <w:rFonts w:hint="eastAsia" w:eastAsia="方正仿宋简体"/>
          <w:lang w:eastAsia="zh-CN"/>
        </w:rPr>
        <w:drawing>
          <wp:inline distT="0" distB="0" distL="114300" distR="114300">
            <wp:extent cx="4926965" cy="2049145"/>
            <wp:effectExtent l="4445" t="4445" r="21590" b="228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rPr>
          <w:rFonts w:hint="default" w:ascii="仿宋_GB2312" w:eastAsia="仿宋_GB2312"/>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二、收入决算情况</w:t>
      </w:r>
      <w:r>
        <w:rPr>
          <w:rFonts w:hint="eastAsia" w:ascii="黑体" w:hAnsi="黑体" w:eastAsia="黑体"/>
          <w:color w:val="000000"/>
          <w:kern w:val="0"/>
          <w:sz w:val="32"/>
          <w:szCs w:val="32"/>
          <w:lang w:eastAsia="zh-CN" w:bidi="ar"/>
        </w:rPr>
        <w:t>说明</w:t>
      </w:r>
    </w:p>
    <w:p>
      <w:pPr>
        <w:pStyle w:val="5"/>
        <w:widowControl w:val="0"/>
        <w:shd w:val="clear" w:color="auto" w:fill="FFFFFF"/>
        <w:spacing w:before="0" w:beforeAutospacing="0" w:after="0" w:afterAutospacing="0" w:line="520" w:lineRule="exact"/>
        <w:ind w:firstLine="585"/>
        <w:rPr>
          <w:rFonts w:hint="eastAsia" w:ascii="黑体" w:hAnsi="黑体" w:eastAsia="黑体"/>
          <w:color w:val="000000"/>
          <w:kern w:val="0"/>
          <w:sz w:val="32"/>
          <w:szCs w:val="32"/>
          <w:lang w:bidi="ar"/>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年收入合计</w:t>
      </w:r>
      <w:r>
        <w:rPr>
          <w:rFonts w:hint="eastAsia" w:ascii="仿宋_GB2312" w:eastAsia="仿宋_GB2312"/>
          <w:color w:val="000000"/>
          <w:sz w:val="32"/>
          <w:szCs w:val="32"/>
          <w:lang w:val="en-US" w:eastAsia="zh-CN"/>
        </w:rPr>
        <w:t>318.05</w:t>
      </w:r>
      <w:r>
        <w:rPr>
          <w:rFonts w:hint="eastAsia" w:ascii="仿宋_GB2312" w:eastAsia="仿宋_GB2312"/>
          <w:color w:val="000000"/>
          <w:sz w:val="32"/>
          <w:szCs w:val="32"/>
        </w:rPr>
        <w:t>万元，其中：财政拨款收入</w:t>
      </w:r>
      <w:r>
        <w:rPr>
          <w:rFonts w:hint="eastAsia" w:ascii="仿宋_GB2312" w:eastAsia="仿宋_GB2312"/>
          <w:color w:val="000000"/>
          <w:sz w:val="32"/>
          <w:szCs w:val="32"/>
          <w:lang w:val="en-US" w:eastAsia="zh-CN"/>
        </w:rPr>
        <w:t>318.05</w:t>
      </w:r>
      <w:r>
        <w:rPr>
          <w:rFonts w:hint="eastAsia" w:ascii="仿宋_GB2312" w:eastAsia="仿宋_GB2312"/>
          <w:color w:val="000000"/>
          <w:sz w:val="32"/>
          <w:szCs w:val="32"/>
        </w:rPr>
        <w:t>万元，为区级财政当年拨付的一般公共预算资金。</w:t>
      </w:r>
      <w:r>
        <w:rPr>
          <w:rFonts w:hint="eastAsia" w:ascii="仿宋_GB2312" w:eastAsia="仿宋_GB2312"/>
          <w:color w:val="000000"/>
          <w:sz w:val="32"/>
          <w:szCs w:val="32"/>
        </w:rPr>
        <w:pict>
          <v:shape id="_x0000_s1029" o:spid="_x0000_s1029" o:spt="75" type="#_x0000_t75" style="position:absolute;left:0pt;margin-left:72.05pt;margin-top:438.45pt;height:163.15pt;width:461.95pt;z-index:251665408;mso-width-relative:page;mso-height-relative:page;" o:ole="t" fillcolor="#000000" filled="f" stroked="f" coordsize="21600,21600">
            <v:path/>
            <v:fill on="f" focussize="0,0"/>
            <v:stroke on="f" weight="7.8740157480315e-5pt" color="#FFFFFF"/>
            <v:imagedata r:id="rId8" o:title=""/>
            <o:lock v:ext="edit" rotation="t" aspectratio="t"/>
          </v:shape>
          <o:OLEObject Type="Embed" ProgID="Excel.Chart.8" ShapeID="_x0000_s1029" DrawAspect="Content" ObjectID="_1468075725" r:id="rId7">
            <o:LockedField>false</o:LockedField>
          </o:OLEObject>
        </w:pict>
      </w:r>
      <w:r>
        <w:rPr>
          <w:rFonts w:hint="eastAsia" w:ascii="仿宋_GB2312" w:eastAsia="仿宋_GB2312"/>
          <w:color w:val="000000"/>
          <w:sz w:val="32"/>
          <w:szCs w:val="32"/>
        </w:rPr>
        <w:pict>
          <v:shape id="_x0000_s1030" o:spid="_x0000_s1030" o:spt="75" type="#_x0000_t75" style="position:absolute;left:0pt;margin-left:72.05pt;margin-top:438.45pt;height:163.15pt;width:461.95pt;z-index:251667456;mso-width-relative:page;mso-height-relative:page;" o:ole="t" fillcolor="#000000" filled="f" stroked="f" coordsize="21600,21600">
            <v:path/>
            <v:fill on="f" focussize="0,0"/>
            <v:stroke on="f" weight="7.8740157480315e-5pt" color="#FFFFFF"/>
            <v:imagedata r:id="rId8" o:title=""/>
            <o:lock v:ext="edit" rotation="t" aspectratio="t"/>
          </v:shape>
          <o:OLEObject Type="Embed" ProgID="Excel.Chart.8" ShapeID="_x0000_s1030" DrawAspect="Content" ObjectID="_1468075726" r:id="rId9">
            <o:LockedField>false</o:LockedField>
          </o:OLEObject>
        </w:pic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rPr>
      </w:pPr>
      <w:r>
        <w:rPr>
          <w:rFonts w:hint="eastAsia" w:ascii="黑体" w:hAnsi="黑体" w:eastAsia="黑体"/>
          <w:color w:val="000000"/>
          <w:kern w:val="0"/>
          <w:sz w:val="32"/>
          <w:szCs w:val="32"/>
          <w:lang w:bidi="ar"/>
        </w:rPr>
        <w:t>三、支出决算情况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pStyle w:val="5"/>
        <w:widowControl w:val="0"/>
        <w:shd w:val="clear" w:color="auto" w:fill="FFFFFF"/>
        <w:spacing w:before="0" w:beforeAutospacing="0" w:after="0" w:afterAutospacing="0" w:line="520" w:lineRule="exact"/>
        <w:ind w:firstLine="742" w:firstLineChars="232"/>
        <w:rPr>
          <w:rFonts w:hint="eastAsia" w:ascii="仿宋_GB2312" w:eastAsia="仿宋_GB2312"/>
          <w:sz w:val="32"/>
          <w:szCs w:val="32"/>
        </w:rPr>
      </w:pPr>
      <w:r>
        <w:rPr>
          <w:rFonts w:hint="eastAsia" w:ascii="仿宋_GB2312" w:eastAsia="仿宋_GB2312"/>
          <w:b w:val="0"/>
          <w:bCs w:val="0"/>
          <w:sz w:val="32"/>
          <w:szCs w:val="32"/>
        </w:rPr>
        <w:t>201</w:t>
      </w:r>
      <w:r>
        <w:rPr>
          <w:rFonts w:hint="eastAsia" w:ascii="仿宋_GB2312" w:eastAsia="仿宋_GB2312"/>
          <w:b w:val="0"/>
          <w:bCs w:val="0"/>
          <w:sz w:val="32"/>
          <w:szCs w:val="32"/>
          <w:lang w:val="en-US" w:eastAsia="zh-CN"/>
        </w:rPr>
        <w:t>9</w:t>
      </w:r>
      <w:r>
        <w:rPr>
          <w:rFonts w:hint="eastAsia" w:ascii="仿宋_GB2312" w:eastAsia="仿宋_GB2312"/>
          <w:sz w:val="32"/>
          <w:szCs w:val="32"/>
        </w:rPr>
        <w:t>年本年支出合计</w:t>
      </w:r>
      <w:r>
        <w:rPr>
          <w:rFonts w:hint="eastAsia" w:ascii="仿宋_GB2312" w:eastAsia="仿宋_GB2312"/>
          <w:sz w:val="32"/>
          <w:szCs w:val="32"/>
          <w:lang w:val="en-US" w:eastAsia="zh-CN"/>
        </w:rPr>
        <w:t>318.05</w:t>
      </w:r>
      <w:r>
        <w:rPr>
          <w:rFonts w:hint="eastAsia" w:ascii="仿宋_GB2312" w:eastAsia="仿宋_GB2312"/>
          <w:sz w:val="32"/>
          <w:szCs w:val="32"/>
        </w:rPr>
        <w:t>万元，其中：</w:t>
      </w:r>
    </w:p>
    <w:p>
      <w:pPr>
        <w:pStyle w:val="5"/>
        <w:widowControl w:val="0"/>
        <w:shd w:val="clear" w:color="auto" w:fill="FFFFFF"/>
        <w:spacing w:before="0" w:beforeAutospacing="0" w:after="0" w:afterAutospacing="0" w:line="520" w:lineRule="exact"/>
        <w:ind w:firstLine="585"/>
        <w:rPr>
          <w:rFonts w:hint="eastAsia" w:ascii="仿宋_GB2312" w:eastAsia="仿宋_GB2312"/>
          <w:sz w:val="32"/>
          <w:szCs w:val="32"/>
        </w:rPr>
      </w:pPr>
      <w:r>
        <w:rPr>
          <w:rFonts w:hint="eastAsia" w:ascii="仿宋_GB2312" w:eastAsia="仿宋_GB2312"/>
          <w:sz w:val="32"/>
          <w:szCs w:val="32"/>
        </w:rPr>
        <w:t>（1）基本支出</w:t>
      </w:r>
      <w:r>
        <w:rPr>
          <w:rFonts w:hint="eastAsia" w:ascii="仿宋_GB2312" w:eastAsia="仿宋_GB2312"/>
          <w:sz w:val="32"/>
          <w:szCs w:val="32"/>
          <w:lang w:val="en-US" w:eastAsia="zh-CN"/>
        </w:rPr>
        <w:t>142.65</w:t>
      </w:r>
      <w:r>
        <w:rPr>
          <w:rFonts w:hint="eastAsia" w:ascii="仿宋_GB2312" w:eastAsia="仿宋_GB2312"/>
          <w:sz w:val="32"/>
          <w:szCs w:val="32"/>
        </w:rPr>
        <w:t>万元，占总支出的</w:t>
      </w:r>
      <w:r>
        <w:rPr>
          <w:rFonts w:hint="eastAsia" w:ascii="仿宋_GB2312" w:eastAsia="仿宋_GB2312"/>
          <w:sz w:val="32"/>
          <w:szCs w:val="32"/>
          <w:lang w:val="en-US" w:eastAsia="zh-CN"/>
        </w:rPr>
        <w:t>44.8</w:t>
      </w:r>
      <w:r>
        <w:rPr>
          <w:rFonts w:hint="eastAsia" w:ascii="仿宋_GB2312" w:eastAsia="仿宋_GB2312"/>
          <w:sz w:val="32"/>
          <w:szCs w:val="32"/>
        </w:rPr>
        <w:t>%，是为保障机构正常运转、完成日常工作任务而发生的各项支出，</w:t>
      </w:r>
    </w:p>
    <w:p>
      <w:pPr>
        <w:pStyle w:val="5"/>
        <w:widowControl w:val="0"/>
        <w:shd w:val="clear" w:color="auto" w:fill="FFFFFF"/>
        <w:spacing w:before="0" w:beforeAutospacing="0" w:after="0" w:afterAutospacing="0" w:line="520" w:lineRule="exact"/>
        <w:ind w:firstLine="742" w:firstLineChars="232"/>
        <w:rPr>
          <w:rFonts w:hint="eastAsia" w:ascii="仿宋_GB2312" w:eastAsia="仿宋_GB2312"/>
          <w:sz w:val="32"/>
          <w:szCs w:val="32"/>
          <w:lang w:val="en-US" w:eastAsia="zh-CN"/>
        </w:rPr>
      </w:pPr>
      <w:r>
        <w:rPr>
          <w:rFonts w:hint="eastAsia" w:ascii="仿宋_GB2312" w:eastAsia="仿宋_GB2312"/>
          <w:color w:val="000000"/>
          <w:sz w:val="32"/>
          <w:szCs w:val="32"/>
        </w:rPr>
        <w:pict>
          <v:shape id="_x0000_s1027" o:spid="_x0000_s1027" o:spt="75" type="#_x0000_t75" style="position:absolute;left:0pt;margin-left:-23.55pt;margin-top:72.55pt;height:179.9pt;width:461.95pt;z-index:251662336;mso-width-relative:page;mso-height-relative:page;" o:ole="t" fillcolor="#000000" filled="f" stroked="f" coordsize="21600,21600">
            <v:path/>
            <v:fill on="f" focussize="0,0"/>
            <v:stroke on="f" weight="7.8740157480315e-5pt" color="#FFFFFF"/>
            <v:imagedata r:id="rId11" o:title=""/>
            <o:lock v:ext="edit" rotation="t" aspectratio="t"/>
          </v:shape>
          <o:OLEObject Type="Embed" ProgID="Excel.Chart.8" ShapeID="_x0000_s1027" DrawAspect="Content" ObjectID="_1468075727" r:id="rId10">
            <o:LockedField>false</o:LockedField>
          </o:OLEObject>
        </w:pict>
      </w:r>
      <w:r>
        <w:rPr>
          <w:rFonts w:hint="eastAsia" w:ascii="仿宋_GB2312" w:eastAsia="仿宋_GB2312"/>
          <w:sz w:val="32"/>
          <w:szCs w:val="32"/>
        </w:rPr>
        <w:t>(2)项目支出</w:t>
      </w:r>
      <w:r>
        <w:rPr>
          <w:rFonts w:hint="eastAsia" w:ascii="仿宋_GB2312" w:eastAsia="仿宋_GB2312"/>
          <w:sz w:val="32"/>
          <w:szCs w:val="32"/>
          <w:lang w:val="en-US" w:eastAsia="zh-CN"/>
        </w:rPr>
        <w:t>175.4</w:t>
      </w:r>
      <w:r>
        <w:rPr>
          <w:rFonts w:hint="eastAsia" w:ascii="仿宋_GB2312" w:eastAsia="仿宋_GB2312"/>
          <w:sz w:val="32"/>
          <w:szCs w:val="32"/>
        </w:rPr>
        <w:t>万元，占总支出的</w:t>
      </w:r>
      <w:r>
        <w:rPr>
          <w:rFonts w:hint="eastAsia" w:ascii="仿宋_GB2312" w:eastAsia="仿宋_GB2312"/>
          <w:sz w:val="32"/>
          <w:szCs w:val="32"/>
          <w:lang w:val="en-US" w:eastAsia="zh-CN"/>
        </w:rPr>
        <w:t>55.2</w:t>
      </w:r>
      <w:r>
        <w:rPr>
          <w:rFonts w:hint="eastAsia" w:ascii="仿宋_GB2312" w:eastAsia="仿宋_GB2312"/>
          <w:sz w:val="32"/>
          <w:szCs w:val="32"/>
        </w:rPr>
        <w:t>%，</w:t>
      </w:r>
      <w:r>
        <w:rPr>
          <w:rFonts w:hint="eastAsia" w:ascii="仿宋_GB2312" w:eastAsia="仿宋_GB2312"/>
          <w:sz w:val="32"/>
          <w:szCs w:val="32"/>
          <w:lang w:eastAsia="zh-CN"/>
        </w:rPr>
        <w:t>是</w:t>
      </w:r>
      <w:r>
        <w:rPr>
          <w:rFonts w:hint="eastAsia" w:ascii="仿宋_GB2312" w:eastAsia="仿宋_GB2312"/>
          <w:sz w:val="32"/>
          <w:szCs w:val="32"/>
        </w:rPr>
        <w:t>为完成特定工作任务或事业发展目标，在基本支出之外发生的支出。</w:t>
      </w:r>
      <w:r>
        <w:rPr>
          <w:rFonts w:hint="eastAsia" w:ascii="仿宋_GB2312" w:eastAsia="仿宋_GB2312"/>
          <w:sz w:val="32"/>
          <w:szCs w:val="32"/>
          <w:lang w:val="en-US" w:eastAsia="zh-CN"/>
        </w:rPr>
        <w:t xml:space="preserve">          </w:t>
      </w:r>
    </w:p>
    <w:p>
      <w:pPr>
        <w:pStyle w:val="4"/>
        <w:rPr>
          <w:rFonts w:hint="default"/>
          <w:sz w:val="28"/>
          <w:szCs w:val="28"/>
          <w:lang w:val="en-US" w:eastAsia="zh-CN"/>
        </w:rPr>
      </w:pPr>
      <w:r>
        <w:rPr>
          <w:rFonts w:hint="eastAsia" w:ascii="仿宋_GB2312" w:eastAsia="仿宋_GB2312"/>
          <w:sz w:val="32"/>
          <w:szCs w:val="32"/>
          <w:lang w:val="en-US" w:eastAsia="zh-CN"/>
        </w:rPr>
        <w:t xml:space="preserve">                                     </w:t>
      </w:r>
      <w:r>
        <w:rPr>
          <w:rFonts w:hint="eastAsia" w:ascii="仿宋_GB2312" w:eastAsia="仿宋_GB2312"/>
          <w:sz w:val="28"/>
          <w:szCs w:val="28"/>
          <w:lang w:val="en-US" w:eastAsia="zh-CN"/>
        </w:rPr>
        <w:t xml:space="preserve"> 单位：万元</w:t>
      </w:r>
    </w:p>
    <w:p>
      <w:pPr>
        <w:pStyle w:val="4"/>
        <w:rPr>
          <w:rFonts w:hint="eastAsia"/>
        </w:rPr>
      </w:pPr>
    </w:p>
    <w:tbl>
      <w:tblPr>
        <w:tblStyle w:val="7"/>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3090"/>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pStyle w:val="5"/>
              <w:widowControl w:val="0"/>
              <w:spacing w:before="0" w:beforeAutospacing="0" w:after="0" w:afterAutospacing="0" w:line="520" w:lineRule="exact"/>
              <w:rPr>
                <w:rFonts w:hint="eastAsia" w:ascii="仿宋_GB2312" w:eastAsia="仿宋_GB2312"/>
                <w:sz w:val="28"/>
                <w:szCs w:val="28"/>
                <w:vertAlign w:val="baseline"/>
                <w:lang w:val="en-US" w:eastAsia="zh-CN"/>
              </w:rPr>
            </w:pPr>
          </w:p>
        </w:tc>
        <w:tc>
          <w:tcPr>
            <w:tcW w:w="3090" w:type="dxa"/>
          </w:tcPr>
          <w:p>
            <w:pPr>
              <w:pStyle w:val="5"/>
              <w:widowControl w:val="0"/>
              <w:spacing w:before="0" w:beforeAutospacing="0" w:after="0" w:afterAutospacing="0" w:line="520" w:lineRule="exact"/>
              <w:ind w:firstLine="1120" w:firstLineChars="400"/>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金额</w:t>
            </w:r>
          </w:p>
        </w:tc>
        <w:tc>
          <w:tcPr>
            <w:tcW w:w="2790" w:type="dxa"/>
          </w:tcPr>
          <w:p>
            <w:pPr>
              <w:pStyle w:val="5"/>
              <w:widowControl w:val="0"/>
              <w:spacing w:before="0" w:beforeAutospacing="0" w:after="0" w:afterAutospacing="0" w:line="520" w:lineRule="exact"/>
              <w:ind w:firstLine="560" w:firstLineChars="200"/>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eastAsia="zh-CN"/>
              </w:rPr>
              <w:t>占比</w:t>
            </w:r>
            <w:r>
              <w:rPr>
                <w:rFonts w:hint="eastAsia" w:ascii="仿宋_GB2312" w:eastAsia="仿宋_GB2312"/>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60" w:type="dxa"/>
          </w:tcPr>
          <w:p>
            <w:pPr>
              <w:pStyle w:val="5"/>
              <w:widowControl w:val="0"/>
              <w:spacing w:before="0" w:beforeAutospacing="0" w:after="0" w:afterAutospacing="0" w:line="520" w:lineRule="exact"/>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支出合计</w:t>
            </w:r>
          </w:p>
        </w:tc>
        <w:tc>
          <w:tcPr>
            <w:tcW w:w="3090" w:type="dxa"/>
          </w:tcPr>
          <w:p>
            <w:pPr>
              <w:pStyle w:val="5"/>
              <w:widowControl w:val="0"/>
              <w:spacing w:before="0" w:beforeAutospacing="0" w:after="0" w:afterAutospacing="0" w:line="52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318.05</w:t>
            </w:r>
          </w:p>
        </w:tc>
        <w:tc>
          <w:tcPr>
            <w:tcW w:w="2790" w:type="dxa"/>
          </w:tcPr>
          <w:p>
            <w:pPr>
              <w:pStyle w:val="5"/>
              <w:widowControl w:val="0"/>
              <w:spacing w:before="0" w:beforeAutospacing="0" w:after="0" w:afterAutospacing="0" w:line="52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pStyle w:val="5"/>
              <w:widowControl w:val="0"/>
              <w:spacing w:before="0" w:beforeAutospacing="0" w:after="0" w:afterAutospacing="0" w:line="520" w:lineRule="exact"/>
              <w:ind w:firstLine="560" w:firstLineChars="200"/>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基本支出</w:t>
            </w:r>
          </w:p>
        </w:tc>
        <w:tc>
          <w:tcPr>
            <w:tcW w:w="3090" w:type="dxa"/>
          </w:tcPr>
          <w:p>
            <w:pPr>
              <w:pStyle w:val="5"/>
              <w:widowControl w:val="0"/>
              <w:spacing w:before="0" w:beforeAutospacing="0" w:after="0" w:afterAutospacing="0" w:line="52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142.65</w:t>
            </w:r>
          </w:p>
        </w:tc>
        <w:tc>
          <w:tcPr>
            <w:tcW w:w="2790" w:type="dxa"/>
          </w:tcPr>
          <w:p>
            <w:pPr>
              <w:pStyle w:val="5"/>
              <w:widowControl w:val="0"/>
              <w:spacing w:before="0" w:beforeAutospacing="0" w:after="0" w:afterAutospacing="0" w:line="52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
              <w:widowControl w:val="0"/>
              <w:spacing w:before="0" w:beforeAutospacing="0" w:after="0" w:afterAutospacing="0" w:line="520" w:lineRule="exact"/>
              <w:ind w:firstLine="560" w:firstLineChars="200"/>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项目支出</w:t>
            </w:r>
          </w:p>
        </w:tc>
        <w:tc>
          <w:tcPr>
            <w:tcW w:w="3090" w:type="dxa"/>
          </w:tcPr>
          <w:p>
            <w:pPr>
              <w:pStyle w:val="5"/>
              <w:widowControl w:val="0"/>
              <w:spacing w:before="0" w:beforeAutospacing="0" w:after="0" w:afterAutospacing="0" w:line="52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175.4</w:t>
            </w:r>
          </w:p>
        </w:tc>
        <w:tc>
          <w:tcPr>
            <w:tcW w:w="2790" w:type="dxa"/>
          </w:tcPr>
          <w:p>
            <w:pPr>
              <w:pStyle w:val="5"/>
              <w:widowControl w:val="0"/>
              <w:spacing w:before="0" w:beforeAutospacing="0" w:after="0" w:afterAutospacing="0" w:line="52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55.2</w:t>
            </w: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四、财政拨款收入支出决算总体情况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年度</w:t>
      </w:r>
      <w:r>
        <w:rPr>
          <w:rFonts w:hint="eastAsia" w:ascii="仿宋_GB2312" w:eastAsia="仿宋_GB2312"/>
          <w:color w:val="000000"/>
          <w:sz w:val="32"/>
          <w:szCs w:val="32"/>
          <w:lang w:eastAsia="zh-CN"/>
        </w:rPr>
        <w:t>统计局</w:t>
      </w:r>
      <w:r>
        <w:rPr>
          <w:rFonts w:hint="eastAsia" w:ascii="仿宋_GB2312" w:eastAsia="仿宋_GB2312"/>
          <w:color w:val="000000"/>
          <w:sz w:val="32"/>
          <w:szCs w:val="32"/>
        </w:rPr>
        <w:t>财政拨款收入合计</w:t>
      </w:r>
      <w:r>
        <w:rPr>
          <w:rFonts w:hint="eastAsia" w:ascii="仿宋_GB2312" w:eastAsia="仿宋_GB2312"/>
          <w:color w:val="000000"/>
          <w:sz w:val="32"/>
          <w:szCs w:val="32"/>
          <w:lang w:val="en-US" w:eastAsia="zh-CN"/>
        </w:rPr>
        <w:t>318.05</w:t>
      </w:r>
      <w:r>
        <w:rPr>
          <w:rFonts w:hint="eastAsia" w:ascii="仿宋_GB2312" w:eastAsia="仿宋_GB2312"/>
          <w:color w:val="000000"/>
          <w:sz w:val="32"/>
          <w:szCs w:val="32"/>
        </w:rPr>
        <w:t>万元，较上年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17.51</w:t>
      </w:r>
      <w:r>
        <w:rPr>
          <w:rFonts w:hint="eastAsia" w:ascii="仿宋_GB2312" w:eastAsia="仿宋_GB2312"/>
          <w:color w:val="000000"/>
          <w:sz w:val="32"/>
          <w:szCs w:val="32"/>
        </w:rPr>
        <w:t>万元，主要原因</w:t>
      </w:r>
      <w:r>
        <w:rPr>
          <w:rFonts w:hint="eastAsia" w:ascii="仿宋_GB2312" w:eastAsia="仿宋_GB2312"/>
          <w:color w:val="000000"/>
          <w:sz w:val="32"/>
          <w:szCs w:val="32"/>
          <w:lang w:eastAsia="zh-CN"/>
        </w:rPr>
        <w:t>是今年第四次经济普查</w:t>
      </w:r>
      <w:r>
        <w:rPr>
          <w:rFonts w:hint="eastAsia" w:ascii="仿宋_GB2312" w:eastAsia="仿宋_GB2312"/>
          <w:color w:val="000000"/>
          <w:sz w:val="32"/>
          <w:szCs w:val="32"/>
        </w:rPr>
        <w:t>专项经费</w:t>
      </w:r>
      <w:r>
        <w:rPr>
          <w:rFonts w:hint="eastAsia" w:ascii="仿宋_GB2312" w:eastAsia="仿宋_GB2312"/>
          <w:color w:val="000000"/>
          <w:sz w:val="32"/>
          <w:szCs w:val="32"/>
          <w:lang w:eastAsia="zh-CN"/>
        </w:rPr>
        <w:t>增加</w:t>
      </w:r>
      <w:r>
        <w:rPr>
          <w:rFonts w:hint="eastAsia" w:ascii="仿宋_GB2312" w:eastAsia="仿宋_GB2312"/>
          <w:color w:val="00000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年度</w:t>
      </w:r>
      <w:r>
        <w:rPr>
          <w:rFonts w:hint="eastAsia" w:ascii="仿宋_GB2312" w:eastAsia="仿宋_GB2312"/>
          <w:color w:val="000000"/>
          <w:sz w:val="32"/>
          <w:szCs w:val="32"/>
          <w:lang w:eastAsia="zh-CN"/>
        </w:rPr>
        <w:t>财政拨款</w:t>
      </w:r>
      <w:r>
        <w:rPr>
          <w:rFonts w:hint="eastAsia" w:ascii="仿宋_GB2312" w:eastAsia="仿宋_GB2312"/>
          <w:color w:val="000000"/>
          <w:sz w:val="32"/>
          <w:szCs w:val="32"/>
        </w:rPr>
        <w:t>支出</w:t>
      </w:r>
      <w:r>
        <w:rPr>
          <w:rFonts w:hint="eastAsia" w:ascii="仿宋_GB2312" w:eastAsia="仿宋_GB2312"/>
          <w:color w:val="000000"/>
          <w:sz w:val="32"/>
          <w:szCs w:val="32"/>
          <w:lang w:val="en-US" w:eastAsia="zh-CN"/>
        </w:rPr>
        <w:t>318.05</w:t>
      </w:r>
      <w:r>
        <w:rPr>
          <w:rFonts w:hint="eastAsia" w:ascii="仿宋_GB2312" w:eastAsia="仿宋_GB2312"/>
          <w:color w:val="000000"/>
          <w:sz w:val="32"/>
          <w:szCs w:val="32"/>
        </w:rPr>
        <w:t>万元，比上年增加</w:t>
      </w:r>
      <w:r>
        <w:rPr>
          <w:rFonts w:hint="eastAsia" w:ascii="仿宋_GB2312" w:eastAsia="仿宋_GB2312"/>
          <w:color w:val="000000"/>
          <w:sz w:val="32"/>
          <w:szCs w:val="32"/>
          <w:lang w:val="en-US" w:eastAsia="zh-CN"/>
        </w:rPr>
        <w:t>17.51</w:t>
      </w:r>
      <w:r>
        <w:rPr>
          <w:rFonts w:hint="eastAsia" w:ascii="仿宋_GB2312" w:eastAsia="仿宋_GB2312"/>
          <w:color w:val="000000"/>
          <w:sz w:val="32"/>
          <w:szCs w:val="32"/>
        </w:rPr>
        <w:t>万元。主要原因</w:t>
      </w:r>
      <w:r>
        <w:rPr>
          <w:rFonts w:hint="eastAsia" w:ascii="仿宋_GB2312" w:eastAsia="仿宋_GB2312"/>
          <w:color w:val="000000"/>
          <w:sz w:val="32"/>
          <w:szCs w:val="32"/>
          <w:lang w:eastAsia="zh-CN"/>
        </w:rPr>
        <w:t>今年第四次经济普查</w:t>
      </w:r>
      <w:r>
        <w:rPr>
          <w:rFonts w:hint="eastAsia" w:ascii="仿宋_GB2312" w:eastAsia="仿宋_GB2312"/>
          <w:color w:val="000000"/>
          <w:sz w:val="32"/>
          <w:szCs w:val="32"/>
        </w:rPr>
        <w:t>专项经费</w:t>
      </w:r>
      <w:r>
        <w:rPr>
          <w:rFonts w:hint="eastAsia" w:ascii="仿宋_GB2312" w:eastAsia="仿宋_GB2312"/>
          <w:color w:val="000000"/>
          <w:sz w:val="32"/>
          <w:szCs w:val="32"/>
          <w:lang w:eastAsia="zh-CN"/>
        </w:rPr>
        <w:t>支出增加。</w:t>
      </w:r>
    </w:p>
    <w:tbl>
      <w:tblPr>
        <w:tblStyle w:val="7"/>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4"/>
        <w:gridCol w:w="2381"/>
        <w:gridCol w:w="2150"/>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64" w:type="dxa"/>
          </w:tcPr>
          <w:p>
            <w:pPr>
              <w:pStyle w:val="5"/>
              <w:widowControl w:val="0"/>
              <w:spacing w:before="0" w:beforeAutospacing="0" w:after="0" w:afterAutospacing="0" w:line="520" w:lineRule="exact"/>
              <w:rPr>
                <w:rFonts w:hint="eastAsia" w:ascii="仿宋_GB2312" w:eastAsia="仿宋_GB2312"/>
                <w:sz w:val="24"/>
                <w:szCs w:val="24"/>
                <w:vertAlign w:val="baseline"/>
                <w:lang w:val="en-US" w:eastAsia="zh-CN"/>
              </w:rPr>
            </w:pPr>
          </w:p>
        </w:tc>
        <w:tc>
          <w:tcPr>
            <w:tcW w:w="2381" w:type="dxa"/>
          </w:tcPr>
          <w:p>
            <w:pPr>
              <w:pStyle w:val="5"/>
              <w:widowControl w:val="0"/>
              <w:spacing w:before="0" w:beforeAutospacing="0" w:after="0" w:afterAutospacing="0" w:line="520" w:lineRule="exact"/>
              <w:ind w:firstLine="960" w:firstLineChars="400"/>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2019</w:t>
            </w:r>
          </w:p>
        </w:tc>
        <w:tc>
          <w:tcPr>
            <w:tcW w:w="2150" w:type="dxa"/>
          </w:tcPr>
          <w:p>
            <w:pPr>
              <w:pStyle w:val="5"/>
              <w:widowControl w:val="0"/>
              <w:spacing w:before="0" w:beforeAutospacing="0" w:after="0" w:afterAutospacing="0" w:line="520" w:lineRule="exact"/>
              <w:ind w:firstLine="480" w:firstLineChars="200"/>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2018</w:t>
            </w:r>
          </w:p>
        </w:tc>
        <w:tc>
          <w:tcPr>
            <w:tcW w:w="2150" w:type="dxa"/>
          </w:tcPr>
          <w:p>
            <w:pPr>
              <w:pStyle w:val="5"/>
              <w:widowControl w:val="0"/>
              <w:spacing w:before="0" w:beforeAutospacing="0" w:after="0" w:afterAutospacing="0" w:line="520" w:lineRule="exact"/>
              <w:ind w:firstLine="480" w:firstLineChars="200"/>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64" w:type="dxa"/>
          </w:tcPr>
          <w:p>
            <w:pPr>
              <w:pStyle w:val="5"/>
              <w:widowControl w:val="0"/>
              <w:spacing w:before="0" w:beforeAutospacing="0" w:after="0" w:afterAutospacing="0" w:line="520" w:lineRule="exact"/>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财政拨款收入</w:t>
            </w:r>
          </w:p>
        </w:tc>
        <w:tc>
          <w:tcPr>
            <w:tcW w:w="2381" w:type="dxa"/>
          </w:tcPr>
          <w:p>
            <w:pPr>
              <w:pStyle w:val="5"/>
              <w:widowControl w:val="0"/>
              <w:spacing w:before="0" w:beforeAutospacing="0" w:after="0" w:afterAutospacing="0" w:line="52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318.05</w:t>
            </w:r>
          </w:p>
        </w:tc>
        <w:tc>
          <w:tcPr>
            <w:tcW w:w="2150" w:type="dxa"/>
          </w:tcPr>
          <w:p>
            <w:pPr>
              <w:pStyle w:val="5"/>
              <w:widowControl w:val="0"/>
              <w:spacing w:before="0" w:beforeAutospacing="0" w:after="0" w:afterAutospacing="0" w:line="52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300.54</w:t>
            </w:r>
          </w:p>
        </w:tc>
        <w:tc>
          <w:tcPr>
            <w:tcW w:w="2150" w:type="dxa"/>
          </w:tcPr>
          <w:p>
            <w:pPr>
              <w:pStyle w:val="5"/>
              <w:widowControl w:val="0"/>
              <w:spacing w:before="0" w:beforeAutospacing="0" w:after="0" w:afterAutospacing="0" w:line="52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+17.51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64" w:type="dxa"/>
          </w:tcPr>
          <w:p>
            <w:pPr>
              <w:pStyle w:val="5"/>
              <w:widowControl w:val="0"/>
              <w:spacing w:before="0" w:beforeAutospacing="0" w:after="0" w:afterAutospacing="0" w:line="520" w:lineRule="exact"/>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财政拨款支出</w:t>
            </w:r>
          </w:p>
        </w:tc>
        <w:tc>
          <w:tcPr>
            <w:tcW w:w="2381" w:type="dxa"/>
          </w:tcPr>
          <w:p>
            <w:pPr>
              <w:pStyle w:val="5"/>
              <w:widowControl w:val="0"/>
              <w:spacing w:before="0" w:beforeAutospacing="0" w:after="0" w:afterAutospacing="0" w:line="52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318.05</w:t>
            </w:r>
          </w:p>
        </w:tc>
        <w:tc>
          <w:tcPr>
            <w:tcW w:w="2150" w:type="dxa"/>
          </w:tcPr>
          <w:p>
            <w:pPr>
              <w:pStyle w:val="5"/>
              <w:widowControl w:val="0"/>
              <w:spacing w:before="0" w:beforeAutospacing="0" w:after="0" w:afterAutospacing="0" w:line="52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300.54</w:t>
            </w:r>
          </w:p>
        </w:tc>
        <w:tc>
          <w:tcPr>
            <w:tcW w:w="2150" w:type="dxa"/>
          </w:tcPr>
          <w:p>
            <w:pPr>
              <w:pStyle w:val="5"/>
              <w:widowControl w:val="0"/>
              <w:spacing w:before="0" w:beforeAutospacing="0" w:after="0" w:afterAutospacing="0" w:line="52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+17.51</w:t>
            </w: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五、一般公共预算财政拨款支出决算情况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318.05</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相比，财政拨款支出增加</w:t>
      </w:r>
      <w:r>
        <w:rPr>
          <w:rFonts w:hint="eastAsia" w:ascii="仿宋_GB2312" w:hAnsi="宋体" w:eastAsia="仿宋_GB2312" w:cs="仿宋_GB2312"/>
          <w:color w:val="000000"/>
          <w:kern w:val="0"/>
          <w:sz w:val="32"/>
          <w:szCs w:val="32"/>
          <w:lang w:val="en-US" w:eastAsia="zh-CN" w:bidi="ar"/>
        </w:rPr>
        <w:t>17.51</w:t>
      </w:r>
      <w:r>
        <w:rPr>
          <w:rFonts w:ascii="仿宋_GB2312" w:hAnsi="宋体" w:eastAsia="仿宋_GB2312" w:cs="仿宋_GB2312"/>
          <w:color w:val="000000"/>
          <w:kern w:val="0"/>
          <w:sz w:val="32"/>
          <w:szCs w:val="32"/>
          <w:lang w:bidi="ar"/>
        </w:rPr>
        <w:t>万元，增长</w:t>
      </w:r>
      <w:r>
        <w:rPr>
          <w:rFonts w:hint="eastAsia" w:ascii="仿宋_GB2312" w:hAnsi="宋体" w:eastAsia="仿宋_GB2312" w:cs="仿宋_GB2312"/>
          <w:color w:val="000000"/>
          <w:kern w:val="0"/>
          <w:sz w:val="32"/>
          <w:szCs w:val="32"/>
          <w:lang w:val="en-US" w:eastAsia="zh-CN" w:bidi="ar"/>
        </w:rPr>
        <w:t>5.8</w:t>
      </w:r>
      <w:r>
        <w:rPr>
          <w:rFonts w:ascii="仿宋_GB2312" w:hAnsi="宋体" w:eastAsia="仿宋_GB2312" w:cs="仿宋_GB2312"/>
          <w:color w:val="000000"/>
          <w:kern w:val="0"/>
          <w:sz w:val="32"/>
          <w:szCs w:val="32"/>
          <w:lang w:bidi="ar"/>
        </w:rPr>
        <w:t>%，主要</w:t>
      </w:r>
      <w:r>
        <w:rPr>
          <w:rFonts w:hint="eastAsia" w:ascii="仿宋_GB2312" w:hAnsi="宋体" w:eastAsia="仿宋_GB2312" w:cs="仿宋_GB2312"/>
          <w:color w:val="000000"/>
          <w:kern w:val="0"/>
          <w:sz w:val="32"/>
          <w:szCs w:val="32"/>
          <w:lang w:bidi="ar"/>
        </w:rPr>
        <w:t>原因是</w:t>
      </w:r>
      <w:r>
        <w:rPr>
          <w:rFonts w:hint="eastAsia" w:ascii="仿宋_GB2312" w:eastAsia="仿宋_GB2312"/>
          <w:color w:val="000000"/>
          <w:sz w:val="32"/>
          <w:szCs w:val="32"/>
          <w:lang w:eastAsia="zh-CN"/>
        </w:rPr>
        <w:t>今年第四次经济普查</w:t>
      </w:r>
      <w:r>
        <w:rPr>
          <w:rFonts w:hint="eastAsia" w:ascii="仿宋_GB2312" w:eastAsia="仿宋_GB2312"/>
          <w:color w:val="000000"/>
          <w:sz w:val="32"/>
          <w:szCs w:val="32"/>
        </w:rPr>
        <w:t>专项经费</w:t>
      </w:r>
      <w:r>
        <w:rPr>
          <w:rFonts w:hint="eastAsia" w:ascii="仿宋_GB2312" w:eastAsia="仿宋_GB2312"/>
          <w:color w:val="000000"/>
          <w:sz w:val="32"/>
          <w:szCs w:val="32"/>
          <w:lang w:eastAsia="zh-CN"/>
        </w:rPr>
        <w:t>支出增加。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财政拨款支出年初预算为</w:t>
      </w:r>
      <w:r>
        <w:rPr>
          <w:rFonts w:hint="eastAsia" w:ascii="仿宋_GB2312" w:hAnsi="宋体" w:eastAsia="仿宋_GB2312" w:cs="仿宋_GB2312"/>
          <w:color w:val="000000"/>
          <w:kern w:val="0"/>
          <w:sz w:val="32"/>
          <w:szCs w:val="32"/>
          <w:lang w:val="en-US" w:eastAsia="zh-CN" w:bidi="ar"/>
        </w:rPr>
        <w:t>142.4</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318.05</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b w:val="0"/>
          <w:bCs w:val="0"/>
          <w:color w:val="000000"/>
          <w:kern w:val="0"/>
          <w:sz w:val="32"/>
          <w:szCs w:val="32"/>
          <w:lang w:val="en-US" w:eastAsia="zh-CN" w:bidi="ar"/>
        </w:rPr>
        <w:t>223.3</w:t>
      </w:r>
      <w:r>
        <w:rPr>
          <w:rFonts w:ascii="仿宋_GB2312" w:hAnsi="宋体" w:eastAsia="仿宋_GB2312" w:cs="仿宋_GB2312"/>
          <w:b w:val="0"/>
          <w:bCs w:val="0"/>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宋体" w:eastAsia="仿宋_GB2312" w:cs="仿宋_GB2312"/>
          <w:b/>
          <w:color w:val="000000"/>
          <w:kern w:val="0"/>
          <w:sz w:val="32"/>
          <w:szCs w:val="32"/>
          <w:lang w:bidi="ar"/>
        </w:rPr>
        <w:t>1.一般公共服务支出财政事务行政运行</w:t>
      </w:r>
      <w:r>
        <w:rPr>
          <w:rFonts w:hint="eastAsia" w:ascii="仿宋_GB2312" w:hAnsi="宋体" w:eastAsia="仿宋_GB2312" w:cs="仿宋_GB2312"/>
          <w:b/>
          <w:color w:val="000000"/>
          <w:kern w:val="0"/>
          <w:sz w:val="32"/>
          <w:szCs w:val="32"/>
          <w:lang w:eastAsia="zh-CN" w:bidi="ar"/>
        </w:rPr>
        <w:t>项，</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90.79</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132.01</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145.4</w:t>
      </w:r>
      <w:r>
        <w:rPr>
          <w:rFonts w:ascii="仿宋_GB2312" w:hAnsi="宋体" w:eastAsia="仿宋_GB2312" w:cs="仿宋_GB2312"/>
          <w:color w:val="000000"/>
          <w:kern w:val="0"/>
          <w:sz w:val="32"/>
          <w:szCs w:val="32"/>
          <w:lang w:bidi="ar"/>
        </w:rPr>
        <w:t>%。决算数大于预算数的主要原因是</w:t>
      </w:r>
      <w:r>
        <w:rPr>
          <w:rFonts w:hint="eastAsia" w:ascii="仿宋_GB2312" w:hAnsi="宋体" w:eastAsia="仿宋_GB2312" w:cs="仿宋_GB2312"/>
          <w:color w:val="000000"/>
          <w:kern w:val="0"/>
          <w:sz w:val="32"/>
          <w:szCs w:val="32"/>
          <w:lang w:eastAsia="zh-CN" w:bidi="ar"/>
        </w:rPr>
        <w:t>人员经费增加。</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ascii="仿宋_GB2312" w:hAnsi="宋体" w:eastAsia="仿宋_GB2312" w:cs="仿宋_GB2312"/>
          <w:b/>
          <w:bCs/>
          <w:color w:val="000000"/>
          <w:kern w:val="0"/>
          <w:sz w:val="32"/>
          <w:szCs w:val="32"/>
          <w:lang w:bidi="ar"/>
        </w:rPr>
        <w:t>2.</w:t>
      </w:r>
      <w:r>
        <w:rPr>
          <w:rFonts w:hint="eastAsia" w:ascii="仿宋_GB2312" w:hAnsi="宋体" w:eastAsia="仿宋_GB2312" w:cs="仿宋_GB2312"/>
          <w:b/>
          <w:bCs/>
          <w:color w:val="000000"/>
          <w:kern w:val="0"/>
          <w:sz w:val="32"/>
          <w:szCs w:val="32"/>
          <w:lang w:eastAsia="zh-CN" w:bidi="ar"/>
        </w:rPr>
        <w:t>专项统计业务</w:t>
      </w:r>
      <w:r>
        <w:rPr>
          <w:rFonts w:hint="eastAsia" w:ascii="仿宋_GB2312" w:hAnsi="宋体" w:eastAsia="仿宋_GB2312" w:cs="仿宋_GB2312"/>
          <w:color w:val="000000"/>
          <w:kern w:val="0"/>
          <w:sz w:val="32"/>
          <w:szCs w:val="32"/>
          <w:lang w:eastAsia="zh-CN" w:bidi="ar"/>
        </w:rPr>
        <w:t>，年初预算为</w:t>
      </w:r>
      <w:r>
        <w:rPr>
          <w:rFonts w:hint="eastAsia" w:ascii="仿宋_GB2312" w:hAnsi="宋体" w:eastAsia="仿宋_GB2312" w:cs="仿宋_GB2312"/>
          <w:color w:val="000000"/>
          <w:kern w:val="0"/>
          <w:sz w:val="32"/>
          <w:szCs w:val="32"/>
          <w:lang w:val="en-US" w:eastAsia="zh-CN" w:bidi="ar"/>
        </w:rPr>
        <w:t>14万元，支出决算为13.3万元，</w:t>
      </w:r>
      <w:r>
        <w:rPr>
          <w:rFonts w:ascii="仿宋_GB2312" w:hAnsi="宋体" w:eastAsia="仿宋_GB2312" w:cs="仿宋_GB2312"/>
          <w:color w:val="000000"/>
          <w:kern w:val="0"/>
          <w:sz w:val="32"/>
          <w:szCs w:val="32"/>
          <w:lang w:bidi="ar"/>
        </w:rPr>
        <w:t>完成年初预算的</w:t>
      </w:r>
      <w:r>
        <w:rPr>
          <w:rFonts w:hint="eastAsia" w:ascii="仿宋_GB2312" w:hAnsi="宋体" w:eastAsia="仿宋_GB2312" w:cs="仿宋_GB2312"/>
          <w:color w:val="000000"/>
          <w:kern w:val="0"/>
          <w:sz w:val="32"/>
          <w:szCs w:val="32"/>
          <w:lang w:val="en-US" w:eastAsia="zh-CN" w:bidi="ar"/>
        </w:rPr>
        <w:t>95</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小</w:t>
      </w:r>
      <w:r>
        <w:rPr>
          <w:rFonts w:ascii="仿宋_GB2312" w:hAnsi="宋体" w:eastAsia="仿宋_GB2312" w:cs="仿宋_GB2312"/>
          <w:color w:val="000000"/>
          <w:kern w:val="0"/>
          <w:sz w:val="32"/>
          <w:szCs w:val="32"/>
          <w:lang w:bidi="ar"/>
        </w:rPr>
        <w:t>于预算数的主要原因是</w:t>
      </w:r>
      <w:r>
        <w:rPr>
          <w:rFonts w:hint="eastAsia" w:ascii="仿宋_GB2312" w:hAnsi="宋体" w:eastAsia="仿宋_GB2312" w:cs="仿宋_GB2312"/>
          <w:color w:val="000000"/>
          <w:kern w:val="0"/>
          <w:sz w:val="32"/>
          <w:szCs w:val="32"/>
          <w:lang w:eastAsia="zh-CN" w:bidi="ar"/>
        </w:rPr>
        <w:t>有部分支出用市局拨款支付。</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b/>
          <w:bCs/>
          <w:color w:val="000000"/>
          <w:kern w:val="0"/>
          <w:sz w:val="32"/>
          <w:szCs w:val="32"/>
          <w:lang w:val="en-US" w:eastAsia="zh-CN" w:bidi="ar"/>
        </w:rPr>
        <w:t>3、其他统计信息事务支出</w:t>
      </w:r>
      <w:r>
        <w:rPr>
          <w:rFonts w:hint="eastAsia"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eastAsia="zh-CN" w:bidi="ar"/>
        </w:rPr>
        <w:t>年初预算为</w:t>
      </w:r>
      <w:r>
        <w:rPr>
          <w:rFonts w:hint="eastAsia" w:ascii="仿宋_GB2312" w:hAnsi="宋体" w:eastAsia="仿宋_GB2312" w:cs="仿宋_GB2312"/>
          <w:color w:val="000000"/>
          <w:kern w:val="0"/>
          <w:sz w:val="32"/>
          <w:szCs w:val="32"/>
          <w:lang w:val="en-US" w:eastAsia="zh-CN" w:bidi="ar"/>
        </w:rPr>
        <w:t>37万元，支出决算为37万元，</w:t>
      </w:r>
      <w:r>
        <w:rPr>
          <w:rFonts w:ascii="仿宋_GB2312" w:hAnsi="宋体" w:eastAsia="仿宋_GB2312" w:cs="仿宋_GB2312"/>
          <w:color w:val="000000"/>
          <w:kern w:val="0"/>
          <w:sz w:val="32"/>
          <w:szCs w:val="32"/>
          <w:lang w:bidi="ar"/>
        </w:rPr>
        <w:t>完成年初预算的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与</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持平。</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4、专项普查活动，</w:t>
      </w:r>
      <w:r>
        <w:rPr>
          <w:rFonts w:hint="eastAsia" w:ascii="仿宋_GB2312" w:hAnsi="宋体" w:eastAsia="仿宋_GB2312" w:cs="仿宋_GB2312"/>
          <w:b w:val="0"/>
          <w:bCs w:val="0"/>
          <w:color w:val="000000"/>
          <w:kern w:val="0"/>
          <w:sz w:val="32"/>
          <w:szCs w:val="32"/>
          <w:lang w:val="en-US" w:eastAsia="zh-CN" w:bidi="ar"/>
        </w:rPr>
        <w:t>年初预算无，支出决算为45.1万元，为第四次经济普查追加项目。</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5、一般行政管理事务，</w:t>
      </w:r>
      <w:r>
        <w:rPr>
          <w:rFonts w:hint="eastAsia" w:ascii="仿宋_GB2312" w:hAnsi="宋体" w:eastAsia="仿宋_GB2312" w:cs="仿宋_GB2312"/>
          <w:b w:val="0"/>
          <w:bCs w:val="0"/>
          <w:color w:val="000000"/>
          <w:kern w:val="0"/>
          <w:sz w:val="32"/>
          <w:szCs w:val="32"/>
          <w:lang w:val="en-US" w:eastAsia="zh-CN" w:bidi="ar"/>
        </w:rPr>
        <w:t>年初预算无，支出决算为80万元，为第四次经济普查追加项目。</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b/>
          <w:bCs/>
          <w:color w:val="000000"/>
          <w:kern w:val="0"/>
          <w:sz w:val="32"/>
          <w:szCs w:val="32"/>
          <w:lang w:val="en-US" w:eastAsia="zh-CN" w:bidi="ar"/>
        </w:rPr>
        <w:t>6、社会保障就业支出8.38万元，卫生健康支出2.29万元，</w:t>
      </w:r>
      <w:r>
        <w:rPr>
          <w:rFonts w:hint="eastAsia" w:ascii="仿宋_GB2312" w:hAnsi="宋体" w:eastAsia="仿宋_GB2312" w:cs="仿宋_GB2312"/>
          <w:b w:val="0"/>
          <w:bCs w:val="0"/>
          <w:color w:val="000000"/>
          <w:kern w:val="0"/>
          <w:sz w:val="32"/>
          <w:szCs w:val="32"/>
          <w:lang w:val="en-US" w:eastAsia="zh-CN" w:bidi="ar"/>
        </w:rPr>
        <w:t>年初预算无。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sz w:val="32"/>
          <w:szCs w:val="32"/>
        </w:rPr>
      </w:pPr>
      <w:r>
        <w:rPr>
          <w:rFonts w:hint="eastAsia" w:ascii="黑体" w:hAnsi="黑体" w:eastAsia="黑体"/>
          <w:color w:val="000000"/>
          <w:kern w:val="0"/>
          <w:sz w:val="32"/>
          <w:szCs w:val="32"/>
          <w:lang w:bidi="ar"/>
        </w:rPr>
        <w:t>六、一般公共预算财政拨款基本支出决算情况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201</w:t>
      </w:r>
      <w:r>
        <w:rPr>
          <w:rFonts w:hint="eastAsia" w:ascii="仿宋_GB2312" w:hAnsi="仿宋_GB2312" w:eastAsia="仿宋_GB2312" w:cs="仿宋_GB2312"/>
          <w:color w:val="000000"/>
          <w:kern w:val="0"/>
          <w:sz w:val="31"/>
          <w:szCs w:val="31"/>
          <w:lang w:bidi="ar"/>
        </w:rPr>
        <w:t>9</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142.65</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131.82</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10.83</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color w:val="000000"/>
          <w:kern w:val="0"/>
          <w:sz w:val="32"/>
          <w:szCs w:val="32"/>
          <w:lang w:val="en-US" w:eastAsia="zh-CN" w:bidi="ar"/>
        </w:rPr>
        <w:t>131.82</w:t>
      </w:r>
      <w:r>
        <w:rPr>
          <w:rFonts w:ascii="仿宋_GB2312" w:hAnsi="宋体" w:eastAsia="仿宋_GB2312" w:cs="仿宋_GB2312"/>
          <w:color w:val="000000"/>
          <w:kern w:val="0"/>
          <w:sz w:val="32"/>
          <w:szCs w:val="32"/>
          <w:lang w:bidi="ar"/>
        </w:rPr>
        <w:t>万元，主要包括基本工资</w:t>
      </w:r>
      <w:r>
        <w:rPr>
          <w:rFonts w:hint="eastAsia" w:ascii="仿宋_GB2312" w:hAnsi="宋体" w:eastAsia="仿宋_GB2312" w:cs="仿宋_GB2312"/>
          <w:color w:val="000000"/>
          <w:kern w:val="0"/>
          <w:sz w:val="32"/>
          <w:szCs w:val="32"/>
          <w:lang w:val="en-US" w:eastAsia="zh-CN" w:bidi="ar"/>
        </w:rPr>
        <w:t>30.84</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，津补贴</w:t>
      </w:r>
      <w:r>
        <w:rPr>
          <w:rFonts w:hint="eastAsia" w:ascii="仿宋_GB2312" w:hAnsi="宋体" w:eastAsia="仿宋_GB2312" w:cs="仿宋_GB2312"/>
          <w:color w:val="000000"/>
          <w:kern w:val="0"/>
          <w:sz w:val="32"/>
          <w:szCs w:val="32"/>
          <w:lang w:val="en-US" w:eastAsia="zh-CN" w:bidi="ar"/>
        </w:rPr>
        <w:t>29.56万元，奖金47.82万元，养老保险8.35万元，职业年金2.17万元，医疗保险2.29万元，住房公积金10.79万元。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color w:val="000000"/>
          <w:kern w:val="0"/>
          <w:sz w:val="32"/>
          <w:szCs w:val="32"/>
          <w:lang w:val="en-US" w:eastAsia="zh-CN" w:bidi="ar"/>
        </w:rPr>
        <w:t>10.83</w:t>
      </w:r>
      <w:r>
        <w:rPr>
          <w:rFonts w:ascii="仿宋_GB2312" w:hAnsi="宋体" w:eastAsia="仿宋_GB2312" w:cs="仿宋_GB2312"/>
          <w:color w:val="000000"/>
          <w:kern w:val="0"/>
          <w:sz w:val="32"/>
          <w:szCs w:val="32"/>
          <w:lang w:bidi="ar"/>
        </w:rPr>
        <w:t>万元，主要包括办公费</w:t>
      </w:r>
      <w:r>
        <w:rPr>
          <w:rFonts w:hint="eastAsia" w:ascii="仿宋_GB2312" w:hAnsi="宋体" w:eastAsia="仿宋_GB2312" w:cs="仿宋_GB2312"/>
          <w:color w:val="000000"/>
          <w:kern w:val="0"/>
          <w:sz w:val="32"/>
          <w:szCs w:val="32"/>
          <w:lang w:val="en-US" w:eastAsia="zh-CN" w:bidi="ar"/>
        </w:rPr>
        <w:t>1.12万元，水费0.2万元，差旅费3.18</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，其他交通费</w:t>
      </w:r>
      <w:r>
        <w:rPr>
          <w:rFonts w:hint="eastAsia" w:ascii="仿宋_GB2312" w:hAnsi="宋体" w:eastAsia="仿宋_GB2312" w:cs="仿宋_GB2312"/>
          <w:color w:val="000000"/>
          <w:kern w:val="0"/>
          <w:sz w:val="32"/>
          <w:szCs w:val="32"/>
          <w:lang w:val="en-US" w:eastAsia="zh-CN" w:bidi="ar"/>
        </w:rPr>
        <w:t>6.34万元。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七、一般公共预算财政拨款“三公”经费及会议费、培训费支出决算情况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eastAsia="仿宋_GB2312"/>
          <w:lang w:eastAsia="zh-CN"/>
        </w:rPr>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0.608</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0.608</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今年无经费支出。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%。具体情况如下：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主要原因是</w:t>
      </w:r>
      <w:r>
        <w:rPr>
          <w:rFonts w:hint="eastAsia" w:ascii="仿宋_GB2312" w:eastAsia="仿宋_GB2312"/>
          <w:color w:val="000000"/>
          <w:sz w:val="32"/>
          <w:szCs w:val="32"/>
        </w:rPr>
        <w:t>严格执行八项规定，严控出</w:t>
      </w:r>
      <w:r>
        <w:rPr>
          <w:rFonts w:hint="eastAsia" w:ascii="仿宋_GB2312" w:eastAsia="仿宋_GB2312"/>
          <w:color w:val="000000"/>
          <w:sz w:val="32"/>
          <w:szCs w:val="32"/>
          <w:lang w:eastAsia="zh-CN"/>
        </w:rPr>
        <w:t>国</w:t>
      </w:r>
      <w:r>
        <w:rPr>
          <w:rFonts w:hint="eastAsia" w:ascii="仿宋_GB2312" w:eastAsia="仿宋_GB2312"/>
          <w:color w:val="000000"/>
          <w:sz w:val="32"/>
          <w:szCs w:val="32"/>
        </w:rPr>
        <w:t>支</w:t>
      </w:r>
      <w:r>
        <w:rPr>
          <w:rFonts w:hint="eastAsia" w:ascii="仿宋_GB2312" w:eastAsia="仿宋_GB2312"/>
          <w:color w:val="000000"/>
          <w:sz w:val="32"/>
          <w:szCs w:val="32"/>
          <w:lang w:eastAsia="zh-CN"/>
        </w:rPr>
        <w:t>出</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lang w:val="en-US" w:eastAsia="zh-CN"/>
        </w:rPr>
        <w:t xml:space="preserve"> </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无公务用车</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lang w:val="en-US" w:eastAsia="zh-CN"/>
        </w:rPr>
        <w:t xml:space="preserve"> </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无公务用车。</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公务接待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0.608</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公务接待减少</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无培训</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0.1596</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无会议</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八、政府性基金预算财政拨款收入支出情况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本部门无政府性基金决算收支，并已公开空表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九、国有资本经营财政拨款收</w:t>
      </w:r>
      <w:r>
        <w:rPr>
          <w:rFonts w:hint="eastAsia" w:ascii="黑体" w:hAnsi="黑体" w:eastAsia="黑体"/>
          <w:color w:val="000000"/>
          <w:kern w:val="0"/>
          <w:sz w:val="32"/>
          <w:szCs w:val="32"/>
          <w:lang w:eastAsia="zh-CN" w:bidi="ar"/>
        </w:rPr>
        <w:t>入</w:t>
      </w:r>
      <w:r>
        <w:rPr>
          <w:rFonts w:hint="eastAsia" w:ascii="黑体" w:hAnsi="黑体" w:eastAsia="黑体"/>
          <w:color w:val="000000"/>
          <w:kern w:val="0"/>
          <w:sz w:val="32"/>
          <w:szCs w:val="32"/>
          <w:lang w:bidi="ar"/>
        </w:rPr>
        <w:t>支</w:t>
      </w:r>
      <w:r>
        <w:rPr>
          <w:rFonts w:hint="eastAsia" w:ascii="黑体" w:hAnsi="黑体" w:eastAsia="黑体"/>
          <w:color w:val="000000"/>
          <w:kern w:val="0"/>
          <w:sz w:val="32"/>
          <w:szCs w:val="32"/>
          <w:lang w:eastAsia="zh-CN" w:bidi="ar"/>
        </w:rPr>
        <w:t>出</w:t>
      </w:r>
      <w:r>
        <w:rPr>
          <w:rFonts w:hint="eastAsia" w:ascii="黑体" w:hAnsi="黑体" w:eastAsia="黑体"/>
          <w:color w:val="000000"/>
          <w:kern w:val="0"/>
          <w:sz w:val="32"/>
          <w:szCs w:val="32"/>
          <w:lang w:bidi="ar"/>
        </w:rPr>
        <w:t>情况</w:t>
      </w:r>
      <w:r>
        <w:rPr>
          <w:rFonts w:hint="eastAsia" w:ascii="黑体" w:hAnsi="黑体" w:eastAsia="黑体"/>
          <w:color w:val="000000"/>
          <w:kern w:val="0"/>
          <w:sz w:val="32"/>
          <w:szCs w:val="32"/>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本部门无国有资本经营决算拨款收支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十、预算绩效情况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left="1616" w:leftChars="304" w:hanging="643" w:hanging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eastAsia="zh-CN"/>
        </w:rPr>
        <w:t>两</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50.3</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98.6</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000000"/>
          <w:kern w:val="0"/>
          <w:sz w:val="31"/>
          <w:szCs w:val="31"/>
          <w:lang w:bidi="ar"/>
        </w:rPr>
        <w:t>组织对 2019年</w:t>
      </w:r>
      <w:r>
        <w:rPr>
          <w:rFonts w:hint="eastAsia" w:ascii="仿宋_GB2312" w:hAnsi="仿宋" w:eastAsia="仿宋_GB2312"/>
          <w:sz w:val="32"/>
          <w:szCs w:val="32"/>
          <w:lang w:eastAsia="zh-CN"/>
        </w:rPr>
        <w:t>度政府性</w:t>
      </w:r>
      <w:r>
        <w:rPr>
          <w:rFonts w:hint="eastAsia" w:ascii="仿宋_GB2312" w:hAnsi="仿宋_GB2312" w:eastAsia="仿宋_GB2312" w:cs="仿宋_GB2312"/>
          <w:sz w:val="32"/>
          <w:szCs w:val="32"/>
        </w:rPr>
        <w:t>基金预算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涉及项目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kern w:val="0"/>
          <w:sz w:val="31"/>
          <w:szCs w:val="31"/>
          <w:lang w:eastAsia="zh-CN" w:bidi="ar"/>
        </w:rPr>
        <w:t>个，</w:t>
      </w:r>
      <w:r>
        <w:rPr>
          <w:rFonts w:ascii="仿宋_GB2312" w:hAnsi="仿宋_GB2312" w:eastAsia="仿宋_GB2312" w:cs="仿宋_GB2312"/>
          <w:color w:val="000000"/>
          <w:kern w:val="0"/>
          <w:sz w:val="31"/>
          <w:szCs w:val="31"/>
          <w:lang w:bidi="ar"/>
        </w:rPr>
        <w:t>共涉及资金</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万元，占政府性基金预算项目支出总额的</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度本</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机关</w:t>
      </w:r>
      <w:r>
        <w:rPr>
          <w:rFonts w:hint="eastAsia" w:ascii="仿宋_GB2312" w:hAnsi="仿宋_GB2312" w:eastAsia="仿宋_GB2312" w:cs="仿宋_GB2312"/>
          <w:sz w:val="32"/>
          <w:szCs w:val="32"/>
        </w:rPr>
        <w:t>进行了绩效自评，涉及资金</w:t>
      </w:r>
      <w:r>
        <w:rPr>
          <w:rFonts w:hint="eastAsia" w:ascii="仿宋_GB2312" w:hAnsi="仿宋_GB2312" w:eastAsia="仿宋_GB2312" w:cs="仿宋_GB2312"/>
          <w:color w:val="000000"/>
          <w:kern w:val="0"/>
          <w:sz w:val="31"/>
          <w:szCs w:val="31"/>
          <w:lang w:val="en-US" w:eastAsia="zh-CN" w:bidi="ar"/>
        </w:rPr>
        <w:t>50.3</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1、</w:t>
      </w:r>
      <w:r>
        <w:rPr>
          <w:rFonts w:hint="eastAsia" w:ascii="仿宋_GB2312" w:hAnsi="仿宋_GB2312" w:eastAsia="仿宋_GB2312" w:cs="仿宋_GB2312"/>
          <w:color w:val="000000"/>
          <w:kern w:val="0"/>
          <w:sz w:val="31"/>
          <w:szCs w:val="31"/>
          <w:lang w:eastAsia="zh-CN" w:bidi="ar"/>
        </w:rPr>
        <w:t>社情民意工资</w:t>
      </w:r>
      <w:r>
        <w:rPr>
          <w:rFonts w:ascii="仿宋_GB2312" w:hAnsi="仿宋_GB2312" w:eastAsia="仿宋_GB2312" w:cs="仿宋_GB2312"/>
          <w:color w:val="000000"/>
          <w:kern w:val="0"/>
          <w:sz w:val="31"/>
          <w:szCs w:val="31"/>
          <w:lang w:bidi="ar"/>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98</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37</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37</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eastAsia="zh-CN" w:bidi="ar"/>
        </w:rPr>
        <w:t>，</w:t>
      </w:r>
      <w:r>
        <w:rPr>
          <w:rFonts w:hint="eastAsia" w:ascii="仿宋_GB2312" w:hAnsi="仿宋_GB2312" w:eastAsia="仿宋_GB2312" w:cs="仿宋_GB2312"/>
          <w:kern w:val="0"/>
          <w:sz w:val="32"/>
          <w:szCs w:val="32"/>
        </w:rPr>
        <w:t>完成电话访问任务，做好满意度调查，为政府提供决策服务</w:t>
      </w:r>
      <w:r>
        <w:rPr>
          <w:rFonts w:hint="eastAsia" w:ascii="仿宋_GB2312" w:hAnsi="仿宋_GB2312" w:eastAsia="仿宋_GB2312" w:cs="仿宋_GB2312"/>
          <w:kern w:val="0"/>
          <w:sz w:val="32"/>
          <w:szCs w:val="32"/>
          <w:lang w:eastAsia="zh-CN"/>
        </w:rPr>
        <w:t>，达到了一定效果。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由于有人员更换，调查员业务水平仍需要提高。</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加强业务培训。</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2、统计业务费</w:t>
      </w:r>
      <w:r>
        <w:rPr>
          <w:rFonts w:ascii="仿宋_GB2312" w:hAnsi="仿宋_GB2312" w:eastAsia="仿宋_GB2312" w:cs="仿宋_GB2312"/>
          <w:color w:val="000000"/>
          <w:kern w:val="0"/>
          <w:sz w:val="31"/>
          <w:szCs w:val="31"/>
          <w:lang w:bidi="ar"/>
        </w:rPr>
        <w:t>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98</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14</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13.3</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95</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p>
    <w:p>
      <w:pPr>
        <w:widowControl/>
        <w:ind w:firstLine="620" w:firstLineChars="200"/>
        <w:jc w:val="left"/>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eastAsia="zh-CN" w:bidi="ar"/>
        </w:rPr>
        <w:t>，</w:t>
      </w:r>
      <w:r>
        <w:rPr>
          <w:rFonts w:hint="eastAsia" w:ascii="仿宋_GB2312" w:hAnsi="仿宋_GB2312" w:eastAsia="仿宋_GB2312" w:cs="仿宋_GB2312"/>
          <w:kern w:val="0"/>
          <w:sz w:val="32"/>
          <w:szCs w:val="32"/>
        </w:rPr>
        <w:t xml:space="preserve"> 完成</w:t>
      </w:r>
      <w:r>
        <w:rPr>
          <w:rFonts w:hint="eastAsia" w:ascii="仿宋_GB2312" w:hAnsi="仿宋_GB2312" w:eastAsia="仿宋_GB2312" w:cs="仿宋_GB2312"/>
          <w:kern w:val="0"/>
          <w:sz w:val="32"/>
          <w:szCs w:val="32"/>
          <w:lang w:eastAsia="zh-CN"/>
        </w:rPr>
        <w:t>了</w:t>
      </w:r>
      <w:r>
        <w:rPr>
          <w:rFonts w:hint="eastAsia" w:ascii="仿宋_GB2312" w:hAnsi="仿宋_GB2312" w:eastAsia="仿宋_GB2312" w:cs="仿宋_GB2312"/>
          <w:kern w:val="0"/>
          <w:sz w:val="32"/>
          <w:szCs w:val="32"/>
        </w:rPr>
        <w:t>记账户任务目标</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评估</w:t>
      </w:r>
      <w:r>
        <w:rPr>
          <w:rFonts w:hint="eastAsia" w:ascii="仿宋_GB2312" w:hAnsi="仿宋_GB2312" w:eastAsia="仿宋_GB2312" w:cs="仿宋_GB2312"/>
          <w:kern w:val="0"/>
          <w:sz w:val="32"/>
          <w:szCs w:val="32"/>
          <w:lang w:eastAsia="zh-CN"/>
        </w:rPr>
        <w:t>全区</w:t>
      </w:r>
      <w:r>
        <w:rPr>
          <w:rFonts w:hint="eastAsia" w:ascii="仿宋_GB2312" w:hAnsi="仿宋_GB2312" w:eastAsia="仿宋_GB2312" w:cs="仿宋_GB2312"/>
          <w:kern w:val="0"/>
          <w:sz w:val="32"/>
          <w:szCs w:val="32"/>
        </w:rPr>
        <w:t>城乡居民收入数据</w:t>
      </w:r>
      <w:r>
        <w:rPr>
          <w:rFonts w:hint="eastAsia" w:ascii="仿宋_GB2312" w:hAnsi="仿宋_GB2312" w:eastAsia="仿宋_GB2312" w:cs="仿宋_GB2312"/>
          <w:kern w:val="0"/>
          <w:sz w:val="32"/>
          <w:szCs w:val="32"/>
          <w:lang w:eastAsia="zh-CN"/>
        </w:rPr>
        <w:t>，为区政府提供决策依据。</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lang w:val="en-US" w:eastAsia="zh-CN"/>
        </w:rPr>
        <w:t xml:space="preserve">    </w:t>
      </w: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由于人员素质不一，调查员业务水平仍需要提高。</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加强业务知识培训。</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eastAsia="zh-CN" w:bidi="ar"/>
        </w:rPr>
        <w:t>本部门</w:t>
      </w:r>
      <w:r>
        <w:rPr>
          <w:rFonts w:hint="eastAsia" w:ascii="仿宋_GB2312" w:hAnsi="仿宋_GB2312" w:eastAsia="仿宋_GB2312" w:cs="仿宋_GB2312"/>
          <w:color w:val="000000"/>
          <w:kern w:val="0"/>
          <w:sz w:val="31"/>
          <w:szCs w:val="31"/>
          <w:lang w:bidi="ar"/>
        </w:rPr>
        <w:t>机关</w:t>
      </w:r>
      <w:r>
        <w:rPr>
          <w:rFonts w:hint="eastAsia" w:ascii="仿宋_GB2312" w:hAnsi="仿宋_GB2312" w:eastAsia="仿宋_GB2312" w:cs="仿宋_GB2312"/>
          <w:color w:val="000000"/>
          <w:kern w:val="0"/>
          <w:sz w:val="31"/>
          <w:szCs w:val="31"/>
          <w:lang w:eastAsia="zh-CN" w:bidi="ar"/>
        </w:rPr>
        <w:t>本级</w:t>
      </w:r>
      <w:r>
        <w:rPr>
          <w:rFonts w:hint="eastAsia" w:ascii="仿宋_GB2312" w:hAnsi="仿宋_GB2312" w:eastAsia="仿宋_GB2312" w:cs="仿宋_GB2312"/>
          <w:color w:val="000000"/>
          <w:kern w:val="0"/>
          <w:sz w:val="31"/>
          <w:szCs w:val="31"/>
          <w:lang w:val="en-US" w:eastAsia="zh-CN" w:bidi="ar"/>
        </w:rPr>
        <w:t xml:space="preserve"> 2019年度整体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98</w:t>
      </w:r>
      <w:r>
        <w:rPr>
          <w:rFonts w:ascii="仿宋_GB2312" w:hAnsi="仿宋_GB2312" w:eastAsia="仿宋_GB2312" w:cs="仿宋_GB2312"/>
          <w:color w:val="000000"/>
          <w:kern w:val="0"/>
          <w:sz w:val="31"/>
          <w:szCs w:val="31"/>
          <w:lang w:bidi="ar"/>
        </w:rPr>
        <w:t>分。全年预算数</w:t>
      </w:r>
      <w:r>
        <w:rPr>
          <w:rFonts w:hint="eastAsia" w:ascii="仿宋_GB2312" w:hAnsi="仿宋_GB2312" w:eastAsia="仿宋_GB2312" w:cs="仿宋_GB2312"/>
          <w:color w:val="000000"/>
          <w:kern w:val="0"/>
          <w:sz w:val="31"/>
          <w:szCs w:val="31"/>
          <w:lang w:val="en-US" w:eastAsia="zh-CN" w:bidi="ar"/>
        </w:rPr>
        <w:t>142.4</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318.05</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223</w:t>
      </w:r>
      <w:r>
        <w:rPr>
          <w:rFonts w:ascii="仿宋_GB2312" w:hAnsi="仿宋_GB2312" w:eastAsia="仿宋_GB2312" w:cs="仿宋_GB2312"/>
          <w:color w:val="000000"/>
          <w:kern w:val="0"/>
          <w:sz w:val="31"/>
          <w:szCs w:val="31"/>
          <w:lang w:bidi="ar"/>
        </w:rPr>
        <w:t>%。</w:t>
      </w:r>
    </w:p>
    <w:p>
      <w:pPr>
        <w:spacing w:line="560" w:lineRule="exact"/>
        <w:ind w:firstLine="620" w:firstLineChars="200"/>
        <w:jc w:val="left"/>
        <w:rPr>
          <w:rFonts w:ascii="黑体" w:hAnsi="黑体" w:eastAsia="黑体"/>
          <w:sz w:val="32"/>
          <w:szCs w:val="32"/>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sz w:val="32"/>
          <w:szCs w:val="32"/>
        </w:rPr>
        <w:t>坚持应统尽统、高标准完成“四经普”工作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做到应统尽统、重点项目及时入库狠抓统计基础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全面做好农业统计和城乡收入调查工作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强化统计监测，大力开展县域经济监测、营商环境监测工作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防范统计造假，坚决开展依法统计工作</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color w:val="000000"/>
          <w:kern w:val="0"/>
          <w:sz w:val="31"/>
          <w:szCs w:val="31"/>
          <w:lang w:eastAsia="zh-CN" w:bidi="ar"/>
        </w:rPr>
        <w:t>主要工作绩效是</w:t>
      </w:r>
      <w:r>
        <w:rPr>
          <w:rFonts w:ascii="仿宋_GB2312" w:hAnsi="仿宋_GB2312" w:eastAsia="仿宋_GB2312" w:cs="仿宋_GB2312"/>
          <w:color w:val="000000"/>
          <w:kern w:val="0"/>
          <w:sz w:val="31"/>
          <w:szCs w:val="31"/>
          <w:lang w:bidi="ar"/>
        </w:rPr>
        <w:t>：</w:t>
      </w:r>
      <w:r>
        <w:rPr>
          <w:rFonts w:hint="eastAsia" w:ascii="仿宋_GB2312" w:eastAsia="仿宋_GB2312"/>
          <w:sz w:val="32"/>
          <w:szCs w:val="32"/>
        </w:rPr>
        <w:t>通过搜集掌握的大量丰富的统计资料和信息为政府和企业提供统计成果，促进经济协调发展。区考核办年终目标责任考核结果等次</w:t>
      </w:r>
      <w:r>
        <w:rPr>
          <w:rFonts w:hint="eastAsia" w:ascii="仿宋_GB2312" w:eastAsia="仿宋_GB2312"/>
          <w:sz w:val="32"/>
          <w:szCs w:val="32"/>
          <w:lang w:eastAsia="zh-CN"/>
        </w:rPr>
        <w:t>一</w:t>
      </w:r>
      <w:r>
        <w:rPr>
          <w:rFonts w:hint="eastAsia" w:ascii="仿宋_GB2312" w:eastAsia="仿宋_GB2312"/>
          <w:sz w:val="32"/>
          <w:szCs w:val="32"/>
        </w:rPr>
        <w:t>类单位</w:t>
      </w:r>
      <w:r>
        <w:rPr>
          <w:rFonts w:hint="eastAsia" w:ascii="仿宋_GB2312" w:eastAsia="仿宋_GB2312"/>
          <w:sz w:val="32"/>
          <w:szCs w:val="32"/>
          <w:lang w:eastAsia="zh-CN"/>
        </w:rPr>
        <w:t>。</w:t>
      </w:r>
    </w:p>
    <w:p>
      <w:pPr>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eastAsia="仿宋_GB2312"/>
          <w:sz w:val="32"/>
          <w:szCs w:val="32"/>
        </w:rPr>
        <w:t>1、财务管理有待进一步加强。由于新预算法，预算绩效管理等新东西出现，财务人员面临新的挑战，需要不断学习才能使用日新月异的财务管理工作。</w:t>
      </w:r>
      <w:r>
        <w:rPr>
          <w:rFonts w:hint="eastAsia" w:ascii="仿宋_GB2312" w:eastAsia="仿宋_GB2312"/>
          <w:sz w:val="32"/>
          <w:szCs w:val="32"/>
          <w:lang w:val="en-US" w:eastAsia="zh-CN"/>
        </w:rPr>
        <w:t>2</w:t>
      </w:r>
      <w:r>
        <w:rPr>
          <w:rFonts w:hint="eastAsia" w:ascii="仿宋_GB2312" w:eastAsia="仿宋_GB2312"/>
          <w:sz w:val="32"/>
          <w:szCs w:val="32"/>
        </w:rPr>
        <w:t>、固定资产管理水平有待提高。</w:t>
      </w:r>
    </w:p>
    <w:p>
      <w:pPr>
        <w:spacing w:line="560" w:lineRule="exact"/>
        <w:ind w:firstLine="620" w:firstLineChars="200"/>
        <w:jc w:val="left"/>
        <w:rPr>
          <w:rFonts w:hint="eastAsia" w:ascii="仿宋_GB2312" w:hAnsi="黑体" w:eastAsia="仿宋_GB2312" w:cs="仿宋"/>
          <w:color w:val="000000"/>
          <w:sz w:val="32"/>
          <w:szCs w:val="32"/>
        </w:rPr>
      </w:pPr>
      <w:r>
        <w:rPr>
          <w:rFonts w:ascii="仿宋_GB2312" w:hAnsi="仿宋_GB2312" w:eastAsia="仿宋_GB2312" w:cs="仿宋_GB2312"/>
          <w:color w:val="000000"/>
          <w:kern w:val="0"/>
          <w:sz w:val="31"/>
          <w:szCs w:val="31"/>
          <w:lang w:bidi="ar"/>
        </w:rPr>
        <w:t>下一步改进措施：</w:t>
      </w:r>
      <w:r>
        <w:rPr>
          <w:rFonts w:hint="eastAsia" w:ascii="仿宋_GB2312" w:hAnsi="黑体" w:eastAsia="仿宋_GB2312" w:cs="仿宋"/>
          <w:color w:val="000000"/>
          <w:sz w:val="32"/>
          <w:szCs w:val="32"/>
          <w:lang w:val="en-US" w:eastAsia="zh-CN"/>
        </w:rPr>
        <w:t>1、</w:t>
      </w:r>
      <w:r>
        <w:rPr>
          <w:rFonts w:hint="eastAsia" w:ascii="仿宋_GB2312" w:hAnsi="黑体" w:eastAsia="仿宋_GB2312" w:cs="仿宋"/>
          <w:color w:val="000000"/>
          <w:sz w:val="32"/>
          <w:szCs w:val="32"/>
        </w:rPr>
        <w:t>内练素质、强化培训。加大对统计工作人员的再培训，工作标准再提高，工作措施再细化，锻炼好队伍，力争各项工作少出差错或不出差错。</w:t>
      </w:r>
    </w:p>
    <w:p>
      <w:pPr>
        <w:spacing w:line="560" w:lineRule="exact"/>
        <w:jc w:val="left"/>
        <w:rPr>
          <w:rFonts w:hint="eastAsia" w:ascii="仿宋_GB2312" w:hAnsi="黑体" w:eastAsia="仿宋_GB2312" w:cs="仿宋"/>
          <w:color w:val="000000"/>
          <w:sz w:val="32"/>
          <w:szCs w:val="32"/>
        </w:rPr>
      </w:pPr>
      <w:r>
        <w:rPr>
          <w:rFonts w:hint="eastAsia" w:ascii="仿宋_GB2312" w:hAnsi="黑体" w:eastAsia="仿宋_GB2312" w:cs="仿宋"/>
          <w:color w:val="000000"/>
          <w:sz w:val="32"/>
          <w:szCs w:val="32"/>
        </w:rPr>
        <w:t xml:space="preserve">   </w:t>
      </w:r>
      <w:r>
        <w:rPr>
          <w:rFonts w:hint="eastAsia" w:ascii="仿宋_GB2312" w:hAnsi="黑体" w:eastAsia="仿宋_GB2312" w:cs="仿宋"/>
          <w:color w:val="000000"/>
          <w:sz w:val="32"/>
          <w:szCs w:val="32"/>
          <w:lang w:val="en-US" w:eastAsia="zh-CN"/>
        </w:rPr>
        <w:t>2、</w:t>
      </w:r>
      <w:r>
        <w:rPr>
          <w:rFonts w:hint="eastAsia" w:ascii="仿宋_GB2312" w:hAnsi="黑体" w:eastAsia="仿宋_GB2312" w:cs="仿宋"/>
          <w:color w:val="000000"/>
          <w:sz w:val="32"/>
          <w:szCs w:val="32"/>
        </w:rPr>
        <w:t>及时指导相关部门、街办、开发区做到统全统准、统新统快、颗粒归仓。</w:t>
      </w:r>
    </w:p>
    <w:p>
      <w:pPr>
        <w:spacing w:line="560" w:lineRule="exact"/>
        <w:jc w:val="left"/>
        <w:rPr>
          <w:rFonts w:hint="eastAsia" w:ascii="仿宋_GB2312" w:hAnsi="黑体" w:eastAsia="仿宋_GB2312" w:cs="仿宋"/>
          <w:color w:val="000000"/>
          <w:sz w:val="32"/>
          <w:szCs w:val="32"/>
        </w:rPr>
      </w:pPr>
      <w:r>
        <w:rPr>
          <w:rFonts w:hint="eastAsia" w:ascii="仿宋_GB2312" w:hAnsi="黑体" w:eastAsia="仿宋_GB2312" w:cs="仿宋"/>
          <w:color w:val="000000"/>
          <w:sz w:val="32"/>
          <w:szCs w:val="32"/>
        </w:rPr>
        <w:t xml:space="preserve">   </w:t>
      </w:r>
      <w:r>
        <w:rPr>
          <w:rFonts w:hint="eastAsia" w:ascii="仿宋_GB2312" w:hAnsi="黑体" w:eastAsia="仿宋_GB2312" w:cs="仿宋"/>
          <w:color w:val="000000"/>
          <w:sz w:val="32"/>
          <w:szCs w:val="32"/>
          <w:lang w:val="en-US" w:eastAsia="zh-CN"/>
        </w:rPr>
        <w:t>3、</w:t>
      </w:r>
      <w:r>
        <w:rPr>
          <w:rFonts w:hint="eastAsia" w:ascii="仿宋_GB2312" w:hAnsi="黑体" w:eastAsia="仿宋_GB2312" w:cs="仿宋"/>
          <w:color w:val="000000"/>
          <w:sz w:val="32"/>
          <w:szCs w:val="32"/>
        </w:rPr>
        <w:t>做好统计执法，加强统计执法宣传，防止统计数据弄虚作假、统计造假现象发生。</w:t>
      </w:r>
    </w:p>
    <w:p>
      <w:pPr>
        <w:ind w:firstLine="640" w:firstLineChars="200"/>
        <w:rPr>
          <w:rFonts w:hint="eastAsia" w:ascii="仿宋_GB2312" w:eastAsia="仿宋_GB2312"/>
          <w:sz w:val="32"/>
          <w:szCs w:val="32"/>
        </w:rPr>
      </w:pPr>
    </w:p>
    <w:p>
      <w:pPr>
        <w:widowControl/>
        <w:jc w:val="left"/>
        <w:rPr>
          <w:rFonts w:hint="eastAsia" w:ascii="仿宋_GB2312" w:hAnsi="仿宋_GB2312" w:eastAsia="仿宋_GB2312" w:cs="仿宋_GB2312"/>
          <w:color w:val="000000"/>
          <w:kern w:val="0"/>
          <w:sz w:val="31"/>
          <w:szCs w:val="31"/>
          <w:lang w:bidi="ar"/>
        </w:rPr>
      </w:pPr>
    </w:p>
    <w:tbl>
      <w:tblPr>
        <w:tblStyle w:val="6"/>
        <w:tblW w:w="9632" w:type="dxa"/>
        <w:tblInd w:w="28" w:type="dxa"/>
        <w:shd w:val="clear" w:color="auto" w:fill="auto"/>
        <w:tblLayout w:type="autofit"/>
        <w:tblCellMar>
          <w:top w:w="0" w:type="dxa"/>
          <w:left w:w="0" w:type="dxa"/>
          <w:bottom w:w="0" w:type="dxa"/>
          <w:right w:w="0" w:type="dxa"/>
        </w:tblCellMar>
      </w:tblPr>
      <w:tblGrid>
        <w:gridCol w:w="9670"/>
      </w:tblGrid>
      <w:tr>
        <w:tblPrEx>
          <w:shd w:val="clear" w:color="auto" w:fill="auto"/>
          <w:tblCellMar>
            <w:top w:w="0" w:type="dxa"/>
            <w:left w:w="0" w:type="dxa"/>
            <w:bottom w:w="0" w:type="dxa"/>
            <w:right w:w="0" w:type="dxa"/>
          </w:tblCellMar>
        </w:tblPrEx>
        <w:trPr>
          <w:trHeight w:val="600" w:hRule="atLeast"/>
        </w:trPr>
        <w:tc>
          <w:tcPr>
            <w:tcW w:w="9632" w:type="dxa"/>
            <w:tcBorders>
              <w:top w:val="nil"/>
              <w:left w:val="nil"/>
              <w:bottom w:val="nil"/>
              <w:right w:val="nil"/>
            </w:tcBorders>
            <w:shd w:val="clear" w:color="auto" w:fill="auto"/>
            <w:tcMar>
              <w:top w:w="15" w:type="dxa"/>
              <w:left w:w="15" w:type="dxa"/>
              <w:right w:w="15" w:type="dxa"/>
            </w:tcMar>
            <w:vAlign w:val="center"/>
          </w:tcPr>
          <w:tbl>
            <w:tblPr>
              <w:tblStyle w:val="6"/>
              <w:tblW w:w="9640" w:type="dxa"/>
              <w:tblInd w:w="-20" w:type="dxa"/>
              <w:shd w:val="clear" w:color="auto" w:fill="auto"/>
              <w:tblLayout w:type="autofit"/>
              <w:tblCellMar>
                <w:top w:w="0" w:type="dxa"/>
                <w:left w:w="0" w:type="dxa"/>
                <w:bottom w:w="0" w:type="dxa"/>
                <w:right w:w="0" w:type="dxa"/>
              </w:tblCellMar>
            </w:tblPr>
            <w:tblGrid>
              <w:gridCol w:w="5"/>
              <w:gridCol w:w="675"/>
              <w:gridCol w:w="595"/>
              <w:gridCol w:w="1110"/>
              <w:gridCol w:w="1825"/>
              <w:gridCol w:w="1129"/>
              <w:gridCol w:w="1482"/>
              <w:gridCol w:w="1189"/>
              <w:gridCol w:w="1625"/>
              <w:gridCol w:w="5"/>
            </w:tblGrid>
            <w:tr>
              <w:tblPrEx>
                <w:shd w:val="clear" w:color="auto" w:fill="auto"/>
                <w:tblCellMar>
                  <w:top w:w="0" w:type="dxa"/>
                  <w:left w:w="0" w:type="dxa"/>
                  <w:bottom w:w="0" w:type="dxa"/>
                  <w:right w:w="0" w:type="dxa"/>
                </w:tblCellMar>
              </w:tblPrEx>
              <w:trPr>
                <w:gridBefore w:val="1"/>
                <w:wBefore w:w="5" w:type="dxa"/>
                <w:trHeight w:val="600" w:hRule="atLeast"/>
              </w:trPr>
              <w:tc>
                <w:tcPr>
                  <w:tcW w:w="9635"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bookmarkStart w:id="0" w:name="_1662907596"/>
                  <w:bookmarkEnd w:id="0"/>
                  <w:bookmarkStart w:id="1" w:name="_1662907080"/>
                  <w:bookmarkEnd w:id="1"/>
                  <w:bookmarkStart w:id="2" w:name="_1662907161"/>
                  <w:bookmarkEnd w:id="2"/>
                  <w:r>
                    <w:rPr>
                      <w:rFonts w:hint="eastAsia" w:ascii="宋体" w:hAnsi="宋体" w:eastAsia="宋体" w:cs="宋体"/>
                      <w:b/>
                      <w:i w:val="0"/>
                      <w:color w:val="000000"/>
                      <w:kern w:val="0"/>
                      <w:sz w:val="32"/>
                      <w:szCs w:val="32"/>
                      <w:u w:val="none"/>
                      <w:lang w:val="en-US" w:eastAsia="zh-CN" w:bidi="ar"/>
                    </w:rPr>
                    <w:t>市级预算（项目）绩效目标自评表</w:t>
                  </w:r>
                  <w:r>
                    <w:rPr>
                      <w:rFonts w:hint="eastAsia" w:ascii="宋体" w:hAnsi="宋体" w:eastAsia="宋体" w:cs="宋体"/>
                      <w:i w:val="0"/>
                      <w:color w:val="000000"/>
                      <w:kern w:val="0"/>
                      <w:sz w:val="32"/>
                      <w:szCs w:val="32"/>
                      <w:u w:val="none"/>
                      <w:lang w:val="en-US" w:eastAsia="zh-CN" w:bidi="ar"/>
                    </w:rPr>
                    <w:t xml:space="preserve"> </w:t>
                  </w:r>
                </w:p>
              </w:tc>
            </w:tr>
            <w:tr>
              <w:tblPrEx>
                <w:shd w:val="clear" w:color="auto" w:fill="auto"/>
                <w:tblCellMar>
                  <w:top w:w="0" w:type="dxa"/>
                  <w:left w:w="0" w:type="dxa"/>
                  <w:bottom w:w="0" w:type="dxa"/>
                  <w:right w:w="0" w:type="dxa"/>
                </w:tblCellMar>
              </w:tblPrEx>
              <w:trPr>
                <w:gridBefore w:val="1"/>
                <w:wBefore w:w="5" w:type="dxa"/>
                <w:trHeight w:val="432" w:hRule="atLeast"/>
              </w:trPr>
              <w:tc>
                <w:tcPr>
                  <w:tcW w:w="9635" w:type="dxa"/>
                  <w:gridSpan w:val="9"/>
                  <w:tcBorders>
                    <w:top w:val="nil"/>
                    <w:left w:val="nil"/>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r>
            <w:tr>
              <w:tblPrEx>
                <w:shd w:val="clear" w:color="auto" w:fill="auto"/>
                <w:tblCellMar>
                  <w:top w:w="0" w:type="dxa"/>
                  <w:left w:w="0" w:type="dxa"/>
                  <w:bottom w:w="0" w:type="dxa"/>
                  <w:right w:w="0" w:type="dxa"/>
                </w:tblCellMar>
              </w:tblPrEx>
              <w:trPr>
                <w:gridAfter w:val="1"/>
                <w:wAfter w:w="5" w:type="dxa"/>
                <w:trHeight w:val="319" w:hRule="atLeast"/>
              </w:trPr>
              <w:tc>
                <w:tcPr>
                  <w:tcW w:w="23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725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社情民意调查中心人员工资</w:t>
                  </w:r>
                </w:p>
              </w:tc>
            </w:tr>
            <w:tr>
              <w:tblPrEx>
                <w:shd w:val="clear" w:color="auto" w:fill="auto"/>
                <w:tblCellMar>
                  <w:top w:w="0" w:type="dxa"/>
                  <w:left w:w="0" w:type="dxa"/>
                  <w:bottom w:w="0" w:type="dxa"/>
                  <w:right w:w="0" w:type="dxa"/>
                </w:tblCellMar>
              </w:tblPrEx>
              <w:trPr>
                <w:gridAfter w:val="1"/>
                <w:wAfter w:w="5" w:type="dxa"/>
                <w:trHeight w:val="319" w:hRule="atLeast"/>
              </w:trPr>
              <w:tc>
                <w:tcPr>
                  <w:tcW w:w="23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8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660" w:hRule="atLeast"/>
              </w:trPr>
              <w:tc>
                <w:tcPr>
                  <w:tcW w:w="238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6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shd w:val="clear" w:color="auto" w:fill="auto"/>
                <w:tblCellMar>
                  <w:top w:w="0" w:type="dxa"/>
                  <w:left w:w="0" w:type="dxa"/>
                  <w:bottom w:w="0" w:type="dxa"/>
                  <w:right w:w="0" w:type="dxa"/>
                </w:tblCellMar>
              </w:tblPrEx>
              <w:trPr>
                <w:gridAfter w:val="1"/>
                <w:wAfter w:w="5" w:type="dxa"/>
                <w:trHeight w:val="319" w:hRule="atLeast"/>
              </w:trPr>
              <w:tc>
                <w:tcPr>
                  <w:tcW w:w="23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6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shd w:val="clear" w:color="auto" w:fill="auto"/>
                <w:tblCellMar>
                  <w:top w:w="0" w:type="dxa"/>
                  <w:left w:w="0" w:type="dxa"/>
                  <w:bottom w:w="0" w:type="dxa"/>
                  <w:right w:w="0" w:type="dxa"/>
                </w:tblCellMar>
              </w:tblPrEx>
              <w:trPr>
                <w:gridAfter w:val="1"/>
                <w:wAfter w:w="5" w:type="dxa"/>
                <w:trHeight w:val="319" w:hRule="atLeast"/>
              </w:trPr>
              <w:tc>
                <w:tcPr>
                  <w:tcW w:w="23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其中：市级财政资金</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319" w:hRule="atLeast"/>
              </w:trPr>
              <w:tc>
                <w:tcPr>
                  <w:tcW w:w="23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区县财政资金</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6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shd w:val="clear" w:color="auto" w:fill="auto"/>
                <w:tblCellMar>
                  <w:top w:w="0" w:type="dxa"/>
                  <w:left w:w="0" w:type="dxa"/>
                  <w:bottom w:w="0" w:type="dxa"/>
                  <w:right w:w="0" w:type="dxa"/>
                </w:tblCellMar>
              </w:tblPrEx>
              <w:trPr>
                <w:gridAfter w:val="1"/>
                <w:wAfter w:w="5" w:type="dxa"/>
                <w:trHeight w:val="319" w:hRule="atLeast"/>
              </w:trPr>
              <w:tc>
                <w:tcPr>
                  <w:tcW w:w="23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其他资金</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319" w:hRule="atLeast"/>
              </w:trPr>
              <w:tc>
                <w:tcPr>
                  <w:tcW w:w="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6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42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shd w:val="clear" w:color="auto" w:fill="auto"/>
                <w:tblCellMar>
                  <w:top w:w="0" w:type="dxa"/>
                  <w:left w:w="0" w:type="dxa"/>
                  <w:bottom w:w="0" w:type="dxa"/>
                  <w:right w:w="0" w:type="dxa"/>
                </w:tblCellMar>
              </w:tblPrEx>
              <w:trPr>
                <w:gridAfter w:val="1"/>
                <w:wAfter w:w="5" w:type="dxa"/>
                <w:trHeight w:val="655"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完成电话访问任务，做好满意度调查，为政府提供决策服务</w:t>
                  </w:r>
                </w:p>
              </w:tc>
            </w:tr>
            <w:tr>
              <w:tblPrEx>
                <w:shd w:val="clear" w:color="auto" w:fill="auto"/>
                <w:tblCellMar>
                  <w:top w:w="0" w:type="dxa"/>
                  <w:left w:w="0" w:type="dxa"/>
                  <w:bottom w:w="0" w:type="dxa"/>
                  <w:right w:w="0" w:type="dxa"/>
                </w:tblCellMar>
              </w:tblPrEx>
              <w:trPr>
                <w:gridAfter w:val="1"/>
                <w:wAfter w:w="5" w:type="dxa"/>
                <w:trHeight w:val="522" w:hRule="atLeast"/>
              </w:trPr>
              <w:tc>
                <w:tcPr>
                  <w:tcW w:w="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11人</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出勤率</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出勤时间</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工资薪金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37万</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37万</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80"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保障电话访问任务</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90"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执行年度</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临聘人员满意度</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90"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319" w:hRule="atLeast"/>
              </w:trPr>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89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请在此处简要说明各级审计和财政监督检查中发现的问题及其所涉及的金额，如没有请填无。</w:t>
                  </w:r>
                </w:p>
              </w:tc>
            </w:tr>
            <w:tr>
              <w:tblPrEx>
                <w:shd w:val="clear" w:color="auto" w:fill="auto"/>
                <w:tblCellMar>
                  <w:top w:w="0" w:type="dxa"/>
                  <w:left w:w="0" w:type="dxa"/>
                  <w:bottom w:w="0" w:type="dxa"/>
                  <w:right w:w="0" w:type="dxa"/>
                </w:tblCellMar>
              </w:tblPrEx>
              <w:trPr>
                <w:gridBefore w:val="1"/>
                <w:wBefore w:w="5" w:type="dxa"/>
                <w:trHeight w:val="480" w:hRule="atLeast"/>
              </w:trPr>
              <w:tc>
                <w:tcPr>
                  <w:tcW w:w="9635" w:type="dxa"/>
                  <w:gridSpan w:val="9"/>
                  <w:tcBorders>
                    <w:top w:val="nil"/>
                    <w:left w:val="nil"/>
                    <w:bottom w:val="nil"/>
                    <w:right w:val="nil"/>
                  </w:tcBorders>
                  <w:shd w:val="clear" w:color="auto" w:fill="auto"/>
                  <w:tcMar>
                    <w:top w:w="15" w:type="dxa"/>
                    <w:left w:w="15" w:type="dxa"/>
                    <w:right w:w="15" w:type="dxa"/>
                  </w:tcMar>
                  <w:vAlign w:val="bottom"/>
                </w:tcPr>
                <w:tbl>
                  <w:tblPr>
                    <w:tblStyle w:val="6"/>
                    <w:tblW w:w="9605" w:type="dxa"/>
                    <w:tblInd w:w="-20" w:type="dxa"/>
                    <w:shd w:val="clear" w:color="auto" w:fill="auto"/>
                    <w:tblLayout w:type="autofit"/>
                    <w:tblCellMar>
                      <w:top w:w="0" w:type="dxa"/>
                      <w:left w:w="0" w:type="dxa"/>
                      <w:bottom w:w="0" w:type="dxa"/>
                      <w:right w:w="0" w:type="dxa"/>
                    </w:tblCellMar>
                  </w:tblPr>
                  <w:tblGrid>
                    <w:gridCol w:w="5"/>
                    <w:gridCol w:w="1075"/>
                    <w:gridCol w:w="1080"/>
                    <w:gridCol w:w="1080"/>
                    <w:gridCol w:w="1860"/>
                    <w:gridCol w:w="615"/>
                    <w:gridCol w:w="1680"/>
                    <w:gridCol w:w="1080"/>
                    <w:gridCol w:w="1125"/>
                    <w:gridCol w:w="5"/>
                  </w:tblGrid>
                  <w:tr>
                    <w:tblPrEx>
                      <w:shd w:val="clear" w:color="auto" w:fill="auto"/>
                      <w:tblCellMar>
                        <w:top w:w="0" w:type="dxa"/>
                        <w:left w:w="0" w:type="dxa"/>
                        <w:bottom w:w="0" w:type="dxa"/>
                        <w:right w:w="0" w:type="dxa"/>
                      </w:tblCellMar>
                    </w:tblPrEx>
                    <w:trPr>
                      <w:gridBefore w:val="1"/>
                      <w:wBefore w:w="5" w:type="dxa"/>
                      <w:trHeight w:val="600" w:hRule="atLeast"/>
                    </w:trPr>
                    <w:tc>
                      <w:tcPr>
                        <w:tcW w:w="9600"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市级预算（项目）绩效目标自评表</w:t>
                        </w:r>
                        <w:r>
                          <w:rPr>
                            <w:rStyle w:val="17"/>
                            <w:lang w:val="en-US" w:eastAsia="zh-CN" w:bidi="ar"/>
                          </w:rPr>
                          <w:t xml:space="preserve"> </w:t>
                        </w:r>
                      </w:p>
                    </w:tc>
                  </w:tr>
                  <w:tr>
                    <w:tblPrEx>
                      <w:tblCellMar>
                        <w:top w:w="0" w:type="dxa"/>
                        <w:left w:w="0" w:type="dxa"/>
                        <w:bottom w:w="0" w:type="dxa"/>
                        <w:right w:w="0" w:type="dxa"/>
                      </w:tblCellMar>
                    </w:tblPrEx>
                    <w:trPr>
                      <w:gridBefore w:val="1"/>
                      <w:wBefore w:w="5" w:type="dxa"/>
                      <w:trHeight w:val="432" w:hRule="atLeast"/>
                    </w:trPr>
                    <w:tc>
                      <w:tcPr>
                        <w:tcW w:w="9600" w:type="dxa"/>
                        <w:gridSpan w:val="9"/>
                        <w:tcBorders>
                          <w:top w:val="nil"/>
                          <w:left w:val="nil"/>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r>
                  <w:tr>
                    <w:tblPrEx>
                      <w:tblCellMar>
                        <w:top w:w="0" w:type="dxa"/>
                        <w:left w:w="0" w:type="dxa"/>
                        <w:bottom w:w="0" w:type="dxa"/>
                        <w:right w:w="0" w:type="dxa"/>
                      </w:tblCellMar>
                    </w:tblPrEx>
                    <w:trPr>
                      <w:gridAfter w:val="1"/>
                      <w:wAfter w:w="5" w:type="dxa"/>
                      <w:trHeight w:val="319" w:hRule="atLeast"/>
                    </w:trPr>
                    <w:tc>
                      <w:tcPr>
                        <w:tcW w:w="32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63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统计业务费</w:t>
                        </w:r>
                      </w:p>
                    </w:tc>
                  </w:tr>
                  <w:tr>
                    <w:tblPrEx>
                      <w:tblCellMar>
                        <w:top w:w="0" w:type="dxa"/>
                        <w:left w:w="0" w:type="dxa"/>
                        <w:bottom w:w="0" w:type="dxa"/>
                        <w:right w:w="0" w:type="dxa"/>
                      </w:tblCellMar>
                    </w:tblPrEx>
                    <w:trPr>
                      <w:gridAfter w:val="1"/>
                      <w:wAfter w:w="5" w:type="dxa"/>
                      <w:trHeight w:val="319" w:hRule="atLeast"/>
                    </w:trPr>
                    <w:tc>
                      <w:tcPr>
                        <w:tcW w:w="32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5" w:type="dxa"/>
                      <w:trHeight w:val="746" w:hRule="atLeast"/>
                    </w:trPr>
                    <w:tc>
                      <w:tcPr>
                        <w:tcW w:w="32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tblCellMar>
                        <w:top w:w="0" w:type="dxa"/>
                        <w:left w:w="0" w:type="dxa"/>
                        <w:bottom w:w="0" w:type="dxa"/>
                        <w:right w:w="0" w:type="dxa"/>
                      </w:tblCellMar>
                    </w:tblPrEx>
                    <w:trPr>
                      <w:gridAfter w:val="1"/>
                      <w:wAfter w:w="5" w:type="dxa"/>
                      <w:trHeight w:val="319"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r>
                  <w:tr>
                    <w:tblPrEx>
                      <w:tblCellMar>
                        <w:top w:w="0" w:type="dxa"/>
                        <w:left w:w="0" w:type="dxa"/>
                        <w:bottom w:w="0" w:type="dxa"/>
                        <w:right w:w="0" w:type="dxa"/>
                      </w:tblCellMar>
                    </w:tblPrEx>
                    <w:trPr>
                      <w:gridAfter w:val="1"/>
                      <w:wAfter w:w="5" w:type="dxa"/>
                      <w:trHeight w:val="319"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其中：市级财政资金</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5" w:type="dxa"/>
                      <w:trHeight w:val="319"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区县财政资金</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r>
                  <w:tr>
                    <w:tblPrEx>
                      <w:tblCellMar>
                        <w:top w:w="0" w:type="dxa"/>
                        <w:left w:w="0" w:type="dxa"/>
                        <w:bottom w:w="0" w:type="dxa"/>
                        <w:right w:w="0" w:type="dxa"/>
                      </w:tblCellMar>
                    </w:tblPrEx>
                    <w:trPr>
                      <w:gridAfter w:val="1"/>
                      <w:wAfter w:w="5" w:type="dxa"/>
                      <w:trHeight w:val="319"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其他资金</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5" w:type="dxa"/>
                      <w:trHeight w:val="319" w:hRule="atLeast"/>
                    </w:trPr>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6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38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tblCellMar>
                        <w:top w:w="0" w:type="dxa"/>
                        <w:left w:w="0" w:type="dxa"/>
                        <w:bottom w:w="0" w:type="dxa"/>
                        <w:right w:w="0" w:type="dxa"/>
                      </w:tblCellMar>
                    </w:tblPrEx>
                    <w:trPr>
                      <w:gridAfter w:val="1"/>
                      <w:wAfter w:w="5" w:type="dxa"/>
                      <w:trHeight w:val="86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完成电话访问任务，做好满意度调查，为政府提供决策服务</w:t>
                        </w:r>
                      </w:p>
                    </w:tc>
                  </w:tr>
                  <w:tr>
                    <w:tblPrEx>
                      <w:tblCellMar>
                        <w:top w:w="0" w:type="dxa"/>
                        <w:left w:w="0" w:type="dxa"/>
                        <w:bottom w:w="0" w:type="dxa"/>
                        <w:right w:w="0" w:type="dxa"/>
                      </w:tblCellMar>
                    </w:tblPrEx>
                    <w:trPr>
                      <w:gridAfter w:val="1"/>
                      <w:wAfter w:w="5" w:type="dxa"/>
                      <w:trHeight w:val="522" w:hRule="atLeast"/>
                    </w:trPr>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记账户</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120户</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记账率</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记账时期</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记账补贴</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有市局补贴</w:t>
                        </w:r>
                      </w:p>
                    </w:tc>
                  </w:tr>
                  <w:tr>
                    <w:tblPrEx>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5" w:type="dxa"/>
                      <w:trHeight w:val="28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保障记账任务完成</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bookmarkStart w:id="4" w:name="_GoBack"/>
                        <w:bookmarkEnd w:id="4"/>
                      </w:p>
                    </w:tc>
                  </w:tr>
                  <w:tr>
                    <w:tblPrEx>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执行年度</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5" w:type="dxa"/>
                      <w:trHeight w:val="137"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5" w:type="dxa"/>
                      <w:trHeight w:val="107"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记账户满意度</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r>
          </w:tbl>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p>
        </w:tc>
      </w:tr>
    </w:tbl>
    <w:p>
      <w:pPr>
        <w:widowControl/>
        <w:jc w:val="left"/>
        <w:rPr>
          <w:rFonts w:hint="eastAsia" w:ascii="仿宋_GB2312" w:hAnsi="仿宋_GB2312" w:eastAsia="仿宋_GB2312" w:cs="仿宋_GB2312"/>
          <w:color w:val="000000"/>
          <w:kern w:val="0"/>
          <w:sz w:val="31"/>
          <w:szCs w:val="31"/>
          <w:lang w:bidi="ar"/>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widowControl/>
        <w:jc w:val="left"/>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object>
          <v:shape id="_x0000_i1025" o:spt="75" type="#_x0000_t75" style="height:1164.85pt;width:698.15pt;" o:ole="t" filled="f" o:preferrelative="t" stroked="f" coordsize="21600,21600">
            <v:path/>
            <v:fill on="f" focussize="0,0"/>
            <v:stroke on="f"/>
            <v:imagedata r:id="rId13" o:title=""/>
            <o:lock v:ext="edit" aspectratio="f"/>
            <w10:wrap type="none"/>
            <w10:anchorlock/>
          </v:shape>
          <o:OLEObject Type="Embed" ProgID="Excel.Sheet.12" ShapeID="_x0000_i1025" DrawAspect="Content" ObjectID="_1468075728" r:id="rId12">
            <o:LockedField>false</o:LockedField>
          </o:OLEObject>
        </w:object>
      </w:r>
    </w:p>
    <w:p>
      <w:pPr>
        <w:rPr>
          <w:rFonts w:hint="eastAsia" w:ascii="黑体" w:hAnsi="黑体" w:eastAsia="黑体"/>
          <w:color w:val="000000"/>
          <w:kern w:val="0"/>
          <w:sz w:val="32"/>
          <w:szCs w:val="32"/>
          <w:lang w:bidi="ar"/>
        </w:rPr>
      </w:pPr>
      <w:bookmarkStart w:id="3" w:name="_1662907696"/>
      <w:bookmarkEnd w:id="3"/>
      <w:r>
        <w:rPr>
          <w:rFonts w:hint="eastAsia" w:ascii="黑体" w:hAnsi="黑体" w:eastAsia="黑体"/>
          <w:color w:val="000000"/>
          <w:sz w:val="32"/>
          <w:szCs w:val="32"/>
          <w:lang w:bidi="ar"/>
        </w:rPr>
        <w:object>
          <v:shape id="_x0000_i1026" o:spt="75" type="#_x0000_t75" style="height:364.95pt;width:644.3pt;" o:ole="t" filled="f" o:preferrelative="t" stroked="f" coordsize="21600,21600">
            <v:path/>
            <v:fill on="f" focussize="0,0"/>
            <v:stroke on="f"/>
            <v:imagedata r:id="rId15" o:title=""/>
            <o:lock v:ext="edit" aspectratio="f"/>
            <w10:wrap type="none"/>
            <w10:anchorlock/>
          </v:shape>
          <o:OLEObject Type="Embed" ProgID="Excel.Sheet.12" ShapeID="_x0000_i1026" DrawAspect="Content" ObjectID="_1468075729" r:id="rId14">
            <o:LockedField>false</o:LockedField>
          </o:OLEObject>
        </w:object>
      </w:r>
    </w:p>
    <w:p>
      <w:pPr>
        <w:rPr>
          <w:rFonts w:hint="eastAsia" w:ascii="黑体" w:hAnsi="黑体" w:eastAsia="黑体"/>
          <w:color w:val="000000"/>
          <w:kern w:val="0"/>
          <w:sz w:val="32"/>
          <w:szCs w:val="32"/>
          <w:lang w:bidi="ar"/>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sz w:val="32"/>
          <w:szCs w:val="32"/>
          <w:lang w:eastAsia="zh-CN"/>
        </w:rPr>
      </w:pPr>
      <w:r>
        <w:rPr>
          <w:rFonts w:hint="eastAsia" w:ascii="黑体" w:hAnsi="黑体" w:eastAsia="黑体"/>
          <w:color w:val="000000"/>
          <w:kern w:val="0"/>
          <w:sz w:val="32"/>
          <w:szCs w:val="32"/>
          <w:lang w:bidi="ar"/>
        </w:rPr>
        <w:t>十一、其他重要事项</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（一）机关运行经费支出情况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_GB2312" w:eastAsia="仿宋_GB2312" w:cs="仿宋_GB2312"/>
          <w:sz w:val="32"/>
          <w:szCs w:val="32"/>
        </w:rPr>
        <w:t>示例：</w:t>
      </w:r>
      <w:r>
        <w:rPr>
          <w:rFonts w:ascii="仿宋_GB2312" w:hAnsi="仿宋_GB2312" w:eastAsia="仿宋_GB2312" w:cs="仿宋_GB2312"/>
          <w:color w:val="000000"/>
          <w:kern w:val="0"/>
          <w:sz w:val="31"/>
          <w:szCs w:val="31"/>
          <w:lang w:bidi="ar"/>
        </w:rPr>
        <w:t>2019年</w:t>
      </w:r>
      <w:r>
        <w:rPr>
          <w:rFonts w:hint="eastAsia" w:ascii="仿宋_GB2312" w:hAnsi="仿宋_GB2312" w:eastAsia="仿宋_GB2312" w:cs="仿宋_GB2312"/>
          <w:color w:val="000000"/>
          <w:kern w:val="0"/>
          <w:sz w:val="31"/>
          <w:szCs w:val="31"/>
          <w:lang w:eastAsia="zh-CN" w:bidi="ar"/>
        </w:rPr>
        <w:t>度</w:t>
      </w:r>
      <w:r>
        <w:rPr>
          <w:rFonts w:ascii="仿宋_GB2312" w:hAnsi="仿宋_GB2312" w:eastAsia="仿宋_GB2312" w:cs="仿宋_GB2312"/>
          <w:color w:val="000000"/>
          <w:kern w:val="0"/>
          <w:sz w:val="31"/>
          <w:szCs w:val="31"/>
          <w:lang w:bidi="ar"/>
        </w:rPr>
        <w:t>机关运行经费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4.49</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10.83</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241.2</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6.34</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差旅费增加</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（二）政府采购支出情况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本部门201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无政府采购支出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（三）国有资产占用及购置情况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截至2019年末，本部门机关及所属单位共有车辆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年当年购置车辆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辆；购置单价50万元以上的通用设备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台（套）；购置单价100万元以上的专用设备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p>
    <w:p>
      <w:pPr>
        <w:numPr>
          <w:ilvl w:val="0"/>
          <w:numId w:val="3"/>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numPr>
          <w:ilvl w:val="0"/>
          <w:numId w:val="0"/>
        </w:numPr>
        <w:jc w:val="both"/>
        <w:rPr>
          <w:rFonts w:ascii="黑体" w:hAnsi="宋体" w:eastAsia="黑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示例：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调整预算数：</w:t>
      </w:r>
      <w:r>
        <w:rPr>
          <w:rFonts w:hint="eastAsia" w:ascii="仿宋_GB2312" w:hAnsi="宋体" w:eastAsia="仿宋_GB2312"/>
          <w:bCs/>
          <w:sz w:val="32"/>
          <w:szCs w:val="32"/>
        </w:rPr>
        <w:t>填列经调整后的全年预算数，包括年初预算数和预算调增调减数</w:t>
      </w:r>
      <w:r>
        <w:rPr>
          <w:rFonts w:hint="eastAsia" w:ascii="仿宋_GB2312" w:eastAsia="仿宋_GB2312"/>
          <w:bCs/>
          <w:sz w:val="32"/>
          <w:szCs w:val="32"/>
        </w:rPr>
        <w:t>，即：调整预算数＝年初预算数＋预算调增数－预算调减数</w:t>
      </w:r>
      <w:r>
        <w:rPr>
          <w:rFonts w:hint="eastAsia" w:ascii="仿宋_GB2312" w:hAnsi="宋体" w:eastAsia="仿宋_GB2312"/>
          <w:bCs/>
          <w:sz w:val="32"/>
          <w:szCs w:val="32"/>
        </w:rPr>
        <w:t>。</w:t>
      </w: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楷体" w:hAnsi="楷体" w:eastAsia="楷体" w:cs="楷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39BEA4A8"/>
    <w:multiLevelType w:val="singleLevel"/>
    <w:tmpl w:val="39BEA4A8"/>
    <w:lvl w:ilvl="0" w:tentative="0">
      <w:start w:val="4"/>
      <w:numFmt w:val="chineseCounting"/>
      <w:suff w:val="space"/>
      <w:lvlText w:val="第%1部分"/>
      <w:lvlJc w:val="left"/>
      <w:rPr>
        <w:rFonts w:hint="eastAsia"/>
      </w:rPr>
    </w:lvl>
  </w:abstractNum>
  <w:abstractNum w:abstractNumId="2">
    <w:nsid w:val="4E290741"/>
    <w:multiLevelType w:val="singleLevel"/>
    <w:tmpl w:val="4E290741"/>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10E3361"/>
    <w:rsid w:val="013E4CDD"/>
    <w:rsid w:val="068B7849"/>
    <w:rsid w:val="086C1E64"/>
    <w:rsid w:val="09932EE5"/>
    <w:rsid w:val="09F56D6B"/>
    <w:rsid w:val="0AEA51CF"/>
    <w:rsid w:val="0C2945C2"/>
    <w:rsid w:val="0C6A6BBD"/>
    <w:rsid w:val="0C87045C"/>
    <w:rsid w:val="0CB75095"/>
    <w:rsid w:val="0E81170E"/>
    <w:rsid w:val="135A7FFA"/>
    <w:rsid w:val="15916C1F"/>
    <w:rsid w:val="1623128D"/>
    <w:rsid w:val="179953FE"/>
    <w:rsid w:val="18634A0D"/>
    <w:rsid w:val="19D36B43"/>
    <w:rsid w:val="1AF22409"/>
    <w:rsid w:val="1CB74B72"/>
    <w:rsid w:val="1D8B0C78"/>
    <w:rsid w:val="20974DBE"/>
    <w:rsid w:val="20B96E79"/>
    <w:rsid w:val="20CB0953"/>
    <w:rsid w:val="20E506C4"/>
    <w:rsid w:val="216F025B"/>
    <w:rsid w:val="21772261"/>
    <w:rsid w:val="2256467C"/>
    <w:rsid w:val="24870ADA"/>
    <w:rsid w:val="256264C3"/>
    <w:rsid w:val="2660352B"/>
    <w:rsid w:val="26AF76F0"/>
    <w:rsid w:val="27F94350"/>
    <w:rsid w:val="280A324F"/>
    <w:rsid w:val="287C13F1"/>
    <w:rsid w:val="28AB161A"/>
    <w:rsid w:val="28FB2AB2"/>
    <w:rsid w:val="29745974"/>
    <w:rsid w:val="2A0D293F"/>
    <w:rsid w:val="2A307B85"/>
    <w:rsid w:val="2C26712D"/>
    <w:rsid w:val="2D3602DE"/>
    <w:rsid w:val="309461D8"/>
    <w:rsid w:val="30DF4759"/>
    <w:rsid w:val="315B3AE5"/>
    <w:rsid w:val="3198290A"/>
    <w:rsid w:val="31D5453D"/>
    <w:rsid w:val="350A5D93"/>
    <w:rsid w:val="35187162"/>
    <w:rsid w:val="36452178"/>
    <w:rsid w:val="3669223E"/>
    <w:rsid w:val="366C12FC"/>
    <w:rsid w:val="397D3EC8"/>
    <w:rsid w:val="3AFF42F8"/>
    <w:rsid w:val="3BFC6DCC"/>
    <w:rsid w:val="3BFF2737"/>
    <w:rsid w:val="3C7A6DAB"/>
    <w:rsid w:val="3D904069"/>
    <w:rsid w:val="3DB1353B"/>
    <w:rsid w:val="3E201BEC"/>
    <w:rsid w:val="3EF57569"/>
    <w:rsid w:val="3F4D6F48"/>
    <w:rsid w:val="3FCA23EC"/>
    <w:rsid w:val="400E0C6E"/>
    <w:rsid w:val="41942E54"/>
    <w:rsid w:val="424D60E4"/>
    <w:rsid w:val="42FA4769"/>
    <w:rsid w:val="43BC1030"/>
    <w:rsid w:val="43F4359D"/>
    <w:rsid w:val="44CE0541"/>
    <w:rsid w:val="469D74BF"/>
    <w:rsid w:val="47964FBE"/>
    <w:rsid w:val="4A1752A2"/>
    <w:rsid w:val="4B18398F"/>
    <w:rsid w:val="4C123A2B"/>
    <w:rsid w:val="4C1A2F14"/>
    <w:rsid w:val="4C31167A"/>
    <w:rsid w:val="4D5909CF"/>
    <w:rsid w:val="4D853D2A"/>
    <w:rsid w:val="50C46A00"/>
    <w:rsid w:val="52AC7AB3"/>
    <w:rsid w:val="54207C4C"/>
    <w:rsid w:val="544D3043"/>
    <w:rsid w:val="555A7093"/>
    <w:rsid w:val="563B2955"/>
    <w:rsid w:val="596D661C"/>
    <w:rsid w:val="5A4A3F89"/>
    <w:rsid w:val="5DBB4C5B"/>
    <w:rsid w:val="5F5027A5"/>
    <w:rsid w:val="5F64765A"/>
    <w:rsid w:val="655C3C0E"/>
    <w:rsid w:val="65706DA4"/>
    <w:rsid w:val="66502B89"/>
    <w:rsid w:val="670361B2"/>
    <w:rsid w:val="690037AB"/>
    <w:rsid w:val="69A157A9"/>
    <w:rsid w:val="6B3B79EC"/>
    <w:rsid w:val="6BC72D68"/>
    <w:rsid w:val="6CF218F6"/>
    <w:rsid w:val="6EAC6681"/>
    <w:rsid w:val="6F094735"/>
    <w:rsid w:val="70C10B26"/>
    <w:rsid w:val="71840673"/>
    <w:rsid w:val="72926D1E"/>
    <w:rsid w:val="73431FE5"/>
    <w:rsid w:val="746127DE"/>
    <w:rsid w:val="778B0394"/>
    <w:rsid w:val="7B6D5E4A"/>
    <w:rsid w:val="7CAD6D0A"/>
    <w:rsid w:val="7CAF37EA"/>
    <w:rsid w:val="7D360DB7"/>
    <w:rsid w:val="7DDB7174"/>
    <w:rsid w:val="7FF55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font11"/>
    <w:basedOn w:val="8"/>
    <w:qFormat/>
    <w:uiPriority w:val="0"/>
    <w:rPr>
      <w:rFonts w:hint="eastAsia" w:ascii="宋体" w:hAnsi="宋体" w:eastAsia="宋体" w:cs="宋体"/>
      <w:b/>
      <w:color w:val="000000"/>
      <w:sz w:val="32"/>
      <w:szCs w:val="32"/>
      <w:u w:val="none"/>
    </w:rPr>
  </w:style>
  <w:style w:type="character" w:customStyle="1" w:styleId="11">
    <w:name w:val="font91"/>
    <w:basedOn w:val="8"/>
    <w:qFormat/>
    <w:uiPriority w:val="0"/>
    <w:rPr>
      <w:rFonts w:hint="eastAsia" w:ascii="宋体" w:hAnsi="宋体" w:eastAsia="宋体" w:cs="宋体"/>
      <w:color w:val="000000"/>
      <w:sz w:val="32"/>
      <w:szCs w:val="32"/>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2"/>
    <w:basedOn w:val="8"/>
    <w:qFormat/>
    <w:uiPriority w:val="0"/>
    <w:rPr>
      <w:rFonts w:hint="eastAsia" w:ascii="宋体" w:hAnsi="宋体" w:eastAsia="宋体" w:cs="宋体"/>
      <w:color w:val="000000"/>
      <w:sz w:val="20"/>
      <w:szCs w:val="20"/>
      <w:u w:val="none"/>
    </w:rPr>
  </w:style>
  <w:style w:type="character" w:customStyle="1" w:styleId="16">
    <w:name w:val="font61"/>
    <w:basedOn w:val="8"/>
    <w:qFormat/>
    <w:uiPriority w:val="0"/>
    <w:rPr>
      <w:rFonts w:hint="eastAsia" w:ascii="宋体" w:hAnsi="宋体" w:eastAsia="宋体" w:cs="宋体"/>
      <w:color w:val="000000"/>
      <w:sz w:val="24"/>
      <w:szCs w:val="24"/>
      <w:u w:val="none"/>
    </w:rPr>
  </w:style>
  <w:style w:type="character" w:customStyle="1" w:styleId="17">
    <w:name w:val="font81"/>
    <w:basedOn w:val="8"/>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emf"/><Relationship Id="rId14" Type="http://schemas.openxmlformats.org/officeDocument/2006/relationships/oleObject" Target="embeddings/oleObject5.bin"/><Relationship Id="rId13" Type="http://schemas.openxmlformats.org/officeDocument/2006/relationships/image" Target="media/image3.emf"/><Relationship Id="rId12" Type="http://schemas.openxmlformats.org/officeDocument/2006/relationships/oleObject" Target="embeddings/oleObject4.bin"/><Relationship Id="rId11" Type="http://schemas.openxmlformats.org/officeDocument/2006/relationships/image" Target="media/image2.emf"/><Relationship Id="rId10" Type="http://schemas.openxmlformats.org/officeDocument/2006/relationships/oleObject" Target="embeddings/oleObject3.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一般公共财政收入</c:v>
                </c:pt>
              </c:strCache>
            </c:strRef>
          </c:tx>
          <c:spPr>
            <a:solidFill>
              <a:schemeClr val="accent1"/>
            </a:solidFill>
            <a:ln>
              <a:noFill/>
            </a:ln>
            <a:effectLst/>
          </c:spPr>
          <c:invertIfNegative val="0"/>
          <c:dLbls>
            <c:delete val="1"/>
          </c:dLbls>
          <c:cat>
            <c:numRef>
              <c:f>Sheet1!$A$2:$A$5</c:f>
              <c:numCache>
                <c:formatCode>General</c:formatCode>
                <c:ptCount val="4"/>
                <c:pt idx="0">
                  <c:v>2019</c:v>
                </c:pt>
                <c:pt idx="1">
                  <c:v>2018</c:v>
                </c:pt>
              </c:numCache>
            </c:numRef>
          </c:cat>
          <c:val>
            <c:numRef>
              <c:f>Sheet1!$B$2:$B$5</c:f>
              <c:numCache>
                <c:formatCode>General</c:formatCode>
                <c:ptCount val="4"/>
                <c:pt idx="0">
                  <c:v>318.05</c:v>
                </c:pt>
                <c:pt idx="1">
                  <c:v>300.54</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numRef>
              <c:f>Sheet1!$A$2:$A$5</c:f>
              <c:numCache>
                <c:formatCode>General</c:formatCode>
                <c:ptCount val="4"/>
                <c:pt idx="0">
                  <c:v>2019</c:v>
                </c:pt>
                <c:pt idx="1">
                  <c:v>2018</c:v>
                </c:pt>
              </c:numCache>
            </c:num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numRef>
              <c:f>Sheet1!$A$2:$A$5</c:f>
              <c:numCache>
                <c:formatCode>General</c:formatCode>
                <c:ptCount val="4"/>
                <c:pt idx="0">
                  <c:v>2019</c:v>
                </c:pt>
                <c:pt idx="1">
                  <c:v>2018</c:v>
                </c:pt>
              </c:numCache>
            </c:num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343769459"/>
        <c:axId val="909819847"/>
      </c:barChart>
      <c:catAx>
        <c:axId val="3437694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9819847"/>
        <c:crosses val="autoZero"/>
        <c:auto val="1"/>
        <c:lblAlgn val="ctr"/>
        <c:lblOffset val="100"/>
        <c:noMultiLvlLbl val="0"/>
      </c:catAx>
      <c:valAx>
        <c:axId val="909819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6945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Info spid="_x0000_s103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Administrator</cp:lastModifiedBy>
  <cp:lastPrinted>2020-10-23T07:46:00Z</cp:lastPrinted>
  <dcterms:modified xsi:type="dcterms:W3CDTF">2020-10-23T09:51:46Z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