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hint="eastAsia" w:ascii="黑体" w:hAnsi="黑体" w:eastAsia="黑体"/>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sz w:val="36"/>
          <w:szCs w:val="36"/>
        </w:rPr>
      </w:pPr>
    </w:p>
    <w:p>
      <w:pPr>
        <w:pStyle w:val="6"/>
        <w:shd w:val="clear" w:color="auto" w:fill="FFFFFF"/>
        <w:spacing w:before="0" w:beforeAutospacing="0" w:after="0" w:afterAutospacing="0" w:line="520" w:lineRule="exact"/>
        <w:jc w:val="center"/>
        <w:rPr>
          <w:rFonts w:asciiTheme="majorEastAsia" w:hAnsiTheme="majorEastAsia" w:eastAsiaTheme="majorEastAsia" w:cstheme="majorEastAsia"/>
          <w:b/>
          <w:bCs/>
          <w:sz w:val="44"/>
          <w:szCs w:val="44"/>
        </w:rPr>
      </w:pPr>
      <w:r>
        <w:rPr>
          <w:rStyle w:val="10"/>
          <w:rFonts w:hint="eastAsia" w:ascii="方正小标宋简体" w:hAnsi="方正小标宋简体" w:eastAsia="方正小标宋简体" w:cs="方正小标宋简体"/>
          <w:sz w:val="44"/>
          <w:szCs w:val="44"/>
        </w:rPr>
        <w:t>阎良区城乡居民社会养老保险基金管理中心</w:t>
      </w:r>
      <w:r>
        <w:rPr>
          <w:rStyle w:val="10"/>
          <w:rFonts w:hint="eastAsia" w:ascii="方正小标宋简体" w:hAnsi="方正小标宋简体" w:eastAsia="方正小标宋简体" w:cs="方正小标宋简体"/>
          <w:color w:val="000000"/>
          <w:sz w:val="44"/>
          <w:szCs w:val="44"/>
        </w:rPr>
        <w:t>2019年度部门决算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保密审查情况：已审查</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hint="eastAsia" w:ascii="宋体" w:hAnsi="宋体" w:cs="宋体" w:eastAsiaTheme="minorEastAsia"/>
          <w:b/>
          <w:bCs/>
          <w:szCs w:val="32"/>
          <w:lang w:eastAsia="zh-CN"/>
        </w:rPr>
      </w:pPr>
      <w:r>
        <w:rPr>
          <w:rFonts w:hint="eastAsia" w:asciiTheme="minorEastAsia" w:hAnsiTheme="minorEastAsia" w:eastAsiaTheme="minorEastAsia" w:cstheme="minorEastAsia"/>
          <w:b/>
          <w:bCs/>
          <w:szCs w:val="32"/>
        </w:rPr>
        <w:t>部门主要负责人审签情况：</w:t>
      </w:r>
      <w:r>
        <w:rPr>
          <w:rFonts w:hint="eastAsia" w:asciiTheme="minorEastAsia" w:hAnsiTheme="minorEastAsia" w:eastAsiaTheme="minorEastAsia" w:cstheme="minorEastAsia"/>
          <w:b/>
          <w:bCs/>
          <w:szCs w:val="32"/>
          <w:lang w:eastAsia="zh-CN"/>
        </w:rPr>
        <w:t>已审签</w:t>
      </w:r>
    </w:p>
    <w:p>
      <w:pPr>
        <w:jc w:val="center"/>
        <w:rPr>
          <w:rFonts w:ascii="黑体" w:hAnsi="宋体" w:eastAsia="黑体"/>
          <w:b/>
          <w:color w:val="000000"/>
          <w:kern w:val="0"/>
          <w:sz w:val="56"/>
          <w:szCs w:val="5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6"/>
        <w:spacing w:before="0" w:beforeAutospacing="0" w:after="0" w:afterAutospacing="0" w:line="560" w:lineRule="exact"/>
        <w:ind w:firstLine="640" w:firstLineChars="200"/>
        <w:rPr>
          <w:rFonts w:ascii="黑体" w:hAnsi="Times New Roman" w:eastAsia="黑体" w:cs="楷体"/>
          <w:bCs/>
          <w:color w:val="000000" w:themeColor="text1"/>
          <w:sz w:val="32"/>
          <w:szCs w:val="32"/>
        </w:rPr>
      </w:pPr>
      <w:r>
        <w:rPr>
          <w:rFonts w:hint="eastAsia" w:ascii="黑体" w:hAnsi="Times New Roman" w:eastAsia="黑体" w:cs="楷体"/>
          <w:bCs/>
          <w:color w:val="000000" w:themeColor="text1"/>
          <w:sz w:val="32"/>
          <w:szCs w:val="32"/>
        </w:rPr>
        <w:t>一、部门主要职责及内设机构</w:t>
      </w:r>
    </w:p>
    <w:p>
      <w:pPr>
        <w:spacing w:line="360" w:lineRule="auto"/>
        <w:ind w:firstLine="643" w:firstLineChars="200"/>
        <w:rPr>
          <w:rFonts w:ascii="仿宋_GB2312" w:hAnsi="仿宋" w:eastAsia="仿宋_GB2312"/>
          <w:color w:val="000000" w:themeColor="text1"/>
          <w:szCs w:val="32"/>
        </w:rPr>
      </w:pPr>
      <w:r>
        <w:rPr>
          <w:rFonts w:hint="eastAsia" w:ascii="仿宋_GB2312" w:hAnsi="仿宋" w:eastAsia="仿宋_GB2312"/>
          <w:b/>
          <w:bCs/>
          <w:color w:val="000000" w:themeColor="text1"/>
          <w:szCs w:val="32"/>
        </w:rPr>
        <w:t>1</w:t>
      </w:r>
      <w:r>
        <w:rPr>
          <w:rFonts w:hint="eastAsia" w:ascii="仿宋_GB2312" w:hAnsi="仿宋" w:eastAsia="仿宋_GB2312"/>
          <w:color w:val="000000" w:themeColor="text1"/>
          <w:szCs w:val="32"/>
        </w:rPr>
        <w:t>．主要职能：根据阎编发〖2012〗7号文件西安市阎良区机构编制委员会关于调整区社会保险基金管理中心职责编制暨成区城乡居民社会养老保险基金管理中心的批复。其主要职能为：负责制定全区城乡社会养老保险的基本政策和发展规划并组织实施；负责制定全区城乡社会养老保险费用筹集办法、待遇、项目、给付条件及给付标准；负责制定全区城乡社会养老保险费征缴、养老金支付、个人账户管理、城乡居民养老保险基金管理工作；负责指导全区城乡社会养老保险的业务培训；承办上级部门交办的其他事项。</w:t>
      </w:r>
    </w:p>
    <w:p>
      <w:pPr>
        <w:spacing w:line="360" w:lineRule="auto"/>
        <w:ind w:firstLine="643" w:firstLineChars="200"/>
        <w:rPr>
          <w:rFonts w:ascii="仿宋_GB2312" w:hAnsi="仿宋" w:eastAsia="仿宋_GB2312"/>
          <w:color w:val="000000" w:themeColor="text1"/>
          <w:szCs w:val="32"/>
        </w:rPr>
      </w:pPr>
      <w:r>
        <w:rPr>
          <w:rFonts w:hint="eastAsia" w:ascii="仿宋_GB2312" w:hAnsi="仿宋" w:eastAsia="仿宋_GB2312"/>
          <w:b/>
          <w:color w:val="000000" w:themeColor="text1"/>
          <w:szCs w:val="32"/>
        </w:rPr>
        <w:t>2．机构情况</w:t>
      </w:r>
      <w:r>
        <w:rPr>
          <w:rFonts w:hint="eastAsia" w:ascii="仿宋_GB2312" w:hAnsi="仿宋" w:eastAsia="仿宋_GB2312"/>
          <w:b/>
          <w:color w:val="000000" w:themeColor="text1"/>
          <w:sz w:val="28"/>
          <w:szCs w:val="32"/>
        </w:rPr>
        <w:t>：</w:t>
      </w:r>
      <w:r>
        <w:rPr>
          <w:rFonts w:hint="eastAsia" w:ascii="仿宋_GB2312" w:hAnsi="仿宋" w:eastAsia="仿宋_GB2312"/>
          <w:color w:val="000000" w:themeColor="text1"/>
          <w:szCs w:val="32"/>
        </w:rPr>
        <w:t>区城乡居民社会养老保险基金管理中心为区人社局下属全额拨款事业单位，规格相当科级。</w:t>
      </w:r>
    </w:p>
    <w:p>
      <w:pPr>
        <w:widowControl/>
        <w:spacing w:line="560" w:lineRule="exact"/>
        <w:ind w:firstLine="643" w:firstLineChars="200"/>
        <w:jc w:val="left"/>
        <w:rPr>
          <w:rFonts w:ascii="仿宋_GB2312" w:hAnsi="仿宋" w:eastAsia="仿宋_GB2312"/>
          <w:color w:val="000000" w:themeColor="text1"/>
          <w:szCs w:val="32"/>
        </w:rPr>
      </w:pPr>
      <w:r>
        <w:rPr>
          <w:rFonts w:hint="eastAsia" w:ascii="仿宋_GB2312" w:hAnsi="仿宋" w:eastAsia="仿宋_GB2312"/>
          <w:b/>
          <w:color w:val="000000" w:themeColor="text1"/>
          <w:szCs w:val="32"/>
        </w:rPr>
        <w:t>3．人员情况</w:t>
      </w:r>
      <w:r>
        <w:rPr>
          <w:rFonts w:hint="eastAsia" w:ascii="仿宋_GB2312" w:hAnsi="仿宋" w:eastAsia="仿宋_GB2312"/>
          <w:b/>
          <w:color w:val="000000" w:themeColor="text1"/>
          <w:sz w:val="28"/>
          <w:szCs w:val="32"/>
        </w:rPr>
        <w:t>：</w:t>
      </w:r>
      <w:r>
        <w:rPr>
          <w:rFonts w:hint="eastAsia" w:ascii="仿宋_GB2312" w:hAnsi="仿宋" w:eastAsia="仿宋_GB2312"/>
          <w:color w:val="000000" w:themeColor="text1"/>
          <w:szCs w:val="32"/>
        </w:rPr>
        <w:t>区城乡居民社会养老保险基金管理中心编制总额13名，设主任、副主任各1名。</w:t>
      </w:r>
    </w:p>
    <w:p>
      <w:pPr>
        <w:spacing w:line="560" w:lineRule="exact"/>
        <w:ind w:firstLine="641"/>
        <w:rPr>
          <w:rFonts w:ascii="仿宋_GB2312" w:hAnsi="仿宋_GB2312" w:eastAsia="仿宋_GB2312" w:cs="仿宋_GB2312"/>
          <w:color w:val="000000" w:themeColor="text1"/>
          <w:szCs w:val="32"/>
        </w:rPr>
      </w:pPr>
    </w:p>
    <w:p>
      <w:pPr>
        <w:widowControl/>
        <w:jc w:val="center"/>
        <w:rPr>
          <w:color w:val="000000" w:themeColor="text1"/>
          <w:sz w:val="44"/>
          <w:szCs w:val="44"/>
        </w:rPr>
      </w:pPr>
      <w:r>
        <w:rPr>
          <w:rFonts w:ascii="黑体" w:hAnsi="宋体" w:eastAsia="黑体"/>
          <w:color w:val="000000" w:themeColor="text1"/>
          <w:kern w:val="0"/>
          <w:sz w:val="44"/>
          <w:szCs w:val="44"/>
        </w:rPr>
        <w:t>第二部分 2019年度部门决算表</w:t>
      </w:r>
    </w:p>
    <w:tbl>
      <w:tblPr>
        <w:tblStyle w:val="7"/>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84" w:type="dxa"/>
        <w:tblInd w:w="0" w:type="dxa"/>
        <w:tblLayout w:type="fixed"/>
        <w:tblCellMar>
          <w:top w:w="15" w:type="dxa"/>
          <w:left w:w="15" w:type="dxa"/>
          <w:bottom w:w="15" w:type="dxa"/>
          <w:right w:w="15" w:type="dxa"/>
        </w:tblCellMar>
      </w:tblPr>
      <w:tblGrid>
        <w:gridCol w:w="2953"/>
        <w:gridCol w:w="1680"/>
        <w:gridCol w:w="2925"/>
        <w:gridCol w:w="1326"/>
      </w:tblGrid>
      <w:tr>
        <w:tblPrEx>
          <w:tblCellMar>
            <w:top w:w="15" w:type="dxa"/>
            <w:left w:w="15" w:type="dxa"/>
            <w:bottom w:w="15" w:type="dxa"/>
            <w:right w:w="15" w:type="dxa"/>
          </w:tblCellMar>
        </w:tblPrEx>
        <w:trPr>
          <w:trHeight w:val="426" w:hRule="atLeast"/>
        </w:trPr>
        <w:tc>
          <w:tcPr>
            <w:tcW w:w="46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2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183</w:t>
            </w: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6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6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6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191</w:t>
            </w:r>
          </w:p>
        </w:tc>
      </w:tr>
      <w:tr>
        <w:tblPrEx>
          <w:tblCellMar>
            <w:top w:w="15" w:type="dxa"/>
            <w:left w:w="15" w:type="dxa"/>
            <w:bottom w:w="15" w:type="dxa"/>
            <w:right w:w="15" w:type="dxa"/>
          </w:tblCellMar>
        </w:tblPrEx>
        <w:trPr>
          <w:trHeight w:val="300"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r>
      <w:tr>
        <w:tblPrEx>
          <w:tblCellMar>
            <w:top w:w="15" w:type="dxa"/>
            <w:left w:w="15" w:type="dxa"/>
            <w:bottom w:w="15" w:type="dxa"/>
            <w:right w:w="15" w:type="dxa"/>
          </w:tblCellMar>
        </w:tblPrEx>
        <w:trPr>
          <w:trHeight w:val="249"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295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295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295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295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295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295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295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295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295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2953"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6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2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55"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ascii="宋体" w:hAnsi="宋体" w:eastAsia="宋体" w:cs="宋体"/>
                <w:bCs/>
                <w:color w:val="000000"/>
                <w:sz w:val="21"/>
                <w:szCs w:val="21"/>
              </w:rPr>
              <w:t>11</w:t>
            </w: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2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b/>
                <w:color w:val="000000"/>
                <w:sz w:val="21"/>
                <w:szCs w:val="21"/>
              </w:rPr>
              <w:t>194</w:t>
            </w:r>
          </w:p>
        </w:tc>
        <w:tc>
          <w:tcPr>
            <w:tcW w:w="2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ascii="宋体" w:hAnsi="宋体" w:eastAsia="宋体" w:cs="宋体"/>
                <w:b/>
                <w:color w:val="000000"/>
                <w:sz w:val="21"/>
                <w:szCs w:val="21"/>
              </w:rPr>
              <w:t>194</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7"/>
        <w:tblW w:w="8867" w:type="dxa"/>
        <w:tblInd w:w="0" w:type="dxa"/>
        <w:tblLayout w:type="fixed"/>
        <w:tblCellMar>
          <w:top w:w="15" w:type="dxa"/>
          <w:left w:w="15" w:type="dxa"/>
          <w:bottom w:w="15" w:type="dxa"/>
          <w:right w:w="15" w:type="dxa"/>
        </w:tblCellMar>
      </w:tblPr>
      <w:tblGrid>
        <w:gridCol w:w="927"/>
        <w:gridCol w:w="1498"/>
        <w:gridCol w:w="567"/>
        <w:gridCol w:w="567"/>
        <w:gridCol w:w="568"/>
        <w:gridCol w:w="720"/>
        <w:gridCol w:w="1470"/>
        <w:gridCol w:w="750"/>
        <w:gridCol w:w="990"/>
        <w:gridCol w:w="810"/>
      </w:tblGrid>
      <w:tr>
        <w:tblPrEx>
          <w:tblCellMar>
            <w:top w:w="15" w:type="dxa"/>
            <w:left w:w="15" w:type="dxa"/>
            <w:bottom w:w="15" w:type="dxa"/>
            <w:right w:w="15" w:type="dxa"/>
          </w:tblCellMar>
        </w:tblPrEx>
        <w:trPr>
          <w:trHeight w:val="439" w:hRule="atLeast"/>
        </w:trPr>
        <w:tc>
          <w:tcPr>
            <w:tcW w:w="24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5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949"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49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4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183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183</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20801</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人力资源和社会保障管理事务</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166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166</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2080109</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社会保险经办机构</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165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165</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2080199</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其他人力资源和社会保障管理事务支出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2101102</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事业单位医疗</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人力资源和社会保障管理事务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2080109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社会保险经办机构</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其他人力资源和社会保障管理事务支出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183</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191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183</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194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11</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11</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194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194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389" w:type="dxa"/>
        <w:tblInd w:w="0" w:type="dxa"/>
        <w:tblLayout w:type="fixed"/>
        <w:tblCellMar>
          <w:top w:w="15" w:type="dxa"/>
          <w:left w:w="15" w:type="dxa"/>
          <w:bottom w:w="15" w:type="dxa"/>
          <w:right w:w="15" w:type="dxa"/>
        </w:tblCellMar>
      </w:tblPr>
      <w:tblGrid>
        <w:gridCol w:w="1170"/>
        <w:gridCol w:w="1537"/>
        <w:gridCol w:w="1006"/>
        <w:gridCol w:w="980"/>
        <w:gridCol w:w="709"/>
        <w:gridCol w:w="917"/>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606"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5"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194</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194</w:t>
            </w:r>
          </w:p>
          <w:p>
            <w:pPr>
              <w:ind w:right="315"/>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171</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191</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191</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167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人力资源和社会保障管理事务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177</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177</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2080109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社会保险经办机构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176</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176</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2080199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其他人力资源和社会保障管理事务支出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194</w:t>
            </w: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171</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23</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ind w:right="210"/>
              <w:jc w:val="right"/>
              <w:rPr>
                <w:rFonts w:ascii="宋体" w:hAnsi="宋体" w:eastAsia="宋体" w:cs="宋体"/>
                <w:color w:val="000000"/>
                <w:sz w:val="21"/>
                <w:szCs w:val="21"/>
              </w:rPr>
            </w:pPr>
            <w:r>
              <w:rPr>
                <w:rFonts w:hint="eastAsia" w:ascii="宋体" w:hAnsi="宋体" w:eastAsia="宋体" w:cs="宋体"/>
                <w:color w:val="000000"/>
                <w:sz w:val="21"/>
                <w:szCs w:val="21"/>
              </w:rPr>
              <w:t>171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30227</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委托业务费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p>
    <w:p>
      <w:pPr>
        <w:pStyle w:val="6"/>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2019</w:t>
      </w:r>
      <w:r>
        <w:rPr>
          <w:rFonts w:hint="eastAsia" w:ascii="仿宋_GB2312" w:eastAsia="仿宋_GB2312"/>
          <w:sz w:val="32"/>
          <w:szCs w:val="32"/>
        </w:rPr>
        <w:t>年度本年收入合计</w:t>
      </w:r>
      <w:r>
        <w:rPr>
          <w:rFonts w:ascii="仿宋_GB2312" w:eastAsia="仿宋_GB2312"/>
          <w:sz w:val="32"/>
          <w:szCs w:val="32"/>
        </w:rPr>
        <w:t>183</w:t>
      </w:r>
      <w:r>
        <w:rPr>
          <w:rFonts w:hint="eastAsia" w:ascii="仿宋_GB2312" w:eastAsia="仿宋_GB2312"/>
          <w:sz w:val="32"/>
          <w:szCs w:val="32"/>
        </w:rPr>
        <w:t>万元。比上年增长的原因是调整工资和市经办机构2018年下拨工作经费的11万元结余到2019年。</w:t>
      </w:r>
    </w:p>
    <w:p>
      <w:pPr>
        <w:pStyle w:val="6"/>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201</w:t>
      </w:r>
      <w:r>
        <w:rPr>
          <w:rFonts w:hint="eastAsia" w:ascii="仿宋_GB2312" w:eastAsia="仿宋_GB2312"/>
          <w:sz w:val="32"/>
          <w:szCs w:val="32"/>
        </w:rPr>
        <w:t>9年度本年支出合计</w:t>
      </w:r>
      <w:r>
        <w:rPr>
          <w:rFonts w:ascii="仿宋_GB2312" w:eastAsia="仿宋_GB2312"/>
          <w:sz w:val="32"/>
          <w:szCs w:val="32"/>
        </w:rPr>
        <w:t>194</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支出比收入多11万元的原因是市级给城乡养老经办中心的经费补助</w:t>
      </w:r>
      <w:r>
        <w:rPr>
          <w:rFonts w:ascii="Calibri" w:hAnsi="Calibri" w:eastAsia="仿宋_GB2312"/>
          <w:sz w:val="32"/>
          <w:szCs w:val="32"/>
        </w:rPr>
        <w:t>.</w:t>
      </w:r>
      <w:r>
        <w:rPr>
          <w:rFonts w:hint="eastAsia" w:ascii="Calibri" w:hAnsi="Calibri" w:eastAsia="仿宋_GB2312"/>
          <w:sz w:val="32"/>
          <w:szCs w:val="32"/>
        </w:rPr>
        <w:t>比上年增长的原因是</w:t>
      </w:r>
      <w:r>
        <w:rPr>
          <w:rFonts w:hint="eastAsia" w:ascii="仿宋_GB2312" w:eastAsia="仿宋_GB2312"/>
          <w:sz w:val="32"/>
          <w:szCs w:val="32"/>
        </w:rPr>
        <w:t>调整工资和市经办机构2018年下拨工作经费的11万元结余到2019年。</w:t>
      </w:r>
    </w:p>
    <w:p>
      <w:pPr>
        <w:pStyle w:val="6"/>
        <w:spacing w:before="0" w:beforeAutospacing="0" w:after="0" w:afterAutospacing="0" w:line="560" w:lineRule="exact"/>
        <w:ind w:firstLine="640" w:firstLineChars="200"/>
        <w:rPr>
          <w:rFonts w:ascii="黑体" w:hAnsi="黑体" w:eastAsia="黑体"/>
          <w:color w:val="000000"/>
          <w:szCs w:val="32"/>
        </w:rPr>
      </w:pPr>
      <w:r>
        <w:rPr>
          <w:rFonts w:hint="eastAsia" w:ascii="黑体" w:hAnsi="黑体" w:eastAsia="黑体" w:cs="Times New Roman"/>
          <w:color w:val="000000"/>
          <w:kern w:val="0"/>
          <w:sz w:val="32"/>
          <w:szCs w:val="32"/>
          <w:lang w:val="en-US" w:eastAsia="zh-CN" w:bidi="ar-SA"/>
        </w:rPr>
        <w:t>二、收入决算情况说明</w:t>
      </w:r>
    </w:p>
    <w:p>
      <w:pPr>
        <w:widowControl/>
        <w:spacing w:line="560" w:lineRule="exact"/>
        <w:ind w:firstLine="640" w:firstLineChars="200"/>
        <w:jc w:val="left"/>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rPr>
        <w:t>183</w:t>
      </w:r>
      <w:r>
        <w:rPr>
          <w:rFonts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rPr>
        <w:t>183</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%；事业收入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%；经营收入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%；其他收入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ascii="黑体" w:hAnsi="黑体" w:eastAsia="黑体"/>
          <w:color w:val="000000" w:themeColor="text1"/>
        </w:rPr>
      </w:pPr>
      <w:r>
        <w:rPr>
          <w:rFonts w:hint="eastAsia" w:ascii="黑体" w:hAnsi="黑体" w:eastAsia="黑体"/>
          <w:color w:val="000000" w:themeColor="text1"/>
          <w:kern w:val="0"/>
          <w:szCs w:val="32"/>
        </w:rPr>
        <w:t>三、支出决算情况说明</w:t>
      </w:r>
      <w:bookmarkStart w:id="20" w:name="_GoBack"/>
      <w:bookmarkEnd w:id="20"/>
    </w:p>
    <w:p>
      <w:pPr>
        <w:widowControl/>
        <w:spacing w:line="560" w:lineRule="exact"/>
        <w:ind w:firstLine="640" w:firstLineChars="200"/>
        <w:jc w:val="left"/>
        <w:rPr>
          <w:color w:val="000000" w:themeColor="text1"/>
        </w:rPr>
      </w:pPr>
      <w:r>
        <w:rPr>
          <w:rFonts w:hint="eastAsia" w:ascii="仿宋_GB2312" w:hAnsi="宋体" w:eastAsia="仿宋_GB2312" w:cs="仿宋_GB2312"/>
          <w:color w:val="000000" w:themeColor="text1"/>
          <w:kern w:val="0"/>
          <w:szCs w:val="32"/>
        </w:rPr>
        <w:t>2019</w:t>
      </w:r>
      <w:r>
        <w:rPr>
          <w:rFonts w:ascii="仿宋_GB2312" w:hAnsi="宋体" w:eastAsia="仿宋_GB2312" w:cs="仿宋_GB2312"/>
          <w:color w:val="000000" w:themeColor="text1"/>
          <w:kern w:val="0"/>
          <w:szCs w:val="32"/>
        </w:rPr>
        <w:t>年</w:t>
      </w:r>
      <w:r>
        <w:rPr>
          <w:rFonts w:hint="eastAsia" w:ascii="仿宋_GB2312" w:hAnsi="仿宋" w:eastAsia="仿宋_GB2312"/>
          <w:color w:val="000000" w:themeColor="text1"/>
          <w:szCs w:val="32"/>
        </w:rPr>
        <w:t>度</w:t>
      </w:r>
      <w:r>
        <w:rPr>
          <w:rFonts w:ascii="仿宋_GB2312" w:hAnsi="宋体" w:eastAsia="仿宋_GB2312" w:cs="仿宋_GB2312"/>
          <w:color w:val="000000" w:themeColor="text1"/>
          <w:kern w:val="0"/>
          <w:szCs w:val="32"/>
        </w:rPr>
        <w:t>支出合计</w:t>
      </w:r>
      <w:r>
        <w:rPr>
          <w:rFonts w:hint="eastAsia" w:ascii="仿宋_GB2312" w:hAnsi="宋体" w:eastAsia="仿宋_GB2312" w:cs="仿宋_GB2312"/>
          <w:color w:val="000000" w:themeColor="text1"/>
          <w:kern w:val="0"/>
          <w:szCs w:val="32"/>
        </w:rPr>
        <w:t>194</w:t>
      </w:r>
      <w:r>
        <w:rPr>
          <w:rFonts w:ascii="仿宋_GB2312" w:hAnsi="宋体" w:eastAsia="仿宋_GB2312" w:cs="仿宋_GB2312"/>
          <w:color w:val="000000" w:themeColor="text1"/>
          <w:kern w:val="0"/>
          <w:szCs w:val="32"/>
        </w:rPr>
        <w:t>万元，其中：基本支出</w:t>
      </w:r>
      <w:r>
        <w:rPr>
          <w:rFonts w:hint="eastAsia" w:ascii="仿宋_GB2312" w:hAnsi="宋体" w:eastAsia="仿宋_GB2312" w:cs="仿宋_GB2312"/>
          <w:color w:val="000000" w:themeColor="text1"/>
          <w:kern w:val="0"/>
          <w:szCs w:val="32"/>
        </w:rPr>
        <w:t>194</w:t>
      </w:r>
      <w:r>
        <w:rPr>
          <w:rFonts w:ascii="仿宋_GB2312" w:hAnsi="宋体" w:eastAsia="仿宋_GB2312" w:cs="仿宋_GB2312"/>
          <w:color w:val="000000" w:themeColor="text1"/>
          <w:kern w:val="0"/>
          <w:szCs w:val="32"/>
        </w:rPr>
        <w:t>万元，占</w:t>
      </w:r>
      <w:r>
        <w:rPr>
          <w:rFonts w:hint="eastAsia" w:ascii="仿宋_GB2312" w:hAnsi="宋体" w:eastAsia="仿宋_GB2312" w:cs="仿宋_GB2312"/>
          <w:color w:val="000000" w:themeColor="text1"/>
          <w:kern w:val="0"/>
          <w:szCs w:val="32"/>
        </w:rPr>
        <w:t>100</w:t>
      </w:r>
      <w:r>
        <w:rPr>
          <w:rFonts w:ascii="仿宋_GB2312" w:hAnsi="宋体" w:eastAsia="仿宋_GB2312" w:cs="仿宋_GB2312"/>
          <w:color w:val="000000" w:themeColor="text1"/>
          <w:kern w:val="0"/>
          <w:szCs w:val="32"/>
        </w:rPr>
        <w:t>%；项目支出</w:t>
      </w:r>
      <w:r>
        <w:rPr>
          <w:rFonts w:hint="eastAsia" w:ascii="仿宋_GB2312" w:hAnsi="宋体" w:eastAsia="仿宋_GB2312" w:cs="仿宋_GB2312"/>
          <w:color w:val="000000" w:themeColor="text1"/>
          <w:kern w:val="0"/>
          <w:szCs w:val="32"/>
        </w:rPr>
        <w:t>0</w:t>
      </w:r>
      <w:r>
        <w:rPr>
          <w:rFonts w:ascii="仿宋_GB2312" w:hAnsi="宋体" w:eastAsia="仿宋_GB2312" w:cs="仿宋_GB2312"/>
          <w:color w:val="000000" w:themeColor="text1"/>
          <w:kern w:val="0"/>
          <w:szCs w:val="32"/>
        </w:rPr>
        <w:t>万元，占</w:t>
      </w:r>
      <w:r>
        <w:rPr>
          <w:rFonts w:hint="eastAsia" w:ascii="仿宋_GB2312" w:hAnsi="宋体" w:eastAsia="仿宋_GB2312" w:cs="仿宋_GB2312"/>
          <w:color w:val="000000" w:themeColor="text1"/>
          <w:kern w:val="0"/>
          <w:szCs w:val="32"/>
        </w:rPr>
        <w:t>0</w:t>
      </w:r>
      <w:r>
        <w:rPr>
          <w:rFonts w:ascii="仿宋_GB2312" w:hAnsi="宋体" w:eastAsia="仿宋_GB2312" w:cs="仿宋_GB2312"/>
          <w:color w:val="000000" w:themeColor="text1"/>
          <w:kern w:val="0"/>
          <w:szCs w:val="32"/>
        </w:rPr>
        <w:t>%；经营支出</w:t>
      </w:r>
      <w:r>
        <w:rPr>
          <w:rFonts w:hint="eastAsia" w:ascii="仿宋_GB2312" w:hAnsi="宋体" w:eastAsia="仿宋_GB2312" w:cs="仿宋_GB2312"/>
          <w:color w:val="000000" w:themeColor="text1"/>
          <w:kern w:val="0"/>
          <w:szCs w:val="32"/>
        </w:rPr>
        <w:t>0</w:t>
      </w:r>
      <w:r>
        <w:rPr>
          <w:rFonts w:ascii="仿宋_GB2312" w:hAnsi="宋体" w:eastAsia="仿宋_GB2312" w:cs="仿宋_GB2312"/>
          <w:color w:val="000000" w:themeColor="text1"/>
          <w:kern w:val="0"/>
          <w:szCs w:val="32"/>
        </w:rPr>
        <w:t>万元，占</w:t>
      </w:r>
      <w:r>
        <w:rPr>
          <w:rFonts w:hint="eastAsia" w:ascii="仿宋_GB2312" w:hAnsi="宋体" w:eastAsia="仿宋_GB2312" w:cs="仿宋_GB2312"/>
          <w:color w:val="000000" w:themeColor="text1"/>
          <w:kern w:val="0"/>
          <w:szCs w:val="32"/>
        </w:rPr>
        <w:t>0</w:t>
      </w:r>
      <w:r>
        <w:rPr>
          <w:rFonts w:ascii="仿宋_GB2312" w:hAnsi="宋体" w:eastAsia="仿宋_GB2312" w:cs="仿宋_GB2312"/>
          <w:color w:val="000000" w:themeColor="text1"/>
          <w:kern w:val="0"/>
          <w:szCs w:val="32"/>
        </w:rPr>
        <w:t>%。</w:t>
      </w:r>
    </w:p>
    <w:p>
      <w:pPr>
        <w:widowControl/>
        <w:spacing w:line="560" w:lineRule="exact"/>
        <w:ind w:firstLine="640" w:firstLineChars="200"/>
        <w:jc w:val="left"/>
        <w:rPr>
          <w:rFonts w:ascii="黑体" w:hAnsi="黑体" w:eastAsia="黑体"/>
          <w:color w:val="000000" w:themeColor="text1"/>
          <w:kern w:val="0"/>
          <w:szCs w:val="32"/>
        </w:rPr>
      </w:pPr>
      <w:r>
        <w:rPr>
          <w:rFonts w:hint="eastAsia" w:ascii="黑体" w:hAnsi="黑体" w:eastAsia="黑体"/>
          <w:color w:val="000000" w:themeColor="text1"/>
          <w:kern w:val="0"/>
          <w:szCs w:val="32"/>
        </w:rPr>
        <w:t>四、财政拨款收入支出决算总体情况说明</w:t>
      </w:r>
    </w:p>
    <w:p>
      <w:pPr>
        <w:widowControl/>
        <w:spacing w:line="560" w:lineRule="exact"/>
        <w:ind w:firstLine="640" w:firstLineChars="200"/>
        <w:jc w:val="left"/>
        <w:rPr>
          <w:rFonts w:ascii="仿宋_GB2312" w:eastAsia="仿宋_GB2312"/>
          <w:szCs w:val="32"/>
        </w:rPr>
      </w:pPr>
      <w:r>
        <w:rPr>
          <w:rFonts w:ascii="仿宋_GB2312" w:eastAsia="仿宋_GB2312"/>
          <w:szCs w:val="32"/>
        </w:rPr>
        <w:t>2019</w:t>
      </w:r>
      <w:r>
        <w:rPr>
          <w:rFonts w:hint="eastAsia" w:ascii="仿宋_GB2312" w:eastAsia="仿宋_GB2312"/>
          <w:szCs w:val="32"/>
        </w:rPr>
        <w:t>年度财政拨款收入合计</w:t>
      </w:r>
      <w:r>
        <w:rPr>
          <w:rFonts w:ascii="仿宋_GB2312" w:eastAsia="仿宋_GB2312"/>
          <w:szCs w:val="32"/>
        </w:rPr>
        <w:t>183</w:t>
      </w:r>
      <w:r>
        <w:rPr>
          <w:rFonts w:hint="eastAsia" w:ascii="仿宋_GB2312" w:eastAsia="仿宋_GB2312"/>
          <w:szCs w:val="32"/>
        </w:rPr>
        <w:t>万元。比上年增长的原因是调整工资和市经办机构每年下拨工作经费的11万元（2018年）。</w:t>
      </w:r>
    </w:p>
    <w:p>
      <w:pPr>
        <w:widowControl/>
        <w:spacing w:line="560" w:lineRule="exact"/>
        <w:ind w:firstLine="640" w:firstLineChars="200"/>
        <w:jc w:val="left"/>
        <w:rPr>
          <w:rFonts w:ascii="仿宋_GB2312" w:eastAsia="仿宋_GB2312"/>
          <w:szCs w:val="32"/>
        </w:rPr>
      </w:pPr>
      <w:r>
        <w:rPr>
          <w:rFonts w:ascii="仿宋_GB2312" w:eastAsia="仿宋_GB2312"/>
          <w:szCs w:val="32"/>
        </w:rPr>
        <w:t>201</w:t>
      </w:r>
      <w:r>
        <w:rPr>
          <w:rFonts w:hint="eastAsia" w:ascii="仿宋_GB2312" w:eastAsia="仿宋_GB2312"/>
          <w:szCs w:val="32"/>
        </w:rPr>
        <w:t>9年度本年支出合计</w:t>
      </w:r>
      <w:r>
        <w:rPr>
          <w:rFonts w:ascii="仿宋_GB2312" w:eastAsia="仿宋_GB2312"/>
          <w:szCs w:val="32"/>
        </w:rPr>
        <w:t>194</w:t>
      </w:r>
      <w:r>
        <w:rPr>
          <w:rFonts w:hint="eastAsia" w:ascii="仿宋_GB2312" w:eastAsia="仿宋_GB2312"/>
          <w:szCs w:val="32"/>
        </w:rPr>
        <w:t>万元</w:t>
      </w:r>
      <w:r>
        <w:rPr>
          <w:rFonts w:ascii="仿宋_GB2312" w:eastAsia="仿宋_GB2312"/>
          <w:szCs w:val="32"/>
        </w:rPr>
        <w:t>,</w:t>
      </w:r>
      <w:r>
        <w:rPr>
          <w:rFonts w:hint="eastAsia" w:ascii="仿宋_GB2312" w:eastAsia="仿宋_GB2312"/>
          <w:szCs w:val="32"/>
        </w:rPr>
        <w:t>支出比收入多11万元的原因是市级给城乡养老经办中心的经费补助</w:t>
      </w:r>
      <w:r>
        <w:rPr>
          <w:rFonts w:eastAsia="仿宋_GB2312"/>
          <w:szCs w:val="32"/>
        </w:rPr>
        <w:t>.</w:t>
      </w:r>
      <w:r>
        <w:rPr>
          <w:rFonts w:hint="eastAsia" w:eastAsia="仿宋_GB2312"/>
          <w:szCs w:val="32"/>
        </w:rPr>
        <w:t>比上年增长的原因是</w:t>
      </w:r>
      <w:r>
        <w:rPr>
          <w:rFonts w:hint="eastAsia" w:ascii="仿宋_GB2312" w:eastAsia="仿宋_GB2312"/>
          <w:szCs w:val="32"/>
        </w:rPr>
        <w:t>调整工资和市经办机构每年下拨工作经费的11万元（2018年）。</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pStyle w:val="6"/>
        <w:spacing w:before="0" w:beforeAutospacing="0" w:after="0" w:afterAutospacing="0" w:line="560" w:lineRule="exact"/>
        <w:ind w:firstLine="640" w:firstLineChars="200"/>
        <w:rPr>
          <w:rFonts w:ascii="仿宋_GB2312" w:eastAsia="仿宋_GB2312"/>
          <w:sz w:val="32"/>
          <w:szCs w:val="32"/>
        </w:rPr>
      </w:pPr>
      <w:r>
        <w:rPr>
          <w:rFonts w:ascii="仿宋_GB2312" w:eastAsia="仿宋_GB2312" w:cs="仿宋_GB2312"/>
          <w:color w:val="000000"/>
          <w:sz w:val="32"/>
          <w:szCs w:val="32"/>
        </w:rPr>
        <w:t>2019年</w:t>
      </w:r>
      <w:r>
        <w:rPr>
          <w:rFonts w:hint="eastAsia" w:ascii="仿宋_GB2312" w:hAnsi="仿宋" w:eastAsia="仿宋_GB2312"/>
          <w:sz w:val="32"/>
          <w:szCs w:val="32"/>
        </w:rPr>
        <w:t>度</w:t>
      </w:r>
      <w:r>
        <w:rPr>
          <w:rFonts w:ascii="仿宋_GB2312" w:eastAsia="仿宋_GB2312" w:cs="仿宋_GB2312"/>
          <w:color w:val="000000"/>
          <w:sz w:val="32"/>
          <w:szCs w:val="32"/>
        </w:rPr>
        <w:t>财政拨款支出</w:t>
      </w:r>
      <w:r>
        <w:rPr>
          <w:rFonts w:hint="eastAsia" w:ascii="仿宋_GB2312" w:eastAsia="仿宋_GB2312" w:cs="仿宋_GB2312"/>
          <w:color w:val="000000"/>
          <w:sz w:val="32"/>
          <w:szCs w:val="32"/>
        </w:rPr>
        <w:t>194</w:t>
      </w:r>
      <w:r>
        <w:rPr>
          <w:rFonts w:ascii="仿宋_GB2312" w:eastAsia="仿宋_GB2312" w:cs="仿宋_GB2312"/>
          <w:color w:val="000000"/>
          <w:sz w:val="32"/>
          <w:szCs w:val="32"/>
        </w:rPr>
        <w:t>万元，占本年支出合计的</w:t>
      </w:r>
      <w:r>
        <w:rPr>
          <w:rFonts w:hint="eastAsia" w:ascii="仿宋_GB2312" w:eastAsia="仿宋_GB2312" w:cs="仿宋_GB2312"/>
          <w:color w:val="000000"/>
          <w:sz w:val="32"/>
          <w:szCs w:val="32"/>
        </w:rPr>
        <w:t>100</w:t>
      </w:r>
      <w:r>
        <w:rPr>
          <w:rFonts w:ascii="仿宋_GB2312" w:eastAsia="仿宋_GB2312" w:cs="仿宋_GB2312"/>
          <w:color w:val="000000"/>
          <w:sz w:val="32"/>
          <w:szCs w:val="32"/>
        </w:rPr>
        <w:t>%。与</w:t>
      </w:r>
      <w:r>
        <w:rPr>
          <w:rFonts w:hint="eastAsia" w:ascii="仿宋_GB2312" w:eastAsia="仿宋_GB2312" w:cs="仿宋_GB2312"/>
          <w:color w:val="000000"/>
          <w:sz w:val="32"/>
          <w:szCs w:val="32"/>
        </w:rPr>
        <w:t>上年</w:t>
      </w:r>
      <w:r>
        <w:rPr>
          <w:rFonts w:ascii="仿宋_GB2312" w:eastAsia="仿宋_GB2312" w:cs="仿宋_GB2312"/>
          <w:color w:val="000000"/>
          <w:sz w:val="32"/>
          <w:szCs w:val="32"/>
        </w:rPr>
        <w:t>相比，财政拨款支出增加</w:t>
      </w:r>
      <w:r>
        <w:rPr>
          <w:rFonts w:hint="eastAsia" w:ascii="仿宋_GB2312" w:eastAsia="仿宋_GB2312" w:cs="仿宋_GB2312"/>
          <w:color w:val="000000"/>
          <w:sz w:val="32"/>
          <w:szCs w:val="32"/>
        </w:rPr>
        <w:t>72</w:t>
      </w:r>
      <w:r>
        <w:rPr>
          <w:rFonts w:ascii="仿宋_GB2312" w:eastAsia="仿宋_GB2312" w:cs="仿宋_GB2312"/>
          <w:color w:val="000000"/>
          <w:sz w:val="32"/>
          <w:szCs w:val="32"/>
        </w:rPr>
        <w:t>万元，增长</w:t>
      </w:r>
      <w:r>
        <w:rPr>
          <w:rFonts w:hint="eastAsia" w:ascii="仿宋_GB2312" w:eastAsia="仿宋_GB2312" w:cs="仿宋_GB2312"/>
          <w:color w:val="000000"/>
          <w:sz w:val="32"/>
          <w:szCs w:val="32"/>
        </w:rPr>
        <w:t>59</w:t>
      </w:r>
      <w:r>
        <w:rPr>
          <w:rFonts w:ascii="仿宋_GB2312" w:eastAsia="仿宋_GB2312" w:cs="仿宋_GB2312"/>
          <w:color w:val="000000"/>
          <w:sz w:val="32"/>
          <w:szCs w:val="32"/>
        </w:rPr>
        <w:t>%，主要</w:t>
      </w:r>
      <w:r>
        <w:rPr>
          <w:rFonts w:hint="eastAsia" w:ascii="仿宋_GB2312" w:eastAsia="仿宋_GB2312" w:cs="仿宋_GB2312"/>
          <w:color w:val="000000"/>
          <w:sz w:val="32"/>
          <w:szCs w:val="32"/>
        </w:rPr>
        <w:t>原因是</w:t>
      </w:r>
      <w:r>
        <w:rPr>
          <w:rFonts w:hint="eastAsia" w:ascii="仿宋_GB2312" w:eastAsia="仿宋_GB2312"/>
          <w:sz w:val="32"/>
          <w:szCs w:val="32"/>
        </w:rPr>
        <w:t>工资增涨了70万，工作经费增长了2万。</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rPr>
        <w:t>112</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194</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173</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pPr>
        <w:widowControl/>
        <w:spacing w:line="560" w:lineRule="exact"/>
        <w:ind w:firstLine="643" w:firstLineChars="200"/>
        <w:jc w:val="left"/>
      </w:pPr>
      <w:r>
        <w:rPr>
          <w:rFonts w:ascii="仿宋_GB2312" w:hAnsi="宋体" w:eastAsia="仿宋_GB2312" w:cs="仿宋_GB2312"/>
          <w:b/>
          <w:color w:val="000000"/>
          <w:kern w:val="0"/>
          <w:szCs w:val="32"/>
        </w:rPr>
        <w:t>1.一般公共服务支出（类）财政事务（款）行政运行（项）</w:t>
      </w:r>
      <w:r>
        <w:rPr>
          <w:rFonts w:hint="eastAsia" w:ascii="仿宋_GB2312" w:hAnsi="宋体" w:eastAsia="仿宋_GB2312" w:cs="仿宋_GB2312"/>
          <w:b/>
          <w:color w:val="000000"/>
          <w:kern w:val="0"/>
          <w:szCs w:val="32"/>
        </w:rPr>
        <w:t>公用经费</w:t>
      </w:r>
      <w:r>
        <w:rPr>
          <w:rFonts w:ascii="仿宋_GB2312" w:hAnsi="宋体" w:eastAsia="仿宋_GB2312" w:cs="仿宋_GB2312"/>
          <w:b/>
          <w:color w:val="000000"/>
          <w:kern w:val="0"/>
          <w:szCs w:val="32"/>
        </w:rPr>
        <w:t xml:space="preserve">。 </w:t>
      </w:r>
    </w:p>
    <w:p>
      <w:pPr>
        <w:pStyle w:val="6"/>
        <w:spacing w:before="0" w:beforeAutospacing="0" w:after="0" w:afterAutospacing="0" w:line="560" w:lineRule="exact"/>
        <w:ind w:firstLine="640" w:firstLineChars="200"/>
        <w:rPr>
          <w:rFonts w:ascii="仿宋_GB2312" w:eastAsia="仿宋_GB2312"/>
          <w:sz w:val="32"/>
          <w:szCs w:val="32"/>
        </w:rPr>
      </w:pP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rPr>
        <w:t>12</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rPr>
        <w:t>23</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rPr>
        <w:t>191%</w:t>
      </w:r>
      <w:r>
        <w:rPr>
          <w:rFonts w:ascii="仿宋_GB2312" w:eastAsia="仿宋_GB2312" w:cs="仿宋_GB2312"/>
          <w:color w:val="000000"/>
          <w:sz w:val="32"/>
          <w:szCs w:val="32"/>
        </w:rPr>
        <w:t>。决算数大于主要原因是</w:t>
      </w:r>
      <w:r>
        <w:rPr>
          <w:rFonts w:hint="eastAsia" w:ascii="仿宋_GB2312" w:eastAsia="仿宋_GB2312"/>
          <w:sz w:val="32"/>
          <w:szCs w:val="32"/>
        </w:rPr>
        <w:t>市经办机构2018年下拨工作经费的11万元结余到2019年。</w:t>
      </w:r>
    </w:p>
    <w:p>
      <w:pPr>
        <w:widowControl/>
        <w:spacing w:line="560" w:lineRule="exact"/>
        <w:ind w:firstLine="480" w:firstLineChars="150"/>
        <w:jc w:val="left"/>
        <w:rPr>
          <w:rFonts w:ascii="仿宋_GB2312" w:hAnsi="宋体" w:eastAsia="仿宋_GB2312" w:cs="仿宋_GB2312"/>
          <w:b/>
          <w:color w:val="000000"/>
          <w:kern w:val="0"/>
          <w:szCs w:val="32"/>
        </w:rPr>
      </w:pPr>
      <w:r>
        <w:rPr>
          <w:rFonts w:ascii="仿宋_GB2312" w:hAnsi="宋体" w:eastAsia="仿宋_GB2312" w:cs="仿宋_GB2312"/>
          <w:color w:val="000000"/>
          <w:kern w:val="0"/>
          <w:szCs w:val="32"/>
        </w:rPr>
        <w:t>2.</w:t>
      </w:r>
      <w:r>
        <w:rPr>
          <w:rFonts w:ascii="仿宋_GB2312" w:hAnsi="宋体" w:eastAsia="仿宋_GB2312" w:cs="仿宋_GB2312"/>
          <w:b/>
          <w:color w:val="000000"/>
          <w:kern w:val="0"/>
          <w:szCs w:val="32"/>
        </w:rPr>
        <w:t xml:space="preserve"> 一般公共服务支出（类）财政事务（款）行政运行（项）</w:t>
      </w:r>
      <w:r>
        <w:rPr>
          <w:rFonts w:hint="eastAsia" w:ascii="仿宋_GB2312" w:hAnsi="宋体" w:eastAsia="仿宋_GB2312" w:cs="仿宋_GB2312"/>
          <w:b/>
          <w:color w:val="000000"/>
          <w:kern w:val="0"/>
          <w:szCs w:val="32"/>
        </w:rPr>
        <w:t>人员经费</w:t>
      </w:r>
    </w:p>
    <w:p>
      <w:pPr>
        <w:widowControl/>
        <w:spacing w:line="560" w:lineRule="exact"/>
        <w:ind w:firstLine="480" w:firstLineChars="150"/>
        <w:jc w:val="left"/>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171</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171%</w:t>
      </w:r>
      <w:r>
        <w:rPr>
          <w:rFonts w:ascii="仿宋_GB2312" w:hAnsi="宋体" w:eastAsia="仿宋_GB2312" w:cs="仿宋_GB2312"/>
          <w:color w:val="000000"/>
          <w:kern w:val="0"/>
          <w:szCs w:val="32"/>
        </w:rPr>
        <w:t>。决算数大于主要原因是</w:t>
      </w:r>
      <w:r>
        <w:rPr>
          <w:rFonts w:hint="eastAsia" w:ascii="仿宋_GB2312" w:eastAsia="仿宋_GB2312"/>
          <w:szCs w:val="32"/>
        </w:rPr>
        <w:t>本单位与社保中心工资的协调。</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rPr>
        <w:t>194</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171</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23</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宋体" w:eastAsia="仿宋_GB2312" w:cs="仿宋_GB2312"/>
          <w:color w:val="000000"/>
          <w:kern w:val="0"/>
          <w:szCs w:val="32"/>
        </w:rPr>
        <w:t>171</w:t>
      </w:r>
      <w:r>
        <w:rPr>
          <w:rFonts w:ascii="仿宋_GB2312" w:hAnsi="宋体" w:eastAsia="仿宋_GB2312" w:cs="仿宋_GB2312"/>
          <w:color w:val="000000"/>
          <w:kern w:val="0"/>
          <w:szCs w:val="32"/>
        </w:rPr>
        <w:t>万元，主要包括基本工资</w:t>
      </w:r>
      <w:r>
        <w:rPr>
          <w:rFonts w:hint="eastAsia" w:ascii="仿宋_GB2312" w:hAnsi="宋体" w:eastAsia="仿宋_GB2312" w:cs="仿宋_GB2312"/>
          <w:color w:val="000000"/>
          <w:kern w:val="0"/>
          <w:szCs w:val="32"/>
        </w:rPr>
        <w:t>78万元，津贴补贴21万元，绩效工资27万元，机关事业单位基本养老保险缴费15万元，职业年金缴费3万元，职工基本医疗保险缴费4万元，其他社会保障缴费16万元，住房公积金7万元。</w:t>
      </w:r>
    </w:p>
    <w:p>
      <w:pPr>
        <w:widowControl/>
        <w:spacing w:line="560" w:lineRule="exact"/>
        <w:ind w:firstLine="643" w:firstLineChars="200"/>
        <w:jc w:val="left"/>
      </w:pPr>
      <w:r>
        <w:rPr>
          <w:rFonts w:ascii="仿宋_GB2312" w:hAnsi="宋体" w:eastAsia="仿宋_GB2312" w:cs="仿宋_GB2312"/>
          <w:b/>
          <w:bCs/>
          <w:color w:val="000000"/>
          <w:kern w:val="0"/>
          <w:szCs w:val="32"/>
        </w:rPr>
        <w:t>公用经费</w:t>
      </w:r>
      <w:r>
        <w:rPr>
          <w:rFonts w:hint="eastAsia" w:ascii="仿宋_GB2312" w:hAnsi="宋体" w:eastAsia="仿宋_GB2312" w:cs="仿宋_GB2312"/>
          <w:color w:val="000000"/>
          <w:kern w:val="0"/>
          <w:szCs w:val="32"/>
        </w:rPr>
        <w:t>23</w:t>
      </w:r>
      <w:r>
        <w:rPr>
          <w:rFonts w:ascii="仿宋_GB2312" w:hAnsi="宋体" w:eastAsia="仿宋_GB2312" w:cs="仿宋_GB2312"/>
          <w:color w:val="000000"/>
          <w:kern w:val="0"/>
          <w:szCs w:val="32"/>
        </w:rPr>
        <w:t>万元，主要包括办公费</w:t>
      </w:r>
      <w:r>
        <w:rPr>
          <w:rFonts w:hint="eastAsia" w:ascii="仿宋_GB2312" w:hAnsi="宋体" w:eastAsia="仿宋_GB2312" w:cs="仿宋_GB2312"/>
          <w:color w:val="000000"/>
          <w:kern w:val="0"/>
          <w:szCs w:val="32"/>
        </w:rPr>
        <w:t>5万元，印刷费1万元，差旅费1万元，维护费2万元，委托业务费11万元，工会经费3万元。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楷体_GB2312"/>
          <w:color w:val="000000"/>
          <w:kern w:val="0"/>
          <w:szCs w:val="32"/>
        </w:rPr>
        <w:t>本部门无</w:t>
      </w:r>
      <w:r>
        <w:rPr>
          <w:rFonts w:hint="eastAsia" w:ascii="仿宋_GB2312" w:hAnsi="黑体" w:eastAsia="仿宋_GB2312"/>
          <w:color w:val="000000"/>
          <w:kern w:val="0"/>
          <w:szCs w:val="32"/>
        </w:rPr>
        <w:t>公经费及会议费、培训费支出，并已公开空表</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w:t>
      </w:r>
      <w:r>
        <w:rPr>
          <w:rFonts w:ascii="楷体_GB2312" w:hAnsi="宋体" w:eastAsia="楷体_GB2312" w:cs="楷体_GB2312"/>
          <w:b/>
          <w:color w:val="000000"/>
          <w:kern w:val="0"/>
          <w:szCs w:val="32"/>
        </w:rPr>
        <w:t>预算绩效管理工作开展情况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根据预算绩效管理要求，城乡居民养老中心组织对2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w:t>
      </w:r>
      <w:r>
        <w:rPr>
          <w:rFonts w:ascii="仿宋_GB2312" w:hAnsi="仿宋_GB2312" w:eastAsia="仿宋_GB2312" w:cs="仿宋_GB2312"/>
          <w:szCs w:val="32"/>
        </w:rPr>
        <w:t>1</w:t>
      </w:r>
      <w:r>
        <w:rPr>
          <w:rFonts w:hint="eastAsia" w:ascii="仿宋_GB2312" w:hAnsi="仿宋_GB2312" w:eastAsia="仿宋_GB2312" w:cs="仿宋_GB2312"/>
          <w:szCs w:val="32"/>
        </w:rPr>
        <w:t>个项目支出开展了绩效自评</w:t>
      </w:r>
      <w:r>
        <w:rPr>
          <w:rFonts w:ascii="仿宋_GB2312" w:hAnsi="仿宋_GB2312" w:eastAsia="仿宋_GB2312" w:cs="仿宋_GB2312"/>
          <w:szCs w:val="32"/>
        </w:rPr>
        <w:t>，其中，一级项目1个，共涉及资金</w:t>
      </w:r>
      <w:r>
        <w:rPr>
          <w:rFonts w:hint="eastAsia" w:ascii="仿宋_GB2312" w:hAnsi="仿宋_GB2312" w:eastAsia="仿宋_GB2312" w:cs="仿宋_GB2312"/>
          <w:szCs w:val="32"/>
        </w:rPr>
        <w:t>5</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2.6</w:t>
      </w:r>
      <w:r>
        <w:rPr>
          <w:rFonts w:ascii="仿宋_GB2312" w:hAnsi="仿宋_GB2312" w:eastAsia="仿宋_GB2312" w:cs="仿宋_GB2312"/>
          <w:szCs w:val="32"/>
        </w:rPr>
        <w:t>%</w:t>
      </w:r>
      <w:r>
        <w:rPr>
          <w:rFonts w:hint="eastAsia" w:ascii="仿宋_GB2312" w:hAnsi="仿宋_GB2312" w:eastAsia="仿宋_GB2312" w:cs="仿宋_GB2312"/>
          <w:szCs w:val="32"/>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城乡居民养老保险经费补助</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rPr>
        <w:t>85</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5</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5</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全区城乡居民养老金宣传稽核，保证全区人民对城乡居民养老的知晓度。</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通过项目实施</w:t>
      </w:r>
      <w:r>
        <w:rPr>
          <w:rFonts w:hint="eastAsia" w:ascii="仿宋_GB2312" w:hAnsi="仿宋_GB2312" w:eastAsia="仿宋_GB2312" w:cs="仿宋_GB2312"/>
          <w:color w:val="000000"/>
          <w:kern w:val="0"/>
          <w:sz w:val="31"/>
          <w:szCs w:val="31"/>
        </w:rPr>
        <w:t>保证了全区居民养老的信息化管理。</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无</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进一步加强居民的知晓率。</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城乡居民养老中心整体2019年度整体</w:t>
      </w:r>
      <w:r>
        <w:rPr>
          <w:rFonts w:ascii="仿宋_GB2312" w:hAnsi="仿宋_GB2312" w:eastAsia="仿宋_GB2312" w:cs="仿宋_GB2312"/>
          <w:color w:val="000000"/>
          <w:kern w:val="0"/>
          <w:sz w:val="31"/>
          <w:szCs w:val="31"/>
        </w:rPr>
        <w:t>自评得分85分。全年预算数</w:t>
      </w:r>
      <w:r>
        <w:rPr>
          <w:rFonts w:hint="eastAsia" w:ascii="仿宋_GB2312" w:hAnsi="仿宋_GB2312" w:eastAsia="仿宋_GB2312" w:cs="仿宋_GB2312"/>
          <w:color w:val="000000"/>
          <w:kern w:val="0"/>
          <w:sz w:val="31"/>
          <w:szCs w:val="31"/>
        </w:rPr>
        <w:t>112</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194</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173</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全区城乡居民养老金宣传稽核，保证全区人民对城乡居民养老的知晓度。</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主要工作绩效是</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保证了全区3万多居民养老金的正常发放</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无</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进一步加强居民的知晓率。</w:t>
      </w:r>
    </w:p>
    <w:p>
      <w:pPr>
        <w:widowControl/>
        <w:jc w:val="left"/>
        <w:rPr>
          <w:rFonts w:eastAsia="仿宋_GB2312" w:cs="仿宋_GB2312" w:asciiTheme="minorHAnsi" w:hAnsiTheme="minorHAnsi"/>
          <w:color w:val="000000"/>
          <w:kern w:val="0"/>
          <w:sz w:val="31"/>
          <w:szCs w:val="31"/>
        </w:rPr>
      </w:pPr>
    </w:p>
    <w:p>
      <w:pPr>
        <w:widowControl/>
        <w:jc w:val="left"/>
        <w:rPr>
          <w:rFonts w:eastAsia="仿宋_GB2312" w:cs="仿宋_GB2312" w:asciiTheme="minorHAnsi" w:hAnsiTheme="minorHAnsi"/>
          <w:color w:val="000000"/>
          <w:kern w:val="0"/>
          <w:sz w:val="31"/>
          <w:szCs w:val="31"/>
        </w:rPr>
      </w:pPr>
    </w:p>
    <w:p>
      <w:pPr>
        <w:widowControl/>
        <w:jc w:val="left"/>
        <w:rPr>
          <w:rFonts w:eastAsia="仿宋_GB2312" w:cs="仿宋_GB2312" w:asciiTheme="minorHAnsi" w:hAnsiTheme="minorHAnsi"/>
          <w:color w:val="000000"/>
          <w:kern w:val="0"/>
          <w:sz w:val="31"/>
          <w:szCs w:val="31"/>
        </w:rPr>
      </w:pPr>
    </w:p>
    <w:p>
      <w:pPr>
        <w:widowControl/>
        <w:jc w:val="left"/>
        <w:rPr>
          <w:rFonts w:eastAsia="仿宋_GB2312" w:cs="仿宋_GB2312" w:asciiTheme="minorHAnsi" w:hAnsiTheme="minorHAnsi"/>
          <w:color w:val="000000"/>
          <w:kern w:val="0"/>
          <w:sz w:val="31"/>
          <w:szCs w:val="31"/>
        </w:rPr>
      </w:pPr>
    </w:p>
    <w:p>
      <w:pPr>
        <w:widowControl/>
        <w:jc w:val="left"/>
        <w:rPr>
          <w:rFonts w:eastAsia="仿宋_GB2312" w:cs="仿宋_GB2312" w:asciiTheme="minorHAnsi" w:hAnsiTheme="minorHAnsi"/>
          <w:color w:val="000000"/>
          <w:kern w:val="0"/>
          <w:sz w:val="31"/>
          <w:szCs w:val="31"/>
        </w:rPr>
      </w:pPr>
    </w:p>
    <w:p>
      <w:pPr>
        <w:widowControl/>
        <w:jc w:val="left"/>
        <w:rPr>
          <w:rFonts w:eastAsia="仿宋_GB2312" w:cs="仿宋_GB2312" w:asciiTheme="minorHAnsi" w:hAnsiTheme="minorHAnsi"/>
          <w:color w:val="000000"/>
          <w:kern w:val="0"/>
          <w:sz w:val="31"/>
          <w:szCs w:val="31"/>
        </w:rPr>
      </w:pPr>
    </w:p>
    <w:p>
      <w:pPr>
        <w:widowControl/>
        <w:jc w:val="left"/>
        <w:rPr>
          <w:rFonts w:eastAsia="仿宋_GB2312" w:cs="仿宋_GB2312" w:asciiTheme="minorHAnsi" w:hAnsiTheme="minorHAnsi"/>
          <w:color w:val="000000"/>
          <w:kern w:val="0"/>
          <w:sz w:val="31"/>
          <w:szCs w:val="31"/>
        </w:rPr>
      </w:pPr>
      <w:r>
        <w:rPr>
          <w:szCs w:val="31"/>
        </w:rPr>
        <w:drawing>
          <wp:inline distT="0" distB="0" distL="0" distR="0">
            <wp:extent cx="5274310" cy="7502525"/>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srcRect/>
                    <a:stretch>
                      <a:fillRect/>
                    </a:stretch>
                  </pic:blipFill>
                  <pic:spPr>
                    <a:xfrm>
                      <a:off x="0" y="0"/>
                      <a:ext cx="5274310" cy="7503131"/>
                    </a:xfrm>
                    <a:prstGeom prst="rect">
                      <a:avLst/>
                    </a:prstGeom>
                    <a:noFill/>
                    <a:ln w="9525">
                      <a:noFill/>
                      <a:miter lim="800000"/>
                      <a:headEnd/>
                      <a:tailEnd/>
                    </a:ln>
                  </pic:spPr>
                </pic:pic>
              </a:graphicData>
            </a:graphic>
          </wp:inline>
        </w:drawing>
      </w:r>
    </w:p>
    <w:p>
      <w:pPr>
        <w:widowControl/>
        <w:jc w:val="left"/>
        <w:rPr>
          <w:rFonts w:ascii="仿宋_GB2312" w:hAnsi="仿宋_GB2312" w:eastAsia="仿宋_GB2312" w:cs="仿宋_GB2312"/>
          <w:color w:val="000000"/>
          <w:kern w:val="0"/>
          <w:sz w:val="31"/>
          <w:szCs w:val="31"/>
        </w:rPr>
      </w:pPr>
    </w:p>
    <w:p>
      <w:pPr>
        <w:tabs>
          <w:tab w:val="left" w:pos="1955"/>
        </w:tabs>
        <w:rPr>
          <w:rFonts w:eastAsia="仿宋_GB2312" w:cs="仿宋_GB2312" w:asciiTheme="minorHAnsi" w:hAnsiTheme="minorHAnsi"/>
          <w:sz w:val="31"/>
          <w:szCs w:val="31"/>
        </w:rPr>
        <w:sectPr>
          <w:pgSz w:w="11906" w:h="16838"/>
          <w:pgMar w:top="1440" w:right="1800" w:bottom="1440" w:left="1800" w:header="851" w:footer="992" w:gutter="0"/>
          <w:cols w:space="425" w:num="1"/>
          <w:docGrid w:type="lines" w:linePitch="312" w:charSpace="0"/>
        </w:sectPr>
      </w:pPr>
      <w:bookmarkStart w:id="0" w:name="_1662907596"/>
      <w:bookmarkEnd w:id="0"/>
      <w:bookmarkStart w:id="1" w:name="_1662907080"/>
      <w:bookmarkEnd w:id="1"/>
      <w:bookmarkStart w:id="2" w:name="_1662907161"/>
      <w:bookmarkEnd w:id="2"/>
      <w:bookmarkStart w:id="3" w:name="_MON_1664970247"/>
      <w:bookmarkEnd w:id="3"/>
      <w:bookmarkStart w:id="4" w:name="_MON_1664970264"/>
      <w:bookmarkEnd w:id="4"/>
      <w:bookmarkStart w:id="5" w:name="_MON_1664969890"/>
      <w:bookmarkEnd w:id="5"/>
      <w:bookmarkStart w:id="6" w:name="_MON_1664971395"/>
      <w:bookmarkEnd w:id="6"/>
      <w:bookmarkStart w:id="7" w:name="_MON_1664969315"/>
      <w:bookmarkEnd w:id="7"/>
      <w:r>
        <w:rPr>
          <w:rFonts w:hint="eastAsia" w:ascii="仿宋_GB2312" w:hAnsi="仿宋_GB2312" w:eastAsia="仿宋_GB2312" w:cs="仿宋_GB2312"/>
          <w:sz w:val="31"/>
          <w:szCs w:val="31"/>
        </w:rPr>
        <w:t xml:space="preserve">                                                               </w:t>
      </w:r>
    </w:p>
    <w:p>
      <w:pPr>
        <w:widowControl/>
        <w:jc w:val="left"/>
        <w:rPr>
          <w:rFonts w:eastAsia="仿宋_GB2312" w:cs="仿宋_GB2312" w:asciiTheme="minorHAnsi" w:hAnsiTheme="minorHAnsi"/>
          <w:color w:val="000000"/>
          <w:kern w:val="0"/>
          <w:sz w:val="31"/>
          <w:szCs w:val="31"/>
        </w:rPr>
      </w:pPr>
      <w:r>
        <w:rPr>
          <w:szCs w:val="31"/>
        </w:rPr>
        <w:drawing>
          <wp:inline distT="0" distB="0" distL="0" distR="0">
            <wp:extent cx="8863330" cy="5281295"/>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5" cstate="print"/>
                    <a:srcRect/>
                    <a:stretch>
                      <a:fillRect/>
                    </a:stretch>
                  </pic:blipFill>
                  <pic:spPr>
                    <a:xfrm>
                      <a:off x="0" y="0"/>
                      <a:ext cx="8863330" cy="5281345"/>
                    </a:xfrm>
                    <a:prstGeom prst="rect">
                      <a:avLst/>
                    </a:prstGeom>
                    <a:noFill/>
                    <a:ln w="9525">
                      <a:noFill/>
                      <a:miter lim="800000"/>
                      <a:headEnd/>
                      <a:tailEnd/>
                    </a:ln>
                  </pic:spPr>
                </pic:pic>
              </a:graphicData>
            </a:graphic>
          </wp:inline>
        </w:drawing>
      </w:r>
    </w:p>
    <w:p>
      <w:pPr>
        <w:rPr>
          <w:rFonts w:ascii="黑体" w:hAnsi="黑体" w:eastAsia="黑体"/>
          <w:color w:val="000000"/>
          <w:kern w:val="0"/>
          <w:szCs w:val="32"/>
        </w:rPr>
      </w:pPr>
      <w:bookmarkStart w:id="8" w:name="_MON_1664971653"/>
      <w:bookmarkEnd w:id="8"/>
      <w:bookmarkStart w:id="9" w:name="_MON_1664971680"/>
      <w:bookmarkEnd w:id="9"/>
      <w:bookmarkStart w:id="10" w:name="_MON_1664969874"/>
      <w:bookmarkEnd w:id="10"/>
      <w:bookmarkStart w:id="11" w:name="_MON_1664970344"/>
      <w:bookmarkEnd w:id="11"/>
      <w:bookmarkStart w:id="12" w:name="_MON_1664970379"/>
      <w:bookmarkEnd w:id="12"/>
      <w:bookmarkStart w:id="13" w:name="_1662907696"/>
      <w:bookmarkEnd w:id="13"/>
      <w:bookmarkStart w:id="14" w:name="_MON_1664971121"/>
      <w:bookmarkEnd w:id="14"/>
      <w:bookmarkStart w:id="15" w:name="_MON_1664971461"/>
      <w:bookmarkEnd w:id="15"/>
      <w:bookmarkStart w:id="16" w:name="_MON_1664971478"/>
      <w:bookmarkEnd w:id="16"/>
      <w:bookmarkStart w:id="17" w:name="_MON_1664971510"/>
      <w:bookmarkEnd w:id="17"/>
      <w:bookmarkStart w:id="18" w:name="_MON_1664971613"/>
      <w:bookmarkEnd w:id="18"/>
      <w:bookmarkStart w:id="19" w:name="_MON_1664971628"/>
      <w:bookmarkEnd w:id="19"/>
    </w:p>
    <w:p>
      <w:pPr>
        <w:rPr>
          <w:rFonts w:eastAsia="黑体" w:asciiTheme="minorHAnsi" w:hAnsiTheme="minorHAnsi"/>
          <w:color w:val="000000"/>
          <w:kern w:val="0"/>
          <w:szCs w:val="32"/>
        </w:rPr>
      </w:pPr>
      <w:r>
        <w:rPr>
          <w:szCs w:val="32"/>
        </w:rPr>
        <w:drawing>
          <wp:inline distT="0" distB="0" distL="0" distR="0">
            <wp:extent cx="8863330" cy="4606290"/>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6" cstate="print"/>
                    <a:srcRect/>
                    <a:stretch>
                      <a:fillRect/>
                    </a:stretch>
                  </pic:blipFill>
                  <pic:spPr>
                    <a:xfrm>
                      <a:off x="0" y="0"/>
                      <a:ext cx="8863330" cy="4606599"/>
                    </a:xfrm>
                    <a:prstGeom prst="rect">
                      <a:avLst/>
                    </a:prstGeom>
                    <a:noFill/>
                    <a:ln w="9525">
                      <a:noFill/>
                      <a:miter lim="800000"/>
                      <a:headEnd/>
                      <a:tailEnd/>
                    </a:ln>
                  </pic:spPr>
                </pic:pic>
              </a:graphicData>
            </a:graphic>
          </wp:inline>
        </w:drawing>
      </w:r>
    </w:p>
    <w:p>
      <w:pPr>
        <w:rPr>
          <w:rFonts w:eastAsia="黑体" w:asciiTheme="minorHAnsi" w:hAnsiTheme="minorHAnsi"/>
          <w:color w:val="000000"/>
          <w:kern w:val="0"/>
          <w:szCs w:val="32"/>
        </w:rPr>
      </w:pPr>
    </w:p>
    <w:p>
      <w:pPr>
        <w:rPr>
          <w:rFonts w:eastAsia="黑体" w:asciiTheme="minorHAnsi" w:hAnsiTheme="minorHAnsi"/>
          <w:color w:val="000000"/>
          <w:kern w:val="0"/>
          <w:szCs w:val="32"/>
        </w:rPr>
        <w:sectPr>
          <w:pgSz w:w="16838" w:h="11906" w:orient="landscape"/>
          <w:pgMar w:top="1800" w:right="1440" w:bottom="1800" w:left="1440" w:header="851" w:footer="992" w:gutter="0"/>
          <w:cols w:space="425" w:num="1"/>
          <w:docGrid w:type="lines" w:linePitch="312" w:charSpace="0"/>
        </w:sectPr>
      </w:pPr>
      <w:r>
        <w:rPr>
          <w:szCs w:val="32"/>
        </w:rPr>
        <w:drawing>
          <wp:inline distT="0" distB="0" distL="0" distR="0">
            <wp:extent cx="8863330" cy="4639310"/>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cstate="print"/>
                    <a:srcRect/>
                    <a:stretch>
                      <a:fillRect/>
                    </a:stretch>
                  </pic:blipFill>
                  <pic:spPr>
                    <a:xfrm>
                      <a:off x="0" y="0"/>
                      <a:ext cx="8863330" cy="4639920"/>
                    </a:xfrm>
                    <a:prstGeom prst="rect">
                      <a:avLst/>
                    </a:prstGeom>
                    <a:noFill/>
                    <a:ln w="9525">
                      <a:noFill/>
                      <a:miter lim="800000"/>
                      <a:headEnd/>
                      <a:tailEnd/>
                    </a:ln>
                  </pic:spPr>
                </pic:pic>
              </a:graphicData>
            </a:graphic>
          </wp:inline>
        </w:drawing>
      </w: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12</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23</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191</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增加11元，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市经办给城乡养老中心部分的11万工作经费。</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本部门201</w:t>
      </w:r>
      <w:r>
        <w:rPr>
          <w:rFonts w:ascii="仿宋_GB2312" w:hAnsi="仿宋_GB2312" w:eastAsia="仿宋_GB2312" w:cs="仿宋_GB2312"/>
          <w:szCs w:val="32"/>
        </w:rPr>
        <w:t>9</w:t>
      </w:r>
      <w:r>
        <w:rPr>
          <w:rFonts w:hint="eastAsia" w:ascii="仿宋_GB2312" w:hAnsi="仿宋_GB2312" w:eastAsia="仿宋_GB2312" w:cs="仿宋_GB2312"/>
          <w:szCs w:val="32"/>
        </w:rPr>
        <w:t>年度无政府采购支出</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此项无</w:t>
      </w:r>
    </w:p>
    <w:p>
      <w:pPr>
        <w:spacing w:line="560" w:lineRule="exact"/>
        <w:ind w:firstLine="640"/>
        <w:rPr>
          <w:rFonts w:ascii="仿宋_GB2312" w:hAnsi="仿宋_GB2312" w:eastAsia="仿宋_GB2312" w:cs="仿宋_GB2312"/>
          <w:szCs w:val="32"/>
        </w:rPr>
      </w:pPr>
    </w:p>
    <w:p>
      <w:pPr>
        <w:numPr>
          <w:ilvl w:val="0"/>
          <w:numId w:val="2"/>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eastAsia="仿宋_GB2312" w:asciiTheme="minorHAnsi" w:hAnsiTheme="minorHAnsi"/>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微软雅黑"/>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altName w:val="微软雅黑"/>
    <w:panose1 w:val="00000000000000000000"/>
    <w:charset w:val="86"/>
    <w:family w:val="modern"/>
    <w:pitch w:val="default"/>
    <w:sig w:usb0="00000000" w:usb1="00000000" w:usb2="00000016" w:usb3="00000000" w:csb0="00040001" w:csb1="00000000"/>
  </w:font>
  <w:font w:name="楷体">
    <w:altName w:val="楷体_GB2312"/>
    <w:panose1 w:val="00000000000000000000"/>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013B28"/>
    <w:rsid w:val="00110447"/>
    <w:rsid w:val="001C1108"/>
    <w:rsid w:val="001D17D9"/>
    <w:rsid w:val="00242B43"/>
    <w:rsid w:val="002F0A87"/>
    <w:rsid w:val="0030274E"/>
    <w:rsid w:val="003028E7"/>
    <w:rsid w:val="003478B7"/>
    <w:rsid w:val="003535E2"/>
    <w:rsid w:val="00390020"/>
    <w:rsid w:val="003A4022"/>
    <w:rsid w:val="003B7F5E"/>
    <w:rsid w:val="003C5AA8"/>
    <w:rsid w:val="00413C72"/>
    <w:rsid w:val="004C0427"/>
    <w:rsid w:val="005C1732"/>
    <w:rsid w:val="005C3BF8"/>
    <w:rsid w:val="005E5C3B"/>
    <w:rsid w:val="00613E3D"/>
    <w:rsid w:val="006E5C3B"/>
    <w:rsid w:val="007B09BF"/>
    <w:rsid w:val="00880B0D"/>
    <w:rsid w:val="008C116C"/>
    <w:rsid w:val="00924000"/>
    <w:rsid w:val="0099052F"/>
    <w:rsid w:val="009F0436"/>
    <w:rsid w:val="00A3333D"/>
    <w:rsid w:val="00A84748"/>
    <w:rsid w:val="00B60DD1"/>
    <w:rsid w:val="00B707D6"/>
    <w:rsid w:val="00B85354"/>
    <w:rsid w:val="00BF74CE"/>
    <w:rsid w:val="00C339C7"/>
    <w:rsid w:val="00C378F4"/>
    <w:rsid w:val="00C501D0"/>
    <w:rsid w:val="00E807F2"/>
    <w:rsid w:val="00E83056"/>
    <w:rsid w:val="00EF6DA4"/>
    <w:rsid w:val="00F10174"/>
    <w:rsid w:val="00F16EA0"/>
    <w:rsid w:val="00F73361"/>
    <w:rsid w:val="00F76B34"/>
    <w:rsid w:val="010E3361"/>
    <w:rsid w:val="068B7849"/>
    <w:rsid w:val="086C1E64"/>
    <w:rsid w:val="08E92387"/>
    <w:rsid w:val="09533503"/>
    <w:rsid w:val="09F56D6B"/>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BFC6DCC"/>
    <w:rsid w:val="3C7A6DAB"/>
    <w:rsid w:val="3D904069"/>
    <w:rsid w:val="3FCA23EC"/>
    <w:rsid w:val="410431E5"/>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D0C0F71"/>
    <w:rsid w:val="6EAC6681"/>
    <w:rsid w:val="6F094735"/>
    <w:rsid w:val="71840673"/>
    <w:rsid w:val="72397846"/>
    <w:rsid w:val="73431FE5"/>
    <w:rsid w:val="778B0394"/>
    <w:rsid w:val="7B6D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Balloon Text"/>
    <w:basedOn w:val="1"/>
    <w:link w:val="18"/>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批注框文本 Char"/>
    <w:basedOn w:val="9"/>
    <w:link w:val="3"/>
    <w:uiPriority w:val="0"/>
    <w:rPr>
      <w:rFonts w:ascii="Calibri" w:hAnsi="Calibri" w:eastAsia="方正仿宋简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1228</Words>
  <Characters>7001</Characters>
  <Lines>58</Lines>
  <Paragraphs>16</Paragraphs>
  <TotalTime>307</TotalTime>
  <ScaleCrop>false</ScaleCrop>
  <LinksUpToDate>false</LinksUpToDate>
  <CharactersWithSpaces>8213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Adiministraor</cp:lastModifiedBy>
  <cp:lastPrinted>2020-10-09T08:01:00Z</cp:lastPrinted>
  <dcterms:modified xsi:type="dcterms:W3CDTF">2020-10-23T09:43:17Z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