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AAD" w:rsidRDefault="00465AAD">
      <w:pPr>
        <w:rPr>
          <w:rFonts w:ascii="黑体" w:eastAsia="黑体" w:hAnsi="黑体"/>
          <w:szCs w:val="32"/>
        </w:rPr>
      </w:pPr>
    </w:p>
    <w:p w:rsidR="00465AAD" w:rsidRDefault="00465AAD">
      <w:pPr>
        <w:rPr>
          <w:rFonts w:ascii="黑体" w:eastAsia="黑体" w:hAnsi="黑体"/>
          <w:szCs w:val="32"/>
        </w:rPr>
      </w:pPr>
    </w:p>
    <w:p w:rsidR="00465AAD" w:rsidRDefault="00465AAD">
      <w:pPr>
        <w:rPr>
          <w:rFonts w:ascii="黑体" w:eastAsia="黑体" w:hAnsi="黑体"/>
          <w:szCs w:val="32"/>
        </w:rPr>
      </w:pPr>
    </w:p>
    <w:p w:rsidR="00465AAD" w:rsidRDefault="00465AAD">
      <w:pPr>
        <w:jc w:val="center"/>
        <w:rPr>
          <w:rFonts w:ascii="宋体" w:hAnsi="宋体" w:cs="宋体"/>
          <w:b/>
          <w:bCs/>
          <w:sz w:val="44"/>
          <w:szCs w:val="44"/>
        </w:rPr>
      </w:pPr>
    </w:p>
    <w:p w:rsidR="00465AAD" w:rsidRDefault="00465AAD">
      <w:pPr>
        <w:spacing w:line="440" w:lineRule="exact"/>
        <w:jc w:val="center"/>
        <w:rPr>
          <w:rFonts w:ascii="宋体" w:hAnsi="宋体" w:cs="宋体"/>
          <w:b/>
          <w:bCs/>
          <w:sz w:val="44"/>
          <w:szCs w:val="44"/>
        </w:rPr>
      </w:pPr>
    </w:p>
    <w:p w:rsidR="00465AAD" w:rsidRDefault="00465AAD">
      <w:pPr>
        <w:pStyle w:val="a7"/>
        <w:shd w:val="clear" w:color="auto" w:fill="FFFFFF"/>
        <w:spacing w:before="0" w:beforeAutospacing="0" w:after="0" w:afterAutospacing="0"/>
        <w:jc w:val="center"/>
        <w:rPr>
          <w:rStyle w:val="a8"/>
          <w:sz w:val="36"/>
          <w:szCs w:val="36"/>
        </w:rPr>
      </w:pPr>
    </w:p>
    <w:p w:rsidR="00465AAD" w:rsidRDefault="002A1236">
      <w:pPr>
        <w:pStyle w:val="a7"/>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sz w:val="44"/>
          <w:szCs w:val="44"/>
        </w:rPr>
      </w:pPr>
      <w:r>
        <w:rPr>
          <w:rStyle w:val="a8"/>
          <w:rFonts w:ascii="方正小标宋简体" w:eastAsia="方正小标宋简体" w:hAnsi="方正小标宋简体" w:cs="方正小标宋简体" w:hint="eastAsia"/>
          <w:sz w:val="44"/>
          <w:szCs w:val="44"/>
        </w:rPr>
        <w:t>阎良区中小学卫生保健所</w:t>
      </w:r>
    </w:p>
    <w:p w:rsidR="00465AAD" w:rsidRDefault="002A1236">
      <w:pPr>
        <w:pStyle w:val="a7"/>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r>
        <w:rPr>
          <w:rStyle w:val="a8"/>
          <w:rFonts w:ascii="方正小标宋简体" w:eastAsia="方正小标宋简体" w:hAnsi="方正小标宋简体" w:cs="方正小标宋简体" w:hint="eastAsia"/>
          <w:color w:val="000000"/>
          <w:sz w:val="44"/>
          <w:szCs w:val="44"/>
        </w:rPr>
        <w:t>2019年度部门决算</w:t>
      </w:r>
    </w:p>
    <w:p w:rsidR="00465AAD" w:rsidRDefault="00465AAD">
      <w:pPr>
        <w:pStyle w:val="a7"/>
        <w:shd w:val="clear" w:color="auto" w:fill="FFFFFF"/>
        <w:spacing w:before="0" w:beforeAutospacing="0" w:after="0" w:afterAutospacing="0" w:line="520" w:lineRule="exact"/>
        <w:rPr>
          <w:rStyle w:val="a8"/>
          <w:rFonts w:ascii="方正小标宋简体" w:eastAsia="方正小标宋简体" w:hAnsi="方正小标宋简体" w:cs="方正小标宋简体"/>
          <w:b w:val="0"/>
          <w:bCs w:val="0"/>
          <w:color w:val="000000"/>
          <w:sz w:val="44"/>
          <w:szCs w:val="44"/>
        </w:rPr>
      </w:pPr>
    </w:p>
    <w:p w:rsidR="00465AAD" w:rsidRDefault="00465AAD">
      <w:pPr>
        <w:spacing w:line="560" w:lineRule="exact"/>
        <w:jc w:val="center"/>
        <w:rPr>
          <w:rFonts w:asciiTheme="majorEastAsia" w:eastAsiaTheme="majorEastAsia" w:hAnsiTheme="majorEastAsia" w:cstheme="majorEastAsia"/>
          <w:b/>
          <w:bCs/>
          <w:sz w:val="44"/>
          <w:szCs w:val="44"/>
        </w:rPr>
      </w:pPr>
    </w:p>
    <w:p w:rsidR="00465AAD" w:rsidRDefault="00465AAD">
      <w:pPr>
        <w:spacing w:line="560" w:lineRule="exact"/>
        <w:jc w:val="center"/>
        <w:rPr>
          <w:rFonts w:asciiTheme="majorEastAsia" w:eastAsiaTheme="majorEastAsia" w:hAnsiTheme="majorEastAsia" w:cstheme="majorEastAsia"/>
          <w:b/>
          <w:bCs/>
          <w:sz w:val="44"/>
          <w:szCs w:val="44"/>
        </w:rPr>
      </w:pPr>
    </w:p>
    <w:p w:rsidR="00465AAD" w:rsidRDefault="00465AAD">
      <w:pPr>
        <w:spacing w:line="560" w:lineRule="exact"/>
        <w:jc w:val="center"/>
        <w:rPr>
          <w:rFonts w:asciiTheme="majorEastAsia" w:eastAsiaTheme="majorEastAsia" w:hAnsiTheme="majorEastAsia" w:cstheme="majorEastAsia"/>
          <w:b/>
          <w:bCs/>
          <w:sz w:val="44"/>
          <w:szCs w:val="44"/>
        </w:rPr>
      </w:pPr>
    </w:p>
    <w:p w:rsidR="00465AAD" w:rsidRDefault="00465AAD">
      <w:pPr>
        <w:spacing w:line="560" w:lineRule="exact"/>
        <w:jc w:val="center"/>
        <w:rPr>
          <w:rFonts w:asciiTheme="majorEastAsia" w:eastAsiaTheme="majorEastAsia" w:hAnsiTheme="majorEastAsia" w:cstheme="majorEastAsia"/>
          <w:b/>
          <w:bCs/>
          <w:sz w:val="44"/>
          <w:szCs w:val="44"/>
        </w:rPr>
      </w:pPr>
      <w:bookmarkStart w:id="0" w:name="_GoBack"/>
      <w:bookmarkEnd w:id="0"/>
    </w:p>
    <w:p w:rsidR="00465AAD" w:rsidRDefault="00465AAD">
      <w:pPr>
        <w:spacing w:line="560" w:lineRule="exact"/>
        <w:rPr>
          <w:rFonts w:asciiTheme="majorEastAsia" w:eastAsiaTheme="majorEastAsia" w:hAnsiTheme="majorEastAsia" w:cstheme="majorEastAsia"/>
          <w:b/>
          <w:bCs/>
          <w:sz w:val="44"/>
          <w:szCs w:val="44"/>
        </w:rPr>
      </w:pPr>
    </w:p>
    <w:p w:rsidR="00465AAD" w:rsidRDefault="00465AAD">
      <w:pPr>
        <w:spacing w:line="560" w:lineRule="exact"/>
        <w:rPr>
          <w:rFonts w:asciiTheme="majorEastAsia" w:eastAsiaTheme="majorEastAsia" w:hAnsiTheme="majorEastAsia" w:cstheme="majorEastAsia"/>
          <w:b/>
          <w:bCs/>
          <w:sz w:val="44"/>
          <w:szCs w:val="44"/>
        </w:rPr>
      </w:pPr>
    </w:p>
    <w:p w:rsidR="00465AAD" w:rsidRDefault="00465AAD">
      <w:pPr>
        <w:spacing w:line="560" w:lineRule="exact"/>
        <w:rPr>
          <w:rFonts w:asciiTheme="majorEastAsia" w:eastAsiaTheme="majorEastAsia" w:hAnsiTheme="majorEastAsia" w:cstheme="majorEastAsia"/>
          <w:b/>
          <w:bCs/>
          <w:sz w:val="44"/>
          <w:szCs w:val="44"/>
        </w:rPr>
      </w:pPr>
    </w:p>
    <w:p w:rsidR="00465AAD" w:rsidRDefault="00465AAD">
      <w:pPr>
        <w:spacing w:line="560" w:lineRule="exact"/>
        <w:rPr>
          <w:rFonts w:asciiTheme="majorEastAsia" w:eastAsiaTheme="majorEastAsia" w:hAnsiTheme="majorEastAsia" w:cstheme="majorEastAsia"/>
          <w:b/>
          <w:bCs/>
          <w:sz w:val="44"/>
          <w:szCs w:val="44"/>
        </w:rPr>
      </w:pPr>
    </w:p>
    <w:p w:rsidR="00465AAD" w:rsidRDefault="00465AAD">
      <w:pPr>
        <w:spacing w:line="560" w:lineRule="exact"/>
        <w:rPr>
          <w:rFonts w:asciiTheme="majorEastAsia" w:eastAsiaTheme="majorEastAsia" w:hAnsiTheme="majorEastAsia" w:cstheme="majorEastAsia"/>
          <w:b/>
          <w:bCs/>
          <w:sz w:val="44"/>
          <w:szCs w:val="44"/>
        </w:rPr>
      </w:pPr>
    </w:p>
    <w:p w:rsidR="00465AAD" w:rsidRDefault="00465AAD">
      <w:pPr>
        <w:spacing w:line="560" w:lineRule="exact"/>
        <w:rPr>
          <w:rFonts w:asciiTheme="majorEastAsia" w:eastAsiaTheme="majorEastAsia" w:hAnsiTheme="majorEastAsia" w:cstheme="majorEastAsia"/>
          <w:b/>
          <w:bCs/>
          <w:sz w:val="44"/>
          <w:szCs w:val="44"/>
        </w:rPr>
      </w:pPr>
    </w:p>
    <w:p w:rsidR="00465AAD" w:rsidRDefault="00465AAD">
      <w:pPr>
        <w:spacing w:line="560" w:lineRule="exact"/>
        <w:rPr>
          <w:rFonts w:asciiTheme="majorEastAsia" w:eastAsiaTheme="majorEastAsia" w:hAnsiTheme="majorEastAsia" w:cstheme="majorEastAsia"/>
          <w:b/>
          <w:bCs/>
          <w:sz w:val="44"/>
          <w:szCs w:val="44"/>
        </w:rPr>
      </w:pPr>
    </w:p>
    <w:p w:rsidR="00465AAD" w:rsidRDefault="00465AAD">
      <w:pPr>
        <w:spacing w:line="560" w:lineRule="exact"/>
        <w:rPr>
          <w:rFonts w:asciiTheme="majorEastAsia" w:eastAsiaTheme="majorEastAsia" w:hAnsiTheme="majorEastAsia" w:cstheme="majorEastAsia"/>
          <w:b/>
          <w:bCs/>
          <w:sz w:val="44"/>
          <w:szCs w:val="44"/>
        </w:rPr>
      </w:pPr>
    </w:p>
    <w:p w:rsidR="00465AAD" w:rsidRDefault="00465AAD">
      <w:pPr>
        <w:spacing w:line="400" w:lineRule="exact"/>
        <w:ind w:firstLineChars="800" w:firstLine="2570"/>
        <w:rPr>
          <w:rFonts w:asciiTheme="majorEastAsia" w:eastAsiaTheme="majorEastAsia" w:hAnsiTheme="majorEastAsia" w:cstheme="majorEastAsia"/>
          <w:b/>
          <w:bCs/>
          <w:szCs w:val="32"/>
        </w:rPr>
      </w:pPr>
    </w:p>
    <w:p w:rsidR="00465AAD" w:rsidRDefault="00465AAD">
      <w:pPr>
        <w:spacing w:line="400" w:lineRule="exact"/>
        <w:ind w:firstLineChars="800" w:firstLine="2570"/>
        <w:rPr>
          <w:rFonts w:asciiTheme="majorEastAsia" w:eastAsiaTheme="majorEastAsia" w:hAnsiTheme="majorEastAsia" w:cstheme="majorEastAsia"/>
          <w:b/>
          <w:bCs/>
          <w:szCs w:val="32"/>
        </w:rPr>
      </w:pPr>
    </w:p>
    <w:p w:rsidR="00465AAD" w:rsidRDefault="002A1236">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保密审查情况：已审查</w:t>
      </w:r>
    </w:p>
    <w:p w:rsidR="00465AAD" w:rsidRDefault="00465AAD">
      <w:pPr>
        <w:spacing w:line="400" w:lineRule="exact"/>
        <w:jc w:val="center"/>
        <w:rPr>
          <w:rFonts w:asciiTheme="minorEastAsia" w:eastAsiaTheme="minorEastAsia" w:hAnsiTheme="minorEastAsia" w:cstheme="minorEastAsia"/>
          <w:b/>
          <w:bCs/>
          <w:szCs w:val="32"/>
        </w:rPr>
      </w:pPr>
    </w:p>
    <w:p w:rsidR="00465AAD" w:rsidRDefault="002A1236">
      <w:pPr>
        <w:spacing w:line="400" w:lineRule="exact"/>
        <w:ind w:firstLineChars="650" w:firstLine="2088"/>
        <w:rPr>
          <w:rFonts w:ascii="宋体" w:eastAsiaTheme="minorEastAsia" w:hAnsi="宋体" w:cs="宋体"/>
          <w:b/>
          <w:bCs/>
          <w:szCs w:val="32"/>
        </w:rPr>
      </w:pPr>
      <w:r>
        <w:rPr>
          <w:rFonts w:asciiTheme="minorEastAsia" w:eastAsiaTheme="minorEastAsia" w:hAnsiTheme="minorEastAsia" w:cstheme="minorEastAsia" w:hint="eastAsia"/>
          <w:b/>
          <w:bCs/>
          <w:szCs w:val="32"/>
        </w:rPr>
        <w:t>部门主要负责人审签情况：张文辉已审签</w:t>
      </w:r>
    </w:p>
    <w:p w:rsidR="00465AAD" w:rsidRDefault="00465AAD">
      <w:pPr>
        <w:jc w:val="center"/>
        <w:rPr>
          <w:rFonts w:ascii="黑体" w:eastAsia="黑体" w:hAnsi="宋体"/>
          <w:b/>
          <w:color w:val="000000"/>
          <w:kern w:val="0"/>
          <w:sz w:val="56"/>
          <w:szCs w:val="56"/>
        </w:rPr>
      </w:pPr>
    </w:p>
    <w:p w:rsidR="00465AAD" w:rsidRDefault="002A1236">
      <w:pPr>
        <w:jc w:val="center"/>
        <w:rPr>
          <w:rFonts w:ascii="黑体" w:eastAsia="黑体" w:hAnsi="宋体"/>
          <w:bCs/>
          <w:color w:val="000000"/>
          <w:kern w:val="0"/>
          <w:sz w:val="36"/>
          <w:szCs w:val="36"/>
        </w:rPr>
      </w:pPr>
      <w:r>
        <w:rPr>
          <w:rFonts w:ascii="黑体" w:eastAsia="黑体" w:hAnsi="宋体"/>
          <w:bCs/>
          <w:color w:val="000000"/>
          <w:kern w:val="0"/>
          <w:sz w:val="36"/>
          <w:szCs w:val="36"/>
        </w:rPr>
        <w:t>目录</w:t>
      </w:r>
    </w:p>
    <w:p w:rsidR="00465AAD" w:rsidRDefault="00465AAD">
      <w:pPr>
        <w:jc w:val="center"/>
        <w:rPr>
          <w:rFonts w:ascii="黑体" w:eastAsia="黑体" w:hAnsi="宋体"/>
          <w:bCs/>
          <w:color w:val="000000"/>
          <w:kern w:val="0"/>
          <w:sz w:val="36"/>
          <w:szCs w:val="36"/>
        </w:rPr>
      </w:pPr>
    </w:p>
    <w:p w:rsidR="00465AAD" w:rsidRDefault="002A1236">
      <w:pPr>
        <w:widowControl/>
        <w:jc w:val="center"/>
      </w:pPr>
      <w:r>
        <w:rPr>
          <w:rFonts w:ascii="黑体" w:eastAsia="黑体" w:hAnsi="宋体" w:hint="eastAsia"/>
          <w:color w:val="000000"/>
          <w:kern w:val="0"/>
          <w:szCs w:val="32"/>
        </w:rPr>
        <w:t>第一部分 部门概况</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465AAD" w:rsidRDefault="002A1236">
      <w:pPr>
        <w:widowControl/>
        <w:jc w:val="center"/>
      </w:pPr>
      <w:r>
        <w:rPr>
          <w:rFonts w:ascii="黑体" w:eastAsia="黑体" w:hAnsi="宋体" w:hint="eastAsia"/>
          <w:color w:val="000000"/>
          <w:kern w:val="0"/>
          <w:szCs w:val="32"/>
        </w:rPr>
        <w:t>第二部分  2019年度部门决算表</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465AAD" w:rsidRDefault="002A1236">
      <w:pPr>
        <w:widowControl/>
        <w:ind w:left="640" w:hangingChars="200" w:hanging="640"/>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465AAD" w:rsidRDefault="002A1236">
      <w:pPr>
        <w:widowControl/>
        <w:jc w:val="center"/>
      </w:pPr>
      <w:r>
        <w:rPr>
          <w:rFonts w:ascii="黑体" w:eastAsia="黑体" w:hAnsi="宋体" w:hint="eastAsia"/>
          <w:color w:val="000000"/>
          <w:kern w:val="0"/>
          <w:szCs w:val="32"/>
        </w:rPr>
        <w:t>第三部分 2019年度部门决算情况说明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465AAD" w:rsidRDefault="002A1236">
      <w:pPr>
        <w:widowControl/>
        <w:jc w:val="left"/>
        <w:rPr>
          <w:rFonts w:ascii="楷体" w:eastAsia="楷体" w:hAnsi="楷体" w:cs="楷体"/>
        </w:rPr>
      </w:pPr>
      <w:r>
        <w:rPr>
          <w:rFonts w:ascii="仿宋" w:eastAsia="仿宋" w:hAnsi="仿宋" w:cs="楷体" w:hint="eastAsia"/>
          <w:color w:val="000000"/>
          <w:kern w:val="0"/>
          <w:szCs w:val="32"/>
        </w:rPr>
        <w:t>四、财政拨款收入支出决算总体情况说明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五、一般公共预算财政拨款支出决算情况说明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（一）财政拨款支出决算总体情况说明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（二）财政拨款支出决算具体情况说明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（一）“三公”经费财政拨款支出决算总体情况说明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（二）“三公”经费财政拨款支出决算具体情况说明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（三）培训费支出情况说明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（四）会议费支出情况说明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十、预算绩效情况说明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（一）预算绩效管理工作开展情况说明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（二）部门决算中项目绩效自评结果</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（三）部门决算中整体支出绩效自评结果</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 十一、其他重要事项说明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（一）机关运行经费支出情况说明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（二）政府采购支出情况说明</w:t>
      </w:r>
    </w:p>
    <w:p w:rsidR="00465AAD" w:rsidRDefault="002A123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（三）国有资产占用及购置情况说明</w:t>
      </w:r>
    </w:p>
    <w:p w:rsidR="00465AAD" w:rsidRDefault="002A1236">
      <w:pPr>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465AAD" w:rsidRDefault="00465AAD">
      <w:pPr>
        <w:rPr>
          <w:rFonts w:ascii="黑体" w:eastAsia="黑体" w:hAnsi="宋体"/>
          <w:color w:val="000000"/>
          <w:kern w:val="0"/>
          <w:szCs w:val="32"/>
        </w:rPr>
      </w:pPr>
    </w:p>
    <w:p w:rsidR="00465AAD" w:rsidRDefault="002A1236">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部门</w:t>
      </w:r>
      <w:r>
        <w:rPr>
          <w:rFonts w:ascii="黑体" w:eastAsia="黑体" w:hAnsi="宋体"/>
          <w:color w:val="000000"/>
          <w:kern w:val="0"/>
          <w:sz w:val="44"/>
          <w:szCs w:val="44"/>
        </w:rPr>
        <w:t>概况</w:t>
      </w:r>
    </w:p>
    <w:p w:rsidR="00465AAD" w:rsidRDefault="002A1236">
      <w:pPr>
        <w:pStyle w:val="a7"/>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一、部门主要职责及内设机构</w:t>
      </w:r>
    </w:p>
    <w:p w:rsidR="00465AAD" w:rsidRDefault="002A1236">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465AAD" w:rsidRDefault="002A1236">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为辖区内中小学提供保健服务。指导学校开展健康教育、传染病、常见病防治、健康监测等方面卫生工作。对基层学校卫生人员、校医等定期培训和考察；配合或协助有关部门对学校食品卫生进行检查</w:t>
      </w:r>
    </w:p>
    <w:p w:rsidR="00465AAD" w:rsidRDefault="002A1236">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465AAD" w:rsidRDefault="002A1236">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无</w:t>
      </w:r>
    </w:p>
    <w:p w:rsidR="00465AAD" w:rsidRDefault="002A1236">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465AAD" w:rsidRDefault="002A1236">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纳入2019年度本部门决算编制范围的单位共1个，包括本级，无下属单位：</w:t>
      </w:r>
    </w:p>
    <w:tbl>
      <w:tblPr>
        <w:tblStyle w:val="a9"/>
        <w:tblW w:w="8959" w:type="dxa"/>
        <w:tblLayout w:type="fixed"/>
        <w:tblLook w:val="04A0"/>
      </w:tblPr>
      <w:tblGrid>
        <w:gridCol w:w="1681"/>
        <w:gridCol w:w="7278"/>
      </w:tblGrid>
      <w:tr w:rsidR="00465AAD">
        <w:trPr>
          <w:trHeight w:val="678"/>
        </w:trPr>
        <w:tc>
          <w:tcPr>
            <w:tcW w:w="1681" w:type="dxa"/>
            <w:vAlign w:val="center"/>
          </w:tcPr>
          <w:p w:rsidR="00465AAD" w:rsidRDefault="002A1236">
            <w:pPr>
              <w:jc w:val="center"/>
              <w:rPr>
                <w:rFonts w:ascii="黑体" w:eastAsia="黑体" w:hAnsi="黑体"/>
                <w:szCs w:val="32"/>
              </w:rPr>
            </w:pPr>
            <w:r>
              <w:rPr>
                <w:rFonts w:ascii="黑体" w:eastAsia="黑体" w:hAnsi="黑体" w:hint="eastAsia"/>
                <w:szCs w:val="32"/>
              </w:rPr>
              <w:t>序号</w:t>
            </w:r>
          </w:p>
        </w:tc>
        <w:tc>
          <w:tcPr>
            <w:tcW w:w="7278" w:type="dxa"/>
            <w:vAlign w:val="center"/>
          </w:tcPr>
          <w:p w:rsidR="00465AAD" w:rsidRDefault="002A1236">
            <w:pPr>
              <w:jc w:val="center"/>
              <w:rPr>
                <w:rFonts w:ascii="黑体" w:eastAsia="黑体" w:hAnsi="黑体"/>
                <w:szCs w:val="32"/>
              </w:rPr>
            </w:pPr>
            <w:r>
              <w:rPr>
                <w:rFonts w:ascii="黑体" w:eastAsia="黑体" w:hAnsi="黑体" w:hint="eastAsia"/>
                <w:szCs w:val="32"/>
              </w:rPr>
              <w:t>单位名称</w:t>
            </w:r>
          </w:p>
        </w:tc>
      </w:tr>
      <w:tr w:rsidR="00465AAD">
        <w:trPr>
          <w:trHeight w:val="678"/>
        </w:trPr>
        <w:tc>
          <w:tcPr>
            <w:tcW w:w="1681" w:type="dxa"/>
            <w:vAlign w:val="center"/>
          </w:tcPr>
          <w:p w:rsidR="00465AAD" w:rsidRDefault="002A1236">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rsidR="00465AAD" w:rsidRDefault="002A1236">
            <w:pPr>
              <w:jc w:val="center"/>
              <w:rPr>
                <w:rFonts w:ascii="仿宋_GB2312" w:eastAsia="仿宋_GB2312" w:hAnsi="仿宋_GB2312" w:cs="仿宋_GB2312"/>
                <w:szCs w:val="32"/>
              </w:rPr>
            </w:pPr>
            <w:r>
              <w:rPr>
                <w:rFonts w:ascii="仿宋_GB2312" w:eastAsia="仿宋_GB2312" w:hAnsi="仿宋_GB2312" w:cs="仿宋_GB2312" w:hint="eastAsia"/>
                <w:szCs w:val="32"/>
              </w:rPr>
              <w:t>西安市阎良区中小学卫生保健所本级</w:t>
            </w:r>
          </w:p>
        </w:tc>
      </w:tr>
      <w:tr w:rsidR="00465AAD">
        <w:trPr>
          <w:trHeight w:val="678"/>
        </w:trPr>
        <w:tc>
          <w:tcPr>
            <w:tcW w:w="1681" w:type="dxa"/>
            <w:vAlign w:val="center"/>
          </w:tcPr>
          <w:p w:rsidR="00465AAD" w:rsidRDefault="002A1236">
            <w:pPr>
              <w:jc w:val="center"/>
              <w:rPr>
                <w:rFonts w:ascii="仿宋_GB2312" w:eastAsia="仿宋_GB2312" w:hAnsi="仿宋_GB2312" w:cs="仿宋_GB2312"/>
                <w:szCs w:val="32"/>
              </w:rPr>
            </w:pPr>
            <w:r>
              <w:rPr>
                <w:rFonts w:ascii="仿宋_GB2312" w:eastAsia="仿宋_GB2312" w:hAnsi="仿宋_GB2312" w:cs="仿宋_GB2312" w:hint="eastAsia"/>
                <w:szCs w:val="32"/>
              </w:rPr>
              <w:t>2</w:t>
            </w:r>
          </w:p>
        </w:tc>
        <w:tc>
          <w:tcPr>
            <w:tcW w:w="7278" w:type="dxa"/>
            <w:vAlign w:val="center"/>
          </w:tcPr>
          <w:p w:rsidR="00465AAD" w:rsidRDefault="00465AAD">
            <w:pPr>
              <w:jc w:val="center"/>
              <w:rPr>
                <w:rFonts w:ascii="仿宋_GB2312" w:eastAsia="仿宋_GB2312" w:hAnsi="仿宋_GB2312" w:cs="仿宋_GB2312"/>
                <w:szCs w:val="32"/>
              </w:rPr>
            </w:pPr>
          </w:p>
        </w:tc>
      </w:tr>
    </w:tbl>
    <w:p w:rsidR="00465AAD" w:rsidRDefault="002A1236">
      <w:pPr>
        <w:ind w:firstLineChars="200" w:firstLine="643"/>
        <w:rPr>
          <w:rFonts w:ascii="黑体" w:eastAsia="黑体" w:hAnsi="黑体"/>
          <w:b/>
          <w:bCs/>
          <w:szCs w:val="32"/>
        </w:rPr>
      </w:pPr>
      <w:r>
        <w:rPr>
          <w:rFonts w:ascii="黑体" w:eastAsia="黑体" w:hAnsi="黑体" w:hint="eastAsia"/>
          <w:b/>
          <w:bCs/>
          <w:szCs w:val="32"/>
        </w:rPr>
        <w:t>三、部门人员情况</w:t>
      </w:r>
    </w:p>
    <w:p w:rsidR="00465AAD" w:rsidRDefault="002A1236">
      <w:pPr>
        <w:spacing w:line="560" w:lineRule="exact"/>
        <w:ind w:firstLine="641"/>
        <w:rPr>
          <w:rFonts w:ascii="仿宋_GB2312" w:eastAsia="仿宋_GB2312" w:hAnsi="仿宋_GB2312" w:cs="仿宋_GB2312"/>
          <w:szCs w:val="32"/>
        </w:rPr>
      </w:pPr>
      <w:r>
        <w:rPr>
          <w:rFonts w:ascii="仿宋_GB2312" w:eastAsia="仿宋_GB2312" w:hAnsi="仿宋_GB2312" w:cs="仿宋_GB2312" w:hint="eastAsia"/>
          <w:szCs w:val="32"/>
        </w:rPr>
        <w:t>截止2019年底，本部门人员编制6人，其中行政编制0人、事业编制6人；实有人员6人，其中行政0人、事业6人。单位管理的离退休人员0人。</w:t>
      </w:r>
    </w:p>
    <w:p w:rsidR="00465AAD" w:rsidRDefault="00465AAD">
      <w:pPr>
        <w:adjustRightInd w:val="0"/>
        <w:snapToGrid w:val="0"/>
        <w:spacing w:line="360" w:lineRule="auto"/>
        <w:rPr>
          <w:rFonts w:ascii="仿宋_GB2312" w:eastAsia="仿宋_GB2312" w:hAnsi="仿宋_GB2312" w:cs="仿宋_GB2312"/>
          <w:szCs w:val="32"/>
        </w:rPr>
      </w:pPr>
    </w:p>
    <w:p w:rsidR="00465AAD" w:rsidRDefault="002A1236">
      <w:pPr>
        <w:adjustRightInd w:val="0"/>
        <w:snapToGrid w:val="0"/>
        <w:spacing w:line="360" w:lineRule="auto"/>
        <w:ind w:firstLine="641"/>
        <w:rPr>
          <w:rFonts w:ascii="仿宋_GB2312" w:eastAsia="仿宋_GB2312" w:hAnsi="仿宋_GB2312" w:cs="仿宋_GB2312"/>
          <w:szCs w:val="32"/>
        </w:rPr>
      </w:pPr>
      <w:r>
        <w:rPr>
          <w:rFonts w:ascii="仿宋_GB2312" w:eastAsia="仿宋_GB2312" w:hAnsi="仿宋_GB2312" w:cs="仿宋_GB2312"/>
          <w:noProof/>
          <w:szCs w:val="32"/>
        </w:rPr>
        <w:lastRenderedPageBreak/>
        <w:drawing>
          <wp:inline distT="0" distB="0" distL="0" distR="0">
            <wp:extent cx="4572000" cy="274320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65AAD" w:rsidRDefault="00465AAD">
      <w:pPr>
        <w:adjustRightInd w:val="0"/>
        <w:snapToGrid w:val="0"/>
        <w:spacing w:line="360" w:lineRule="auto"/>
        <w:rPr>
          <w:rFonts w:ascii="仿宋_GB2312" w:eastAsia="仿宋_GB2312" w:hAnsi="仿宋_GB2312" w:cs="仿宋_GB2312"/>
          <w:szCs w:val="32"/>
        </w:rPr>
      </w:pPr>
    </w:p>
    <w:p w:rsidR="00465AAD" w:rsidRDefault="002A1236">
      <w:pPr>
        <w:widowControl/>
        <w:jc w:val="center"/>
        <w:rPr>
          <w:sz w:val="44"/>
          <w:szCs w:val="44"/>
        </w:rPr>
      </w:pPr>
      <w:r>
        <w:rPr>
          <w:rFonts w:ascii="黑体" w:eastAsia="黑体" w:hAnsi="宋体"/>
          <w:color w:val="000000"/>
          <w:kern w:val="0"/>
          <w:sz w:val="44"/>
          <w:szCs w:val="44"/>
        </w:rPr>
        <w:t>第二部分 2019年度部门决算表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tblPr>
      <w:tblGrid>
        <w:gridCol w:w="570"/>
        <w:gridCol w:w="6240"/>
        <w:gridCol w:w="660"/>
        <w:gridCol w:w="1740"/>
      </w:tblGrid>
      <w:tr w:rsidR="00465AAD">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465AAD" w:rsidRDefault="002A1236">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465AAD">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465AAD">
            <w:pPr>
              <w:jc w:val="center"/>
              <w:rPr>
                <w:rFonts w:ascii="宋体" w:hAnsi="宋体" w:cs="宋体"/>
                <w:color w:val="000000"/>
                <w:sz w:val="24"/>
              </w:rPr>
            </w:pPr>
          </w:p>
        </w:tc>
      </w:tr>
      <w:tr w:rsidR="00465AAD">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5AAD" w:rsidRDefault="002A1236">
            <w:pPr>
              <w:jc w:val="cente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465AAD">
            <w:pPr>
              <w:jc w:val="center"/>
              <w:rPr>
                <w:rFonts w:ascii="宋体" w:hAnsi="宋体" w:cs="宋体"/>
                <w:color w:val="000000"/>
                <w:sz w:val="24"/>
              </w:rPr>
            </w:pPr>
          </w:p>
        </w:tc>
      </w:tr>
      <w:tr w:rsidR="00465AAD">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5AAD" w:rsidRDefault="002A1236">
            <w:pPr>
              <w:jc w:val="cente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465AAD">
            <w:pPr>
              <w:jc w:val="center"/>
              <w:rPr>
                <w:rFonts w:ascii="宋体" w:hAnsi="宋体" w:cs="宋体"/>
                <w:color w:val="000000"/>
                <w:sz w:val="24"/>
              </w:rPr>
            </w:pPr>
          </w:p>
        </w:tc>
      </w:tr>
      <w:tr w:rsidR="00465AAD">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5AAD" w:rsidRDefault="002A1236">
            <w:pPr>
              <w:jc w:val="cente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465AAD">
            <w:pPr>
              <w:jc w:val="center"/>
              <w:rPr>
                <w:rFonts w:ascii="宋体" w:hAnsi="宋体" w:cs="宋体"/>
                <w:color w:val="000000"/>
                <w:sz w:val="24"/>
              </w:rPr>
            </w:pPr>
          </w:p>
        </w:tc>
      </w:tr>
      <w:tr w:rsidR="00465AAD">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5AAD" w:rsidRDefault="002A1236">
            <w:pPr>
              <w:jc w:val="cente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465AAD">
            <w:pPr>
              <w:jc w:val="center"/>
              <w:rPr>
                <w:rFonts w:ascii="宋体" w:hAnsi="宋体" w:cs="宋体"/>
                <w:color w:val="000000"/>
                <w:sz w:val="24"/>
              </w:rPr>
            </w:pPr>
          </w:p>
        </w:tc>
      </w:tr>
      <w:tr w:rsidR="00465AAD">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65AAD" w:rsidRDefault="002A1236">
            <w:pPr>
              <w:jc w:val="cente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465AAD">
            <w:pPr>
              <w:jc w:val="center"/>
              <w:rPr>
                <w:rFonts w:ascii="宋体" w:hAnsi="宋体" w:cs="宋体"/>
                <w:color w:val="000000"/>
                <w:sz w:val="24"/>
              </w:rPr>
            </w:pPr>
          </w:p>
        </w:tc>
      </w:tr>
      <w:tr w:rsidR="00465AAD">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65AAD" w:rsidRDefault="002A1236">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65AAD" w:rsidRDefault="002A1236">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65AAD" w:rsidRDefault="002A1236">
            <w:pPr>
              <w:jc w:val="center"/>
              <w:rPr>
                <w:rFonts w:ascii="宋体" w:hAnsi="宋体" w:cs="宋体"/>
                <w:color w:val="000000"/>
                <w:sz w:val="24"/>
              </w:rPr>
            </w:pPr>
            <w:r>
              <w:rPr>
                <w:rFonts w:ascii="宋体" w:hAnsi="宋体" w:cs="宋体" w:hint="eastAsia"/>
                <w:color w:val="000000"/>
                <w:sz w:val="24"/>
              </w:rPr>
              <w:t>无此类支出</w:t>
            </w:r>
          </w:p>
        </w:tc>
      </w:tr>
      <w:tr w:rsidR="00465AAD">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widowControl/>
              <w:jc w:val="left"/>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w:t>
            </w:r>
          </w:p>
          <w:p w:rsidR="00465AAD" w:rsidRDefault="002A1236">
            <w:pPr>
              <w:widowControl/>
              <w:jc w:val="left"/>
              <w:rPr>
                <w:rFonts w:ascii="宋体" w:hAnsi="宋体" w:cs="宋体"/>
                <w:color w:val="000000"/>
                <w:sz w:val="21"/>
                <w:szCs w:val="21"/>
              </w:rPr>
            </w:pPr>
            <w:r>
              <w:rPr>
                <w:rFonts w:ascii="宋体" w:hAnsi="宋体" w:cs="宋体" w:hint="eastAsia"/>
                <w:color w:val="000000"/>
                <w:kern w:val="0"/>
                <w:sz w:val="21"/>
                <w:szCs w:val="21"/>
              </w:rPr>
              <w:t>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65AAD" w:rsidRDefault="002A1236">
            <w:pPr>
              <w:jc w:val="center"/>
              <w:rPr>
                <w:rFonts w:ascii="宋体" w:hAnsi="宋体" w:cs="宋体"/>
                <w:color w:val="000000"/>
                <w:sz w:val="24"/>
              </w:rPr>
            </w:pPr>
            <w:r>
              <w:rPr>
                <w:rFonts w:ascii="宋体" w:hAnsi="宋体" w:cs="宋体" w:hint="eastAsia"/>
                <w:color w:val="000000"/>
                <w:sz w:val="24"/>
              </w:rPr>
              <w:t>无政府性基金</w:t>
            </w:r>
          </w:p>
        </w:tc>
      </w:tr>
    </w:tbl>
    <w:p w:rsidR="00465AAD" w:rsidRDefault="00465AAD">
      <w:pPr>
        <w:widowControl/>
        <w:rPr>
          <w:rFonts w:ascii="黑体" w:eastAsia="黑体" w:hAnsi="宋体"/>
          <w:color w:val="000000"/>
          <w:kern w:val="0"/>
          <w:sz w:val="44"/>
          <w:szCs w:val="44"/>
        </w:rPr>
      </w:pPr>
    </w:p>
    <w:p w:rsidR="00465AAD" w:rsidRDefault="002A1236">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465AAD" w:rsidRDefault="002A1236">
      <w:pPr>
        <w:jc w:val="right"/>
        <w:rPr>
          <w:rFonts w:ascii="宋体" w:eastAsia="宋体" w:hAnsi="宋体" w:cs="宋体"/>
          <w:b/>
          <w:bCs/>
          <w:sz w:val="21"/>
          <w:szCs w:val="21"/>
        </w:rPr>
      </w:pPr>
      <w:r>
        <w:rPr>
          <w:rFonts w:ascii="宋体" w:eastAsia="宋体" w:hAnsi="宋体" w:cs="宋体" w:hint="eastAsia"/>
          <w:b/>
          <w:bCs/>
          <w:sz w:val="21"/>
          <w:szCs w:val="21"/>
        </w:rPr>
        <w:t>公开01表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编制部门：西安市阎良区中小学卫生保健所                           金额单位：万元</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465AAD">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465AAD">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465AA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r>
      <w:tr w:rsidR="00465AA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r>
      <w:tr w:rsidR="00465AA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465AAD">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r>
      <w:tr w:rsidR="00465AAD">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465AAD">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465AAD">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 xml:space="preserve">　</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r>
      <w:tr w:rsidR="00465AAD">
        <w:trPr>
          <w:trHeight w:val="415"/>
        </w:trPr>
        <w:tc>
          <w:tcPr>
            <w:tcW w:w="3388" w:type="dxa"/>
            <w:tcBorders>
              <w:top w:val="single" w:sz="4" w:space="0" w:color="000000"/>
              <w:left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3090" w:type="dxa"/>
            <w:tcBorders>
              <w:top w:val="single" w:sz="4" w:space="0" w:color="000000"/>
              <w:left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r>
      <w:tr w:rsidR="00465AAD">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309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r>
    </w:tbl>
    <w:p w:rsidR="00465AAD" w:rsidRDefault="002A1236">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465AAD" w:rsidRDefault="00465AAD"/>
    <w:p w:rsidR="00465AAD" w:rsidRDefault="00465AAD"/>
    <w:p w:rsidR="00465AAD" w:rsidRDefault="002A1236">
      <w:pPr>
        <w:jc w:val="center"/>
        <w:rPr>
          <w:rFonts w:ascii="宋体" w:eastAsia="宋体" w:hAnsi="宋体" w:cs="宋体"/>
          <w:b/>
          <w:bCs/>
          <w:szCs w:val="32"/>
        </w:rPr>
      </w:pPr>
      <w:r>
        <w:rPr>
          <w:rFonts w:ascii="宋体" w:eastAsia="宋体" w:hAnsi="宋体" w:cs="宋体" w:hint="eastAsia"/>
          <w:b/>
          <w:bCs/>
          <w:szCs w:val="32"/>
        </w:rPr>
        <w:lastRenderedPageBreak/>
        <w:t>收入决算表</w:t>
      </w:r>
    </w:p>
    <w:p w:rsidR="00465AAD" w:rsidRDefault="002A1236">
      <w:pPr>
        <w:ind w:firstLineChars="3450" w:firstLine="7273"/>
        <w:rPr>
          <w:rFonts w:ascii="宋体" w:eastAsia="宋体" w:hAnsi="宋体" w:cs="宋体"/>
          <w:b/>
          <w:bCs/>
          <w:sz w:val="21"/>
          <w:szCs w:val="21"/>
        </w:rPr>
      </w:pPr>
      <w:r>
        <w:rPr>
          <w:rFonts w:ascii="宋体" w:eastAsia="宋体" w:hAnsi="宋体" w:cs="宋体" w:hint="eastAsia"/>
          <w:b/>
          <w:bCs/>
          <w:sz w:val="21"/>
          <w:szCs w:val="21"/>
        </w:rPr>
        <w:t>公开02表</w:t>
      </w:r>
    </w:p>
    <w:p w:rsidR="00465AAD" w:rsidRDefault="002A1236">
      <w:pPr>
        <w:rPr>
          <w:rFonts w:ascii="宋体" w:eastAsia="宋体" w:hAnsi="宋体" w:cs="宋体"/>
          <w:b/>
          <w:bCs/>
          <w:sz w:val="48"/>
          <w:szCs w:val="48"/>
        </w:rPr>
      </w:pPr>
      <w:r>
        <w:rPr>
          <w:rFonts w:ascii="宋体" w:eastAsia="宋体" w:hAnsi="宋体" w:cs="宋体" w:hint="eastAsia"/>
          <w:b/>
          <w:bCs/>
          <w:sz w:val="21"/>
          <w:szCs w:val="21"/>
        </w:rPr>
        <w:t>编制部门：西安市阎良区中小学卫生保健所                           金额单位：万元</w:t>
      </w:r>
    </w:p>
    <w:tbl>
      <w:tblPr>
        <w:tblW w:w="8867" w:type="dxa"/>
        <w:tblLayout w:type="fixed"/>
        <w:tblCellMar>
          <w:top w:w="15" w:type="dxa"/>
          <w:left w:w="15" w:type="dxa"/>
          <w:bottom w:w="15" w:type="dxa"/>
          <w:right w:w="15" w:type="dxa"/>
        </w:tblCellMar>
        <w:tblLook w:val="04A0"/>
      </w:tblPr>
      <w:tblGrid>
        <w:gridCol w:w="927"/>
        <w:gridCol w:w="755"/>
        <w:gridCol w:w="855"/>
        <w:gridCol w:w="870"/>
        <w:gridCol w:w="720"/>
        <w:gridCol w:w="720"/>
        <w:gridCol w:w="1470"/>
        <w:gridCol w:w="750"/>
        <w:gridCol w:w="990"/>
        <w:gridCol w:w="810"/>
      </w:tblGrid>
      <w:tr w:rsidR="00465AAD">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2190"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465AAD" w:rsidRDefault="002A12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465AAD" w:rsidRDefault="002A123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465AAD">
        <w:trPr>
          <w:trHeight w:val="1125"/>
        </w:trPr>
        <w:tc>
          <w:tcPr>
            <w:tcW w:w="927" w:type="dxa"/>
            <w:tcBorders>
              <w:top w:val="single" w:sz="4" w:space="0" w:color="000000"/>
              <w:left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755" w:type="dxa"/>
            <w:tcBorders>
              <w:top w:val="single" w:sz="4" w:space="0" w:color="000000"/>
              <w:left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855"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870"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465AAD" w:rsidRDefault="002A1236">
            <w:pPr>
              <w:ind w:firstLineChars="400" w:firstLine="843"/>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750"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r w:rsidR="00465AAD">
        <w:trPr>
          <w:trHeight w:val="439"/>
        </w:trPr>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205</w:t>
            </w: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教育支出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20501</w:t>
            </w: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教育管理事务</w:t>
            </w: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2050199</w:t>
            </w: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其他教育管理事务支出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208</w:t>
            </w: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社会保障和就业支出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20805</w:t>
            </w: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行政事业单位离退休</w:t>
            </w: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2080505</w:t>
            </w: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机关事业单位基本养老保险缴费支出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210</w:t>
            </w: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卫生健康支出</w:t>
            </w: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21011</w:t>
            </w: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行政事业单位医疗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2101102</w:t>
            </w: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事业单位医疗</w:t>
            </w: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0"/>
              </w:rPr>
            </w:pPr>
            <w:r>
              <w:rPr>
                <w:rFonts w:cs="Arial" w:hint="eastAsia"/>
                <w:color w:val="000000"/>
                <w:sz w:val="20"/>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15"/>
                <w:szCs w:val="15"/>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15"/>
                <w:szCs w:val="15"/>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15"/>
                <w:szCs w:val="15"/>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15"/>
                <w:szCs w:val="15"/>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bl>
    <w:p w:rsidR="00465AAD" w:rsidRDefault="002A123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465AAD" w:rsidRDefault="00465AAD"/>
    <w:p w:rsidR="00465AAD" w:rsidRDefault="00465AAD"/>
    <w:p w:rsidR="00465AAD" w:rsidRDefault="002A1236">
      <w:pPr>
        <w:jc w:val="center"/>
        <w:rPr>
          <w:rFonts w:ascii="宋体" w:eastAsia="宋体" w:hAnsi="宋体" w:cs="宋体"/>
          <w:b/>
          <w:bCs/>
          <w:szCs w:val="32"/>
        </w:rPr>
      </w:pPr>
      <w:r>
        <w:rPr>
          <w:rFonts w:ascii="宋体" w:eastAsia="宋体" w:hAnsi="宋体" w:cs="宋体" w:hint="eastAsia"/>
          <w:b/>
          <w:bCs/>
          <w:szCs w:val="32"/>
        </w:rPr>
        <w:t>支出决算表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 xml:space="preserve">                                                                      公开03表</w:t>
      </w:r>
    </w:p>
    <w:p w:rsidR="00465AAD" w:rsidRDefault="002A1236">
      <w:pPr>
        <w:rPr>
          <w:rFonts w:ascii="宋体" w:eastAsia="宋体" w:hAnsi="宋体" w:cs="宋体"/>
          <w:b/>
          <w:bCs/>
          <w:sz w:val="48"/>
          <w:szCs w:val="48"/>
        </w:rPr>
      </w:pPr>
      <w:r>
        <w:rPr>
          <w:rFonts w:ascii="宋体" w:eastAsia="宋体" w:hAnsi="宋体" w:cs="宋体" w:hint="eastAsia"/>
          <w:b/>
          <w:bCs/>
          <w:sz w:val="21"/>
          <w:szCs w:val="21"/>
        </w:rPr>
        <w:t>编制部门：西安市阎良区中小学卫生保健所                           金额单位：万元</w:t>
      </w:r>
    </w:p>
    <w:tbl>
      <w:tblPr>
        <w:tblW w:w="8896" w:type="dxa"/>
        <w:tblLayout w:type="fixed"/>
        <w:tblCellMar>
          <w:top w:w="15" w:type="dxa"/>
          <w:left w:w="15" w:type="dxa"/>
          <w:bottom w:w="15" w:type="dxa"/>
          <w:right w:w="15" w:type="dxa"/>
        </w:tblCellMar>
        <w:tblLook w:val="04A0"/>
      </w:tblPr>
      <w:tblGrid>
        <w:gridCol w:w="914"/>
        <w:gridCol w:w="83"/>
        <w:gridCol w:w="1219"/>
        <w:gridCol w:w="1255"/>
        <w:gridCol w:w="986"/>
        <w:gridCol w:w="1077"/>
        <w:gridCol w:w="1109"/>
        <w:gridCol w:w="908"/>
        <w:gridCol w:w="1345"/>
      </w:tblGrid>
      <w:tr w:rsidR="00465AAD">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465AAD">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219"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255"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r w:rsidR="00465AAD">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0"/>
                <w:szCs w:val="10"/>
              </w:rPr>
            </w:pPr>
            <w:r>
              <w:rPr>
                <w:rFonts w:cs="Arial" w:hint="eastAsia"/>
                <w:color w:val="000000"/>
                <w:sz w:val="10"/>
                <w:szCs w:val="10"/>
              </w:rPr>
              <w:t>教育支出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20501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0"/>
                <w:szCs w:val="10"/>
              </w:rPr>
            </w:pPr>
            <w:r>
              <w:rPr>
                <w:rFonts w:cs="Arial" w:hint="eastAsia"/>
                <w:color w:val="000000"/>
                <w:sz w:val="10"/>
                <w:szCs w:val="10"/>
              </w:rPr>
              <w:t>教育管理事务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2050199</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0"/>
                <w:szCs w:val="10"/>
              </w:rPr>
            </w:pPr>
            <w:r>
              <w:rPr>
                <w:rFonts w:cs="Arial" w:hint="eastAsia"/>
                <w:color w:val="000000"/>
                <w:sz w:val="10"/>
                <w:szCs w:val="10"/>
              </w:rPr>
              <w:t xml:space="preserve">  </w:t>
            </w:r>
            <w:r>
              <w:rPr>
                <w:rFonts w:cs="Arial" w:hint="eastAsia"/>
                <w:color w:val="000000"/>
                <w:sz w:val="10"/>
                <w:szCs w:val="10"/>
              </w:rPr>
              <w:t>其他教育管理事务支出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208</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0"/>
                <w:szCs w:val="10"/>
              </w:rPr>
            </w:pPr>
            <w:r>
              <w:rPr>
                <w:rFonts w:cs="Arial" w:hint="eastAsia"/>
                <w:color w:val="000000"/>
                <w:sz w:val="10"/>
                <w:szCs w:val="10"/>
              </w:rPr>
              <w:t>社会保障和就业支出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20805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0"/>
                <w:szCs w:val="10"/>
              </w:rPr>
            </w:pPr>
            <w:r>
              <w:rPr>
                <w:rFonts w:cs="Arial" w:hint="eastAsia"/>
                <w:color w:val="000000"/>
                <w:sz w:val="10"/>
                <w:szCs w:val="10"/>
              </w:rPr>
              <w:t>行政事业单位离退休</w:t>
            </w: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2080505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0"/>
                <w:szCs w:val="10"/>
              </w:rPr>
            </w:pPr>
            <w:r>
              <w:rPr>
                <w:rFonts w:cs="Arial" w:hint="eastAsia"/>
                <w:color w:val="000000"/>
                <w:sz w:val="10"/>
                <w:szCs w:val="10"/>
              </w:rPr>
              <w:t xml:space="preserve">  </w:t>
            </w:r>
            <w:r>
              <w:rPr>
                <w:rFonts w:cs="Arial" w:hint="eastAsia"/>
                <w:color w:val="000000"/>
                <w:sz w:val="10"/>
                <w:szCs w:val="10"/>
              </w:rPr>
              <w:t>机关事业单位基本养老保险缴费支出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210</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0"/>
                <w:szCs w:val="10"/>
              </w:rPr>
            </w:pPr>
            <w:r>
              <w:rPr>
                <w:rFonts w:cs="Arial" w:hint="eastAsia"/>
                <w:color w:val="000000"/>
                <w:sz w:val="10"/>
                <w:szCs w:val="10"/>
              </w:rPr>
              <w:t>卫生健康支出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21011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0"/>
                <w:szCs w:val="10"/>
              </w:rPr>
            </w:pPr>
            <w:r>
              <w:rPr>
                <w:rFonts w:cs="Arial" w:hint="eastAsia"/>
                <w:color w:val="000000"/>
                <w:sz w:val="10"/>
                <w:szCs w:val="10"/>
              </w:rPr>
              <w:t>行政事业单位医疗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2101102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0"/>
                <w:szCs w:val="10"/>
              </w:rPr>
            </w:pPr>
            <w:r>
              <w:rPr>
                <w:rFonts w:cs="Arial" w:hint="eastAsia"/>
                <w:color w:val="000000"/>
                <w:sz w:val="10"/>
                <w:szCs w:val="10"/>
              </w:rPr>
              <w:t xml:space="preserve">  </w:t>
            </w:r>
            <w:r>
              <w:rPr>
                <w:rFonts w:cs="Arial" w:hint="eastAsia"/>
                <w:color w:val="000000"/>
                <w:sz w:val="10"/>
                <w:szCs w:val="10"/>
              </w:rPr>
              <w:t>事业单位医疗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0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bl>
    <w:p w:rsidR="00465AAD" w:rsidRDefault="002A1236">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465AAD" w:rsidRDefault="002A1236">
      <w:pPr>
        <w:jc w:val="center"/>
        <w:rPr>
          <w:rFonts w:ascii="宋体" w:eastAsia="宋体" w:hAnsi="宋体" w:cs="宋体"/>
          <w:b/>
          <w:bCs/>
          <w:szCs w:val="32"/>
        </w:rPr>
      </w:pPr>
      <w:r>
        <w:rPr>
          <w:rFonts w:ascii="宋体" w:eastAsia="宋体" w:hAnsi="宋体" w:cs="宋体" w:hint="eastAsia"/>
          <w:b/>
          <w:bCs/>
          <w:szCs w:val="32"/>
        </w:rPr>
        <w:lastRenderedPageBreak/>
        <w:t>财政拨款收入支出决算总表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公开04表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编制部门： 西安市阎良区中小学卫生保健所                          金额单位：万元</w:t>
      </w:r>
    </w:p>
    <w:tbl>
      <w:tblPr>
        <w:tblW w:w="8700" w:type="dxa"/>
        <w:tblLayout w:type="fixed"/>
        <w:tblCellMar>
          <w:top w:w="15" w:type="dxa"/>
          <w:left w:w="15" w:type="dxa"/>
          <w:bottom w:w="15" w:type="dxa"/>
          <w:right w:w="15" w:type="dxa"/>
        </w:tblCellMar>
        <w:tblLook w:val="04A0"/>
      </w:tblPr>
      <w:tblGrid>
        <w:gridCol w:w="1705"/>
        <w:gridCol w:w="1072"/>
        <w:gridCol w:w="2703"/>
        <w:gridCol w:w="1134"/>
        <w:gridCol w:w="1102"/>
        <w:gridCol w:w="984"/>
      </w:tblGrid>
      <w:tr w:rsidR="00465AAD">
        <w:trPr>
          <w:trHeight w:val="367"/>
        </w:trPr>
        <w:tc>
          <w:tcPr>
            <w:tcW w:w="2777"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923" w:type="dxa"/>
            <w:gridSpan w:val="4"/>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465AAD">
        <w:trPr>
          <w:trHeight w:val="1020"/>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465AAD">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21、灾害防治及应急管理支出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378"/>
        </w:trPr>
        <w:tc>
          <w:tcPr>
            <w:tcW w:w="1705" w:type="dxa"/>
            <w:tcBorders>
              <w:top w:val="single" w:sz="4" w:space="0" w:color="000000"/>
              <w:left w:val="single" w:sz="4" w:space="0" w:color="000000"/>
              <w:bottom w:val="single" w:sz="4" w:space="0" w:color="000000"/>
              <w:right w:val="single" w:sz="4" w:space="0" w:color="000000"/>
            </w:tcBorders>
            <w:vAlign w:val="center"/>
          </w:tcPr>
          <w:p w:rsidR="00465AAD" w:rsidRDefault="00465AAD">
            <w:pPr>
              <w:widowControl/>
              <w:jc w:val="center"/>
              <w:textAlignment w:val="center"/>
              <w:rPr>
                <w:rFonts w:ascii="宋体" w:eastAsia="宋体" w:hAnsi="宋体" w:cs="宋体"/>
                <w:b/>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27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134" w:type="dxa"/>
            <w:tcBorders>
              <w:top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02" w:type="dxa"/>
            <w:tcBorders>
              <w:top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984" w:type="dxa"/>
            <w:tcBorders>
              <w:top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bl>
    <w:p w:rsidR="00465AAD" w:rsidRDefault="00465AAD"/>
    <w:p w:rsidR="00465AAD" w:rsidRDefault="00465AAD"/>
    <w:p w:rsidR="00465AAD" w:rsidRDefault="002A1236">
      <w:pPr>
        <w:jc w:val="center"/>
        <w:rPr>
          <w:rFonts w:ascii="宋体" w:eastAsia="宋体" w:hAnsi="宋体" w:cs="宋体"/>
          <w:b/>
          <w:bCs/>
          <w:szCs w:val="32"/>
        </w:rPr>
      </w:pPr>
      <w:r>
        <w:rPr>
          <w:rFonts w:ascii="宋体" w:eastAsia="宋体" w:hAnsi="宋体" w:cs="宋体" w:hint="eastAsia"/>
          <w:b/>
          <w:bCs/>
          <w:szCs w:val="32"/>
        </w:rPr>
        <w:lastRenderedPageBreak/>
        <w:t xml:space="preserve">财政拨款收入支出决算总表 </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 xml:space="preserve"> 公开04表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编制部门：西安市阎良区中小学卫生保健所                           金额单位：万元</w:t>
      </w:r>
    </w:p>
    <w:tbl>
      <w:tblPr>
        <w:tblW w:w="8860" w:type="dxa"/>
        <w:tblLayout w:type="fixed"/>
        <w:tblCellMar>
          <w:top w:w="15" w:type="dxa"/>
          <w:left w:w="15" w:type="dxa"/>
          <w:bottom w:w="15" w:type="dxa"/>
          <w:right w:w="15" w:type="dxa"/>
        </w:tblCellMar>
        <w:tblLook w:val="04A0"/>
      </w:tblPr>
      <w:tblGrid>
        <w:gridCol w:w="2003"/>
        <w:gridCol w:w="1554"/>
        <w:gridCol w:w="1815"/>
        <w:gridCol w:w="1230"/>
        <w:gridCol w:w="1061"/>
        <w:gridCol w:w="1197"/>
      </w:tblGrid>
      <w:tr w:rsidR="00465AAD">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465AAD">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554"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465AAD">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1815"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1061"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119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61"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9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r w:rsidR="00465AAD">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465AAD" w:rsidRDefault="002A1236">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465AAD" w:rsidRDefault="00465AAD">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119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r>
      <w:tr w:rsidR="00465AAD">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465AAD" w:rsidRDefault="002A1236">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465AAD" w:rsidRDefault="00465AAD">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c>
          <w:tcPr>
            <w:tcW w:w="119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 xml:space="preserve">　</w:t>
            </w:r>
          </w:p>
        </w:tc>
      </w:tr>
      <w:tr w:rsidR="00465AAD">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1815"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1061"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119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r>
    </w:tbl>
    <w:p w:rsidR="00465AAD" w:rsidRDefault="00465AAD">
      <w:pPr>
        <w:rPr>
          <w:rFonts w:ascii="宋体" w:eastAsia="宋体" w:hAnsi="宋体" w:cs="宋体"/>
          <w:sz w:val="21"/>
          <w:szCs w:val="21"/>
        </w:rPr>
      </w:pPr>
    </w:p>
    <w:p w:rsidR="00465AAD" w:rsidRDefault="002A1236">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465AAD" w:rsidRDefault="00465AAD">
      <w:pPr>
        <w:rPr>
          <w:rFonts w:ascii="仿宋_GB2312" w:eastAsia="仿宋_GB2312" w:hAnsi="仿宋_GB2312" w:cs="仿宋_GB2312"/>
          <w:szCs w:val="32"/>
        </w:rPr>
      </w:pPr>
    </w:p>
    <w:p w:rsidR="00465AAD" w:rsidRDefault="00465AAD"/>
    <w:p w:rsidR="00465AAD" w:rsidRDefault="00465AAD"/>
    <w:p w:rsidR="00465AAD" w:rsidRDefault="00465AAD"/>
    <w:p w:rsidR="00465AAD" w:rsidRDefault="00465AAD"/>
    <w:p w:rsidR="00465AAD" w:rsidRDefault="00465AAD"/>
    <w:p w:rsidR="00465AAD" w:rsidRDefault="00465AAD"/>
    <w:p w:rsidR="00465AAD" w:rsidRDefault="00465AAD"/>
    <w:p w:rsidR="00465AAD" w:rsidRDefault="00465AAD"/>
    <w:p w:rsidR="00465AAD" w:rsidRDefault="00465AAD"/>
    <w:p w:rsidR="00465AAD" w:rsidRDefault="002A1236">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一般公共预算财政拨款支出决算表（按功能分类科目）</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 xml:space="preserve">                                                                      公开05表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编制部门：西安市阎良区中小学卫生保健所                          金额单位：万元</w:t>
      </w:r>
    </w:p>
    <w:tbl>
      <w:tblPr>
        <w:tblW w:w="8777" w:type="dxa"/>
        <w:tblLayout w:type="fixed"/>
        <w:tblCellMar>
          <w:top w:w="15" w:type="dxa"/>
          <w:left w:w="15" w:type="dxa"/>
          <w:bottom w:w="15" w:type="dxa"/>
          <w:right w:w="15" w:type="dxa"/>
        </w:tblCellMar>
        <w:tblLook w:val="04A0"/>
      </w:tblPr>
      <w:tblGrid>
        <w:gridCol w:w="1170"/>
        <w:gridCol w:w="1537"/>
        <w:gridCol w:w="1006"/>
        <w:gridCol w:w="1020"/>
        <w:gridCol w:w="935"/>
        <w:gridCol w:w="1039"/>
        <w:gridCol w:w="1020"/>
        <w:gridCol w:w="1050"/>
      </w:tblGrid>
      <w:tr w:rsidR="00465AAD">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994" w:type="dxa"/>
            <w:gridSpan w:val="3"/>
            <w:tcBorders>
              <w:top w:val="single" w:sz="4" w:space="0" w:color="000000"/>
              <w:left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465AAD">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r w:rsidR="00465AAD">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宋体"/>
                <w:color w:val="000000"/>
                <w:sz w:val="21"/>
                <w:szCs w:val="21"/>
              </w:rPr>
            </w:pPr>
            <w:r>
              <w:rPr>
                <w:rFonts w:cs="Arial" w:hint="eastAsia"/>
                <w:color w:val="000000"/>
                <w:sz w:val="22"/>
                <w:szCs w:val="22"/>
              </w:rPr>
              <w:t>97.14</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宋体"/>
                <w:color w:val="000000"/>
                <w:sz w:val="21"/>
                <w:szCs w:val="21"/>
              </w:rPr>
            </w:pPr>
            <w:r>
              <w:rPr>
                <w:rFonts w:cs="Arial" w:hint="eastAsia"/>
                <w:color w:val="000000"/>
                <w:sz w:val="22"/>
                <w:szCs w:val="22"/>
              </w:rPr>
              <w:t>94.21</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2.93</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205</w:t>
            </w: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教育支出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81.59</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2.93</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20501</w:t>
            </w: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教育管理事务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81.59</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2.93</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2050199</w:t>
            </w: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其他教育管理事务支出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84.51</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81.59</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2.93</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208</w:t>
            </w: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社会保障和就业支出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20805</w:t>
            </w: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行政事业单位离退休</w:t>
            </w: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2080505</w:t>
            </w: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机关事业单位基本养老保险缴费支出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210</w:t>
            </w: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卫生健康支出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21011</w:t>
            </w: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行政事业单位医疗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2101102</w:t>
            </w: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25"/>
        </w:trPr>
        <w:tc>
          <w:tcPr>
            <w:tcW w:w="117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bl>
    <w:p w:rsidR="00465AAD" w:rsidRDefault="002A123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465AAD" w:rsidRDefault="002A1236">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公开06表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编制部门：西安市阎良区中小学卫生保健所                           金额单位：万元</w:t>
      </w:r>
    </w:p>
    <w:tbl>
      <w:tblPr>
        <w:tblW w:w="8817" w:type="dxa"/>
        <w:tblLayout w:type="fixed"/>
        <w:tblCellMar>
          <w:top w:w="15" w:type="dxa"/>
          <w:left w:w="15" w:type="dxa"/>
          <w:bottom w:w="15" w:type="dxa"/>
          <w:right w:w="15" w:type="dxa"/>
        </w:tblCellMar>
        <w:tblLook w:val="04A0"/>
      </w:tblPr>
      <w:tblGrid>
        <w:gridCol w:w="1157"/>
        <w:gridCol w:w="2046"/>
        <w:gridCol w:w="1659"/>
        <w:gridCol w:w="1437"/>
        <w:gridCol w:w="1363"/>
        <w:gridCol w:w="1155"/>
      </w:tblGrid>
      <w:tr w:rsidR="00465AAD">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465AAD">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r w:rsidR="00465AAD">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659" w:type="dxa"/>
            <w:tcBorders>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97.14</w:t>
            </w:r>
          </w:p>
        </w:tc>
        <w:tc>
          <w:tcPr>
            <w:tcW w:w="1437" w:type="dxa"/>
            <w:tcBorders>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94.21</w:t>
            </w:r>
          </w:p>
        </w:tc>
        <w:tc>
          <w:tcPr>
            <w:tcW w:w="1363" w:type="dxa"/>
            <w:tcBorders>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2.93</w:t>
            </w:r>
          </w:p>
        </w:tc>
        <w:tc>
          <w:tcPr>
            <w:tcW w:w="1155" w:type="dxa"/>
            <w:tcBorders>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工资福利支出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94.20</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94.21</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30101</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25.74</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25.74</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30102</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12.83</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12.83</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30107</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绩效工资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33.51</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33.51</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30108</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机关事业单位基本养老保险缴费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10.13</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30109</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职业年金缴费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1.73</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1.73</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30110</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职工基本医疗保险缴费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2.49</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住房公积金</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7.77</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7.77</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302</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2.93</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2.93</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30201</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办公费</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0.77</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0.77</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30205</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0.21</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0.21</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30207</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邮电费</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0.09</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0.09</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30208</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取暖费</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1.13</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1.13</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30211</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差旅费</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0.73</w:t>
            </w: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2A1236">
            <w:pPr>
              <w:jc w:val="right"/>
              <w:rPr>
                <w:rFonts w:ascii="宋体" w:eastAsia="宋体" w:hAnsi="宋体" w:cs="Arial"/>
                <w:color w:val="000000"/>
                <w:sz w:val="22"/>
                <w:szCs w:val="22"/>
              </w:rPr>
            </w:pPr>
            <w:r>
              <w:rPr>
                <w:rFonts w:cs="Arial" w:hint="eastAsia"/>
                <w:color w:val="000000"/>
                <w:sz w:val="22"/>
                <w:szCs w:val="22"/>
              </w:rPr>
              <w:t>0.73</w:t>
            </w: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310</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其他资本性支出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31002</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房屋建筑物购建</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31003</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办公设备购置</w:t>
            </w: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w:t>
            </w: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rsidR="00465AAD" w:rsidRDefault="00465AAD">
            <w:pPr>
              <w:widowControl/>
              <w:jc w:val="left"/>
              <w:textAlignment w:val="center"/>
              <w:rPr>
                <w:rFonts w:ascii="宋体" w:eastAsia="宋体" w:hAnsi="宋体" w:cs="宋体"/>
                <w:color w:val="000000"/>
                <w:kern w:val="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bl>
    <w:p w:rsidR="00465AAD" w:rsidRDefault="002A123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465AAD" w:rsidRDefault="00465AAD"/>
    <w:p w:rsidR="00465AAD" w:rsidRDefault="00465AAD"/>
    <w:p w:rsidR="00465AAD" w:rsidRDefault="002A1236">
      <w:pPr>
        <w:jc w:val="center"/>
        <w:rPr>
          <w:rFonts w:ascii="宋体" w:eastAsia="宋体" w:hAnsi="宋体" w:cs="宋体"/>
          <w:b/>
          <w:bCs/>
          <w:szCs w:val="32"/>
        </w:rPr>
      </w:pPr>
      <w:r>
        <w:rPr>
          <w:rFonts w:ascii="宋体" w:eastAsia="宋体" w:hAnsi="宋体" w:cs="宋体" w:hint="eastAsia"/>
          <w:b/>
          <w:bCs/>
          <w:szCs w:val="32"/>
        </w:rPr>
        <w:t>一般公共预算财政拨款“三公”经费</w:t>
      </w:r>
    </w:p>
    <w:p w:rsidR="00465AAD" w:rsidRDefault="002A1236">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 xml:space="preserve">   公开07表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编制部门：西安市阎良区中小学卫生保健所                           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465AAD">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465AAD">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r w:rsidR="00465AAD">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r w:rsidR="00465AAD">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465AAD">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r w:rsidR="00465AAD">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bl>
    <w:p w:rsidR="00465AAD" w:rsidRDefault="002A123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465AAD" w:rsidRDefault="00465AAD"/>
    <w:p w:rsidR="00465AAD" w:rsidRDefault="00465AAD"/>
    <w:p w:rsidR="00465AAD" w:rsidRDefault="00465AAD"/>
    <w:p w:rsidR="00465AAD" w:rsidRDefault="00465AAD"/>
    <w:p w:rsidR="00465AAD" w:rsidRDefault="00465AAD"/>
    <w:p w:rsidR="00465AAD" w:rsidRDefault="00465AAD"/>
    <w:p w:rsidR="00465AAD" w:rsidRDefault="00465AAD"/>
    <w:p w:rsidR="00465AAD" w:rsidRDefault="00465AAD"/>
    <w:p w:rsidR="00465AAD" w:rsidRDefault="00465AAD"/>
    <w:p w:rsidR="00465AAD" w:rsidRDefault="00465AAD"/>
    <w:p w:rsidR="00465AAD" w:rsidRDefault="00465AAD"/>
    <w:p w:rsidR="00465AAD" w:rsidRDefault="002A1236">
      <w:pPr>
        <w:jc w:val="center"/>
        <w:rPr>
          <w:rFonts w:ascii="宋体" w:eastAsia="宋体" w:hAnsi="宋体" w:cs="宋体"/>
          <w:b/>
          <w:bCs/>
          <w:szCs w:val="32"/>
        </w:rPr>
      </w:pPr>
      <w:r>
        <w:rPr>
          <w:rFonts w:ascii="宋体" w:eastAsia="宋体" w:hAnsi="宋体" w:cs="宋体" w:hint="eastAsia"/>
          <w:b/>
          <w:bCs/>
          <w:szCs w:val="32"/>
        </w:rPr>
        <w:t>政府性基金预算财政拨款收入支出决算表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公开08表</w:t>
      </w:r>
    </w:p>
    <w:p w:rsidR="00465AAD" w:rsidRDefault="002A1236">
      <w:pPr>
        <w:rPr>
          <w:rFonts w:ascii="宋体" w:eastAsia="宋体" w:hAnsi="宋体" w:cs="宋体"/>
          <w:b/>
          <w:bCs/>
          <w:sz w:val="21"/>
          <w:szCs w:val="21"/>
        </w:rPr>
      </w:pPr>
      <w:r>
        <w:rPr>
          <w:rFonts w:ascii="宋体" w:eastAsia="宋体" w:hAnsi="宋体" w:cs="宋体" w:hint="eastAsia"/>
          <w:b/>
          <w:bCs/>
          <w:sz w:val="21"/>
          <w:szCs w:val="21"/>
        </w:rPr>
        <w:t>编制部门：西安市阎良区中小学卫生保健所                           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465AAD">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465AAD">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r w:rsidR="00465AAD">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465AAD" w:rsidRDefault="002A123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center"/>
              <w:rPr>
                <w:rFonts w:ascii="宋体" w:eastAsia="宋体" w:hAnsi="宋体" w:cs="宋体"/>
                <w:b/>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r w:rsidR="00465AAD">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465AAD" w:rsidRDefault="00465AAD">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465AAD" w:rsidRDefault="00465AAD">
            <w:pPr>
              <w:jc w:val="right"/>
              <w:rPr>
                <w:rFonts w:ascii="宋体" w:eastAsia="宋体" w:hAnsi="宋体" w:cs="宋体"/>
                <w:color w:val="000000"/>
                <w:sz w:val="21"/>
                <w:szCs w:val="21"/>
              </w:rPr>
            </w:pPr>
          </w:p>
        </w:tc>
      </w:tr>
    </w:tbl>
    <w:p w:rsidR="00465AAD" w:rsidRDefault="002A123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465AAD" w:rsidRDefault="002A1236">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第三部分 2019年度部门决算情况说明</w:t>
      </w:r>
    </w:p>
    <w:p w:rsidR="00465AAD" w:rsidRDefault="002A123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 xml:space="preserve">一、收入支出决算总体情况说明 </w:t>
      </w:r>
    </w:p>
    <w:p w:rsidR="00465AAD" w:rsidRDefault="002A1236">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2019年度收入97.14万元，总体情况及比上年增长18.13万元，主要原因是调整工资，工资收入增加。</w:t>
      </w:r>
    </w:p>
    <w:p w:rsidR="00465AAD" w:rsidRDefault="00465AAD">
      <w:pPr>
        <w:widowControl/>
        <w:spacing w:line="560" w:lineRule="exact"/>
        <w:ind w:firstLineChars="200" w:firstLine="640"/>
        <w:jc w:val="left"/>
        <w:rPr>
          <w:rFonts w:ascii="仿宋_GB2312" w:eastAsia="仿宋_GB2312" w:hAnsi="仿宋"/>
          <w:szCs w:val="32"/>
        </w:rPr>
      </w:pPr>
    </w:p>
    <w:p w:rsidR="00465AAD" w:rsidRDefault="002A1236">
      <w:pPr>
        <w:widowControl/>
        <w:adjustRightInd w:val="0"/>
        <w:snapToGrid w:val="0"/>
        <w:spacing w:line="360" w:lineRule="auto"/>
        <w:ind w:firstLineChars="200" w:firstLine="640"/>
        <w:jc w:val="left"/>
        <w:rPr>
          <w:rFonts w:ascii="仿宋_GB2312" w:eastAsia="仿宋_GB2312" w:hAnsi="仿宋"/>
          <w:szCs w:val="32"/>
        </w:rPr>
      </w:pPr>
      <w:r w:rsidRPr="002A1236">
        <w:rPr>
          <w:rFonts w:ascii="仿宋_GB2312" w:eastAsia="仿宋_GB2312" w:hAnsi="仿宋"/>
          <w:noProof/>
          <w:szCs w:val="32"/>
        </w:rPr>
        <w:drawing>
          <wp:inline distT="0" distB="0" distL="0" distR="0">
            <wp:extent cx="4572000" cy="2743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5AAD" w:rsidRDefault="00465AAD">
      <w:pPr>
        <w:widowControl/>
        <w:adjustRightInd w:val="0"/>
        <w:snapToGrid w:val="0"/>
        <w:spacing w:line="360" w:lineRule="auto"/>
        <w:ind w:firstLineChars="200" w:firstLine="640"/>
        <w:jc w:val="left"/>
        <w:rPr>
          <w:rFonts w:ascii="仿宋_GB2312" w:eastAsia="仿宋_GB2312" w:hAnsi="仿宋"/>
          <w:szCs w:val="32"/>
        </w:rPr>
      </w:pPr>
    </w:p>
    <w:p w:rsidR="00465AAD" w:rsidRDefault="002A1236">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2019度年支出97.14万元，总体情况及比上年增长18。13，主要原因是调整工资，工资支出增加。</w:t>
      </w:r>
    </w:p>
    <w:p w:rsidR="00465AAD" w:rsidRDefault="002A1236">
      <w:pPr>
        <w:widowControl/>
        <w:adjustRightInd w:val="0"/>
        <w:snapToGrid w:val="0"/>
        <w:spacing w:line="360" w:lineRule="auto"/>
        <w:ind w:firstLineChars="200" w:firstLine="640"/>
        <w:jc w:val="left"/>
        <w:rPr>
          <w:rFonts w:ascii="仿宋_GB2312" w:eastAsia="仿宋_GB2312" w:hAnsi="仿宋"/>
          <w:szCs w:val="32"/>
        </w:rPr>
      </w:pPr>
      <w:r w:rsidRPr="002A1236">
        <w:rPr>
          <w:rFonts w:ascii="仿宋_GB2312" w:eastAsia="仿宋_GB2312" w:hAnsi="仿宋"/>
          <w:noProof/>
          <w:szCs w:val="32"/>
        </w:rPr>
        <w:drawing>
          <wp:inline distT="0" distB="0" distL="0" distR="0">
            <wp:extent cx="4572000" cy="27432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5AAD" w:rsidRDefault="002A123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lastRenderedPageBreak/>
        <w:t>二、收入决算情况说明</w:t>
      </w:r>
    </w:p>
    <w:p w:rsidR="00465AAD" w:rsidRDefault="002A1236">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2019</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收入合计</w:t>
      </w:r>
      <w:r>
        <w:rPr>
          <w:rFonts w:ascii="仿宋_GB2312" w:eastAsia="仿宋_GB2312" w:hAnsi="宋体" w:cs="仿宋_GB2312" w:hint="eastAsia"/>
          <w:color w:val="000000"/>
          <w:kern w:val="0"/>
          <w:szCs w:val="32"/>
        </w:rPr>
        <w:t>97.14</w:t>
      </w:r>
      <w:r>
        <w:rPr>
          <w:rFonts w:ascii="仿宋_GB2312" w:eastAsia="仿宋_GB2312" w:hAnsi="宋体" w:cs="仿宋_GB2312"/>
          <w:color w:val="000000"/>
          <w:kern w:val="0"/>
          <w:szCs w:val="32"/>
        </w:rPr>
        <w:t>万元，其中：财政拨款收入</w:t>
      </w:r>
      <w:r>
        <w:rPr>
          <w:rFonts w:ascii="仿宋_GB2312" w:eastAsia="仿宋_GB2312" w:hAnsi="宋体" w:cs="仿宋_GB2312" w:hint="eastAsia"/>
          <w:color w:val="000000"/>
          <w:kern w:val="0"/>
          <w:szCs w:val="32"/>
        </w:rPr>
        <w:t>97.14</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%；事业收入</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%；经营收入</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%；其他收入</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465AAD" w:rsidRDefault="00465AAD">
      <w:pPr>
        <w:widowControl/>
        <w:spacing w:line="560" w:lineRule="exact"/>
        <w:ind w:firstLineChars="200" w:firstLine="640"/>
        <w:jc w:val="left"/>
        <w:rPr>
          <w:rFonts w:ascii="仿宋_GB2312" w:eastAsia="仿宋_GB2312" w:hAnsi="宋体" w:cs="仿宋_GB2312"/>
          <w:color w:val="000000"/>
          <w:kern w:val="0"/>
          <w:szCs w:val="32"/>
        </w:rPr>
      </w:pPr>
    </w:p>
    <w:p w:rsidR="00465AAD" w:rsidRDefault="002A1236">
      <w:pPr>
        <w:widowControl/>
        <w:spacing w:line="360" w:lineRule="auto"/>
        <w:ind w:firstLineChars="200" w:firstLine="640"/>
        <w:jc w:val="left"/>
        <w:rPr>
          <w:rFonts w:ascii="仿宋_GB2312" w:eastAsia="仿宋_GB2312" w:hAnsi="宋体" w:cs="仿宋_GB2312"/>
          <w:color w:val="000000"/>
          <w:kern w:val="0"/>
          <w:szCs w:val="32"/>
        </w:rPr>
      </w:pPr>
      <w:r w:rsidRPr="002A1236">
        <w:rPr>
          <w:rFonts w:ascii="仿宋_GB2312" w:eastAsia="仿宋_GB2312" w:hAnsi="宋体" w:cs="仿宋_GB2312"/>
          <w:noProof/>
          <w:color w:val="000000"/>
          <w:kern w:val="0"/>
          <w:szCs w:val="32"/>
        </w:rPr>
        <w:drawing>
          <wp:inline distT="0" distB="0" distL="0" distR="0">
            <wp:extent cx="4572000" cy="27432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5AAD" w:rsidRDefault="002A1236">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t xml:space="preserve">三、支出决算情况说明  </w:t>
      </w:r>
    </w:p>
    <w:p w:rsidR="00465AAD" w:rsidRDefault="002A1236">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2019</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支出合计</w:t>
      </w:r>
      <w:r>
        <w:rPr>
          <w:rFonts w:ascii="仿宋_GB2312" w:eastAsia="仿宋_GB2312" w:hAnsi="宋体" w:cs="仿宋_GB2312" w:hint="eastAsia"/>
          <w:color w:val="000000"/>
          <w:kern w:val="0"/>
          <w:szCs w:val="32"/>
        </w:rPr>
        <w:t>97.14</w:t>
      </w:r>
      <w:r>
        <w:rPr>
          <w:rFonts w:ascii="仿宋_GB2312" w:eastAsia="仿宋_GB2312" w:hAnsi="宋体" w:cs="仿宋_GB2312"/>
          <w:color w:val="000000"/>
          <w:kern w:val="0"/>
          <w:szCs w:val="32"/>
        </w:rPr>
        <w:t>万元，其中：基本支出</w:t>
      </w:r>
      <w:r>
        <w:rPr>
          <w:rFonts w:ascii="仿宋_GB2312" w:eastAsia="仿宋_GB2312" w:hAnsi="宋体" w:cs="仿宋_GB2312" w:hint="eastAsia"/>
          <w:color w:val="000000"/>
          <w:kern w:val="0"/>
          <w:szCs w:val="32"/>
        </w:rPr>
        <w:t>97.14</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%；项目支出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%；经营支出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p>
    <w:p w:rsidR="00465AAD" w:rsidRDefault="00B30771">
      <w:pPr>
        <w:widowControl/>
        <w:adjustRightInd w:val="0"/>
        <w:snapToGrid w:val="0"/>
        <w:spacing w:line="360" w:lineRule="auto"/>
        <w:ind w:firstLineChars="200" w:firstLine="640"/>
        <w:jc w:val="left"/>
        <w:rPr>
          <w:rFonts w:ascii="仿宋_GB2312" w:eastAsia="仿宋_GB2312" w:hAnsi="宋体" w:cs="仿宋_GB2312"/>
          <w:color w:val="000000"/>
          <w:kern w:val="0"/>
          <w:szCs w:val="32"/>
        </w:rPr>
      </w:pPr>
      <w:r w:rsidRPr="00B30771">
        <w:rPr>
          <w:rFonts w:ascii="仿宋_GB2312" w:eastAsia="仿宋_GB2312" w:hAnsi="宋体" w:cs="仿宋_GB2312"/>
          <w:noProof/>
          <w:color w:val="000000"/>
          <w:kern w:val="0"/>
          <w:szCs w:val="32"/>
        </w:rPr>
        <w:drawing>
          <wp:inline distT="0" distB="0" distL="0" distR="0">
            <wp:extent cx="4572000" cy="27432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5AAD" w:rsidRDefault="002A123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lastRenderedPageBreak/>
        <w:t xml:space="preserve">四、财政拨款收入支出决算总体情况说明  </w:t>
      </w:r>
    </w:p>
    <w:p w:rsidR="00465AAD" w:rsidRDefault="002A1236">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w:t>
      </w:r>
      <w:r>
        <w:rPr>
          <w:rFonts w:ascii="仿宋_GB2312" w:eastAsia="仿宋_GB2312" w:hAnsi="宋体" w:cs="仿宋_GB2312"/>
          <w:color w:val="000000"/>
          <w:kern w:val="0"/>
          <w:szCs w:val="32"/>
        </w:rPr>
        <w:t>财政拨款</w:t>
      </w:r>
      <w:r>
        <w:rPr>
          <w:rFonts w:ascii="仿宋_GB2312" w:eastAsia="仿宋_GB2312" w:hAnsi="仿宋" w:hint="eastAsia"/>
          <w:szCs w:val="32"/>
        </w:rPr>
        <w:t>收入97.14万元，总体情况比上年增加18.13万元，同比增长22.95%，主要原因是调整工资。</w:t>
      </w:r>
    </w:p>
    <w:p w:rsidR="00465AAD" w:rsidRDefault="00465AAD">
      <w:pPr>
        <w:widowControl/>
        <w:spacing w:line="560" w:lineRule="exact"/>
        <w:ind w:firstLineChars="200" w:firstLine="640"/>
        <w:jc w:val="left"/>
        <w:rPr>
          <w:rFonts w:ascii="仿宋_GB2312" w:eastAsia="仿宋_GB2312" w:hAnsi="仿宋"/>
          <w:szCs w:val="32"/>
        </w:rPr>
      </w:pPr>
    </w:p>
    <w:p w:rsidR="00465AAD" w:rsidRDefault="002A1236">
      <w:pPr>
        <w:widowControl/>
        <w:adjustRightInd w:val="0"/>
        <w:snapToGrid w:val="0"/>
        <w:spacing w:line="360" w:lineRule="auto"/>
        <w:ind w:firstLineChars="200" w:firstLine="640"/>
        <w:jc w:val="left"/>
        <w:rPr>
          <w:rFonts w:ascii="仿宋_GB2312" w:eastAsia="仿宋_GB2312" w:hAnsi="仿宋"/>
          <w:szCs w:val="32"/>
        </w:rPr>
      </w:pPr>
      <w:r>
        <w:rPr>
          <w:rFonts w:ascii="仿宋_GB2312" w:eastAsia="仿宋_GB2312" w:hAnsi="仿宋"/>
          <w:noProof/>
          <w:szCs w:val="32"/>
        </w:rPr>
        <w:drawing>
          <wp:inline distT="0" distB="0" distL="0" distR="0">
            <wp:extent cx="4572000" cy="2743200"/>
            <wp:effectExtent l="19050" t="0" r="1905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5AAD" w:rsidRDefault="00465AAD">
      <w:pPr>
        <w:widowControl/>
        <w:adjustRightInd w:val="0"/>
        <w:snapToGrid w:val="0"/>
        <w:spacing w:line="360" w:lineRule="auto"/>
        <w:ind w:firstLineChars="200" w:firstLine="640"/>
        <w:jc w:val="left"/>
        <w:rPr>
          <w:rFonts w:ascii="仿宋_GB2312" w:eastAsia="仿宋_GB2312" w:hAnsi="仿宋"/>
          <w:szCs w:val="32"/>
        </w:rPr>
      </w:pPr>
    </w:p>
    <w:p w:rsidR="00465AAD" w:rsidRDefault="002A1236">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w:t>
      </w:r>
      <w:r>
        <w:rPr>
          <w:rFonts w:ascii="仿宋_GB2312" w:eastAsia="仿宋_GB2312" w:hAnsi="宋体" w:cs="仿宋_GB2312"/>
          <w:color w:val="000000"/>
          <w:kern w:val="0"/>
          <w:szCs w:val="32"/>
        </w:rPr>
        <w:t>财政拨款</w:t>
      </w:r>
      <w:r>
        <w:rPr>
          <w:rFonts w:ascii="仿宋_GB2312" w:eastAsia="仿宋_GB2312" w:hAnsi="仿宋" w:hint="eastAsia"/>
          <w:szCs w:val="32"/>
        </w:rPr>
        <w:t>支出97.14万元，总体情况比上年增加18.13万元，同比增长22.95%，主要原因是调整工资。</w:t>
      </w:r>
    </w:p>
    <w:p w:rsidR="00465AAD" w:rsidRDefault="00465AAD">
      <w:pPr>
        <w:widowControl/>
        <w:spacing w:line="560" w:lineRule="exact"/>
        <w:ind w:firstLineChars="200" w:firstLine="640"/>
        <w:jc w:val="left"/>
        <w:rPr>
          <w:rFonts w:ascii="仿宋_GB2312" w:eastAsia="仿宋_GB2312" w:hAnsi="仿宋"/>
          <w:szCs w:val="32"/>
        </w:rPr>
      </w:pPr>
    </w:p>
    <w:p w:rsidR="00465AAD" w:rsidRDefault="002A1236">
      <w:pPr>
        <w:widowControl/>
        <w:adjustRightInd w:val="0"/>
        <w:snapToGrid w:val="0"/>
        <w:spacing w:line="360" w:lineRule="auto"/>
        <w:ind w:firstLineChars="200" w:firstLine="640"/>
        <w:jc w:val="left"/>
        <w:rPr>
          <w:rFonts w:ascii="仿宋_GB2312" w:eastAsia="仿宋_GB2312" w:hAnsi="仿宋"/>
          <w:szCs w:val="32"/>
        </w:rPr>
      </w:pPr>
      <w:r>
        <w:rPr>
          <w:rFonts w:ascii="仿宋_GB2312" w:eastAsia="仿宋_GB2312" w:hAnsi="仿宋"/>
          <w:noProof/>
          <w:szCs w:val="32"/>
        </w:rPr>
        <w:drawing>
          <wp:inline distT="0" distB="0" distL="0" distR="0">
            <wp:extent cx="4572000" cy="2743200"/>
            <wp:effectExtent l="19050" t="0" r="1905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65AAD" w:rsidRDefault="002A123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lastRenderedPageBreak/>
        <w:t>五、一般公共预算财政拨款支出决算情况说明</w:t>
      </w:r>
    </w:p>
    <w:p w:rsidR="00465AAD" w:rsidRDefault="002A1236">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465AAD" w:rsidRDefault="002A1236">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w:t>
      </w:r>
      <w:r>
        <w:rPr>
          <w:rFonts w:ascii="仿宋_GB2312" w:eastAsia="仿宋_GB2312" w:hAnsi="宋体" w:cs="仿宋_GB2312" w:hint="eastAsia"/>
          <w:color w:val="000000"/>
          <w:kern w:val="0"/>
          <w:szCs w:val="32"/>
        </w:rPr>
        <w:t>97.14</w:t>
      </w:r>
      <w:r>
        <w:rPr>
          <w:rFonts w:ascii="仿宋_GB2312" w:eastAsia="仿宋_GB2312" w:hAnsi="宋体" w:cs="仿宋_GB2312"/>
          <w:color w:val="000000"/>
          <w:kern w:val="0"/>
          <w:szCs w:val="32"/>
        </w:rPr>
        <w:t>万元，占本年支出合计的</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%。与</w:t>
      </w:r>
      <w:r>
        <w:rPr>
          <w:rFonts w:ascii="仿宋_GB2312" w:eastAsia="仿宋_GB2312" w:hAnsi="宋体" w:cs="仿宋_GB2312" w:hint="eastAsia"/>
          <w:color w:val="000000"/>
          <w:kern w:val="0"/>
          <w:szCs w:val="32"/>
        </w:rPr>
        <w:t>上年</w:t>
      </w:r>
      <w:r>
        <w:rPr>
          <w:rFonts w:ascii="仿宋_GB2312" w:eastAsia="仿宋_GB2312" w:hAnsi="宋体" w:cs="仿宋_GB2312"/>
          <w:color w:val="000000"/>
          <w:kern w:val="0"/>
          <w:szCs w:val="32"/>
        </w:rPr>
        <w:t>相比，财政拨款支出增加</w:t>
      </w:r>
      <w:r>
        <w:rPr>
          <w:rFonts w:ascii="仿宋_GB2312" w:eastAsia="仿宋_GB2312" w:hAnsi="宋体" w:cs="仿宋_GB2312" w:hint="eastAsia"/>
          <w:color w:val="000000"/>
          <w:kern w:val="0"/>
          <w:szCs w:val="32"/>
        </w:rPr>
        <w:t>18.13</w:t>
      </w:r>
      <w:r>
        <w:rPr>
          <w:rFonts w:ascii="仿宋_GB2312" w:eastAsia="仿宋_GB2312" w:hAnsi="宋体" w:cs="仿宋_GB2312"/>
          <w:color w:val="000000"/>
          <w:kern w:val="0"/>
          <w:szCs w:val="32"/>
        </w:rPr>
        <w:t>万元，增长</w:t>
      </w:r>
      <w:r>
        <w:rPr>
          <w:rFonts w:ascii="仿宋_GB2312" w:eastAsia="仿宋_GB2312" w:hAnsi="宋体" w:cs="仿宋_GB2312" w:hint="eastAsia"/>
          <w:color w:val="000000"/>
          <w:kern w:val="0"/>
          <w:szCs w:val="32"/>
        </w:rPr>
        <w:t>22.95</w:t>
      </w:r>
      <w:r>
        <w:rPr>
          <w:rFonts w:ascii="仿宋_GB2312" w:eastAsia="仿宋_GB2312" w:hAnsi="宋体" w:cs="仿宋_GB2312"/>
          <w:color w:val="000000"/>
          <w:kern w:val="0"/>
          <w:szCs w:val="32"/>
        </w:rPr>
        <w:t>%，主要</w:t>
      </w:r>
      <w:r>
        <w:rPr>
          <w:rFonts w:ascii="仿宋_GB2312" w:eastAsia="仿宋_GB2312" w:hAnsi="宋体" w:cs="仿宋_GB2312" w:hint="eastAsia"/>
          <w:color w:val="000000"/>
          <w:kern w:val="0"/>
          <w:szCs w:val="32"/>
        </w:rPr>
        <w:t>原因是调整工资。</w:t>
      </w:r>
    </w:p>
    <w:p w:rsidR="00465AAD" w:rsidRDefault="00465AAD">
      <w:pPr>
        <w:widowControl/>
        <w:spacing w:line="560" w:lineRule="exact"/>
        <w:ind w:firstLineChars="200" w:firstLine="640"/>
        <w:jc w:val="left"/>
        <w:rPr>
          <w:rFonts w:ascii="仿宋_GB2312" w:eastAsia="仿宋_GB2312" w:hAnsi="宋体" w:cs="仿宋_GB2312"/>
          <w:color w:val="000000"/>
          <w:kern w:val="0"/>
          <w:szCs w:val="32"/>
        </w:rPr>
      </w:pPr>
    </w:p>
    <w:p w:rsidR="00465AAD" w:rsidRDefault="00B30771">
      <w:pPr>
        <w:widowControl/>
        <w:adjustRightInd w:val="0"/>
        <w:snapToGrid w:val="0"/>
        <w:spacing w:line="360" w:lineRule="auto"/>
        <w:ind w:firstLineChars="200" w:firstLine="640"/>
        <w:jc w:val="left"/>
        <w:rPr>
          <w:rFonts w:ascii="仿宋_GB2312" w:eastAsia="仿宋_GB2312" w:hAnsi="宋体" w:cs="仿宋_GB2312"/>
          <w:color w:val="000000"/>
          <w:kern w:val="0"/>
          <w:szCs w:val="32"/>
        </w:rPr>
      </w:pPr>
      <w:r w:rsidRPr="00B30771">
        <w:rPr>
          <w:rFonts w:ascii="仿宋_GB2312" w:eastAsia="仿宋_GB2312" w:hAnsi="宋体" w:cs="仿宋_GB2312"/>
          <w:noProof/>
          <w:color w:val="000000"/>
          <w:kern w:val="0"/>
          <w:szCs w:val="32"/>
        </w:rPr>
        <w:drawing>
          <wp:inline distT="0" distB="0" distL="0" distR="0">
            <wp:extent cx="4572000" cy="2743200"/>
            <wp:effectExtent l="19050" t="0" r="19050" b="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65AAD" w:rsidRDefault="00465AAD">
      <w:pPr>
        <w:widowControl/>
        <w:adjustRightInd w:val="0"/>
        <w:snapToGrid w:val="0"/>
        <w:spacing w:line="360" w:lineRule="auto"/>
        <w:ind w:firstLineChars="200" w:firstLine="640"/>
        <w:jc w:val="left"/>
        <w:rPr>
          <w:rFonts w:ascii="仿宋_GB2312" w:eastAsia="仿宋_GB2312" w:hAnsi="宋体" w:cs="仿宋_GB2312"/>
          <w:color w:val="000000"/>
          <w:kern w:val="0"/>
          <w:szCs w:val="32"/>
        </w:rPr>
      </w:pPr>
    </w:p>
    <w:p w:rsidR="00465AAD" w:rsidRDefault="002A1236">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465AAD" w:rsidRDefault="002A1236">
      <w:pPr>
        <w:widowControl/>
        <w:spacing w:line="560" w:lineRule="exact"/>
        <w:ind w:firstLineChars="200" w:firstLine="640"/>
        <w:jc w:val="left"/>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财政拨款支出年初预算为</w:t>
      </w:r>
      <w:r>
        <w:rPr>
          <w:rFonts w:ascii="仿宋_GB2312" w:eastAsia="仿宋_GB2312" w:hAnsi="宋体" w:cs="仿宋_GB2312" w:hint="eastAsia"/>
          <w:color w:val="000000"/>
          <w:kern w:val="0"/>
          <w:szCs w:val="32"/>
        </w:rPr>
        <w:t>93.3</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97.14</w:t>
      </w:r>
      <w:r>
        <w:rPr>
          <w:rFonts w:ascii="仿宋_GB2312" w:eastAsia="仿宋_GB2312" w:hAnsi="宋体" w:cs="仿宋_GB2312"/>
          <w:color w:val="000000"/>
          <w:kern w:val="0"/>
          <w:szCs w:val="32"/>
        </w:rPr>
        <w:t>万元，完成年初预算的</w:t>
      </w:r>
      <w:r>
        <w:rPr>
          <w:rFonts w:ascii="仿宋_GB2312" w:eastAsia="仿宋_GB2312" w:hAnsi="宋体" w:cs="仿宋_GB2312" w:hint="eastAsia"/>
          <w:color w:val="000000"/>
          <w:kern w:val="0"/>
          <w:szCs w:val="32"/>
        </w:rPr>
        <w:t>104.12</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按照政府功能分类科目，</w:t>
      </w:r>
      <w:r>
        <w:rPr>
          <w:rFonts w:ascii="仿宋_GB2312" w:eastAsia="仿宋_GB2312" w:hAnsi="宋体" w:cs="仿宋_GB2312"/>
          <w:color w:val="000000"/>
          <w:kern w:val="0"/>
          <w:szCs w:val="32"/>
        </w:rPr>
        <w:t xml:space="preserve">其中： </w:t>
      </w:r>
    </w:p>
    <w:p w:rsidR="00465AAD" w:rsidRDefault="002A1236">
      <w:pPr>
        <w:widowControl/>
        <w:spacing w:line="560" w:lineRule="exact"/>
        <w:ind w:firstLineChars="200" w:firstLine="643"/>
        <w:jc w:val="left"/>
      </w:pPr>
      <w:r>
        <w:rPr>
          <w:rFonts w:ascii="仿宋_GB2312" w:eastAsia="仿宋_GB2312" w:hAnsi="宋体" w:cs="仿宋_GB2312"/>
          <w:b/>
          <w:color w:val="000000"/>
          <w:kern w:val="0"/>
          <w:szCs w:val="32"/>
        </w:rPr>
        <w:t xml:space="preserve">一般公共服务支出（类）财政事务（款）行政运行（项）。 </w:t>
      </w:r>
    </w:p>
    <w:p w:rsidR="00465AAD" w:rsidRDefault="002A1236">
      <w:pPr>
        <w:widowControl/>
        <w:spacing w:line="560" w:lineRule="exact"/>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Pr>
          <w:rFonts w:ascii="仿宋_GB2312" w:eastAsia="仿宋_GB2312" w:hAnsi="宋体" w:cs="仿宋_GB2312" w:hint="eastAsia"/>
          <w:color w:val="000000"/>
          <w:kern w:val="0"/>
          <w:szCs w:val="32"/>
        </w:rPr>
        <w:t>93.3</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97.14</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完成年初预算的</w:t>
      </w:r>
      <w:r>
        <w:rPr>
          <w:rFonts w:ascii="仿宋_GB2312" w:eastAsia="仿宋_GB2312" w:hAnsi="宋体" w:cs="仿宋_GB2312" w:hint="eastAsia"/>
          <w:color w:val="000000"/>
          <w:kern w:val="0"/>
          <w:szCs w:val="32"/>
        </w:rPr>
        <w:t>104.12</w:t>
      </w:r>
      <w:r>
        <w:rPr>
          <w:rFonts w:ascii="仿宋_GB2312" w:eastAsia="仿宋_GB2312" w:hAnsi="宋体" w:cs="仿宋_GB2312"/>
          <w:color w:val="000000"/>
          <w:kern w:val="0"/>
          <w:szCs w:val="32"/>
        </w:rPr>
        <w:t>%。决算数大于预算数的主要原因是</w:t>
      </w:r>
      <w:r>
        <w:rPr>
          <w:rFonts w:ascii="仿宋_GB2312" w:eastAsia="仿宋_GB2312" w:hAnsi="宋体" w:cs="仿宋_GB2312" w:hint="eastAsia"/>
          <w:color w:val="000000"/>
          <w:kern w:val="0"/>
          <w:szCs w:val="32"/>
        </w:rPr>
        <w:t>调整工资。</w:t>
      </w:r>
    </w:p>
    <w:p w:rsidR="00465AAD" w:rsidRDefault="002A1236">
      <w:pPr>
        <w:spacing w:line="560" w:lineRule="exact"/>
        <w:ind w:firstLineChars="200" w:firstLine="640"/>
        <w:rPr>
          <w:rFonts w:ascii="仿宋_GB2312" w:eastAsia="仿宋_GB2312" w:hAnsi="仿宋"/>
          <w:szCs w:val="32"/>
        </w:rPr>
      </w:pPr>
      <w:r>
        <w:rPr>
          <w:rFonts w:ascii="黑体" w:eastAsia="黑体" w:hAnsi="黑体" w:hint="eastAsia"/>
          <w:color w:val="000000"/>
          <w:kern w:val="0"/>
          <w:szCs w:val="32"/>
        </w:rPr>
        <w:t xml:space="preserve">六、一般公共预算财政拨款基本支出决算情况说明 </w:t>
      </w:r>
    </w:p>
    <w:p w:rsidR="00465AAD" w:rsidRDefault="002A123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lastRenderedPageBreak/>
        <w:t>201</w:t>
      </w:r>
      <w:r>
        <w:rPr>
          <w:rFonts w:ascii="仿宋_GB2312" w:eastAsia="仿宋_GB2312" w:hAnsi="仿宋_GB2312" w:cs="仿宋_GB2312" w:hint="eastAsia"/>
          <w:color w:val="000000"/>
          <w:kern w:val="0"/>
          <w:sz w:val="31"/>
          <w:szCs w:val="31"/>
        </w:rPr>
        <w:t>9</w:t>
      </w:r>
      <w:r>
        <w:rPr>
          <w:rFonts w:ascii="仿宋_GB2312" w:eastAsia="仿宋_GB2312" w:hAnsi="仿宋_GB2312" w:cs="仿宋_GB2312"/>
          <w:color w:val="000000"/>
          <w:kern w:val="0"/>
          <w:sz w:val="31"/>
          <w:szCs w:val="31"/>
        </w:rPr>
        <w:t>年</w:t>
      </w:r>
      <w:r>
        <w:rPr>
          <w:rFonts w:ascii="仿宋_GB2312" w:eastAsia="仿宋_GB2312" w:hAnsi="仿宋" w:hint="eastAsia"/>
          <w:szCs w:val="32"/>
        </w:rPr>
        <w:t>度</w:t>
      </w:r>
      <w:r>
        <w:rPr>
          <w:rFonts w:ascii="仿宋_GB2312" w:eastAsia="仿宋_GB2312" w:hAnsi="仿宋_GB2312" w:cs="仿宋_GB2312"/>
          <w:color w:val="000000"/>
          <w:kern w:val="0"/>
          <w:sz w:val="31"/>
          <w:szCs w:val="31"/>
        </w:rPr>
        <w:t>一般公共预算财政拨款基本支出</w:t>
      </w:r>
      <w:r>
        <w:rPr>
          <w:rFonts w:ascii="仿宋_GB2312" w:eastAsia="仿宋_GB2312" w:hAnsi="仿宋_GB2312" w:cs="仿宋_GB2312" w:hint="eastAsia"/>
          <w:color w:val="000000"/>
          <w:kern w:val="0"/>
          <w:sz w:val="31"/>
          <w:szCs w:val="31"/>
        </w:rPr>
        <w:t>97.14</w:t>
      </w:r>
      <w:r>
        <w:rPr>
          <w:rFonts w:ascii="仿宋_GB2312" w:eastAsia="仿宋_GB2312" w:hAnsi="仿宋_GB2312" w:cs="仿宋_GB2312"/>
          <w:color w:val="000000"/>
          <w:kern w:val="0"/>
          <w:sz w:val="31"/>
          <w:szCs w:val="31"/>
        </w:rPr>
        <w:t>万元，包括：人员经费支出</w:t>
      </w:r>
      <w:r>
        <w:rPr>
          <w:rFonts w:ascii="仿宋_GB2312" w:eastAsia="仿宋_GB2312" w:hAnsi="仿宋_GB2312" w:cs="仿宋_GB2312" w:hint="eastAsia"/>
          <w:color w:val="000000"/>
          <w:kern w:val="0"/>
          <w:sz w:val="31"/>
          <w:szCs w:val="31"/>
        </w:rPr>
        <w:t>94.21</w:t>
      </w:r>
      <w:r>
        <w:rPr>
          <w:rFonts w:ascii="仿宋_GB2312" w:eastAsia="仿宋_GB2312" w:hAnsi="仿宋_GB2312" w:cs="仿宋_GB2312"/>
          <w:color w:val="000000"/>
          <w:kern w:val="0"/>
          <w:sz w:val="31"/>
          <w:szCs w:val="31"/>
        </w:rPr>
        <w:t>万元和公用经费支出</w:t>
      </w:r>
      <w:r>
        <w:rPr>
          <w:rFonts w:ascii="仿宋_GB2312" w:eastAsia="仿宋_GB2312" w:hAnsi="仿宋_GB2312" w:cs="仿宋_GB2312" w:hint="eastAsia"/>
          <w:color w:val="000000"/>
          <w:kern w:val="0"/>
          <w:sz w:val="31"/>
          <w:szCs w:val="31"/>
        </w:rPr>
        <w:t>2.93</w:t>
      </w:r>
      <w:r>
        <w:rPr>
          <w:rFonts w:ascii="仿宋_GB2312" w:eastAsia="仿宋_GB2312" w:hAnsi="仿宋_GB2312" w:cs="仿宋_GB2312"/>
          <w:color w:val="000000"/>
          <w:kern w:val="0"/>
          <w:sz w:val="31"/>
          <w:szCs w:val="31"/>
        </w:rPr>
        <w:t>万元。</w:t>
      </w:r>
    </w:p>
    <w:p w:rsidR="00465AAD" w:rsidRDefault="002A1236">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rPr>
        <w:t>人员经费</w:t>
      </w:r>
      <w:r>
        <w:rPr>
          <w:rFonts w:ascii="仿宋_GB2312" w:eastAsia="仿宋_GB2312" w:hAnsi="宋体" w:cs="仿宋_GB2312" w:hint="eastAsia"/>
          <w:color w:val="000000"/>
          <w:kern w:val="0"/>
          <w:szCs w:val="32"/>
        </w:rPr>
        <w:t>94.21</w:t>
      </w:r>
      <w:r>
        <w:rPr>
          <w:rFonts w:ascii="仿宋_GB2312" w:eastAsia="仿宋_GB2312" w:hAnsi="宋体" w:cs="仿宋_GB2312"/>
          <w:color w:val="000000"/>
          <w:kern w:val="0"/>
          <w:szCs w:val="32"/>
        </w:rPr>
        <w:t>万元，主要包括基本工资</w:t>
      </w:r>
      <w:r>
        <w:rPr>
          <w:rFonts w:ascii="仿宋_GB2312" w:eastAsia="仿宋_GB2312" w:hAnsi="宋体" w:cs="仿宋_GB2312" w:hint="eastAsia"/>
          <w:color w:val="000000"/>
          <w:kern w:val="0"/>
          <w:szCs w:val="32"/>
        </w:rPr>
        <w:t>25.74万元,津贴补贴12.83万元,绩效工资33.51万元,机关事业单位基本养老保险缴费10.13万元, 职业年金缴费1.73万元,职工基本养老保险缴费2.49,住房公积金7.77万元。</w:t>
      </w:r>
    </w:p>
    <w:p w:rsidR="00465AAD" w:rsidRDefault="002A1236">
      <w:pPr>
        <w:widowControl/>
        <w:spacing w:line="560" w:lineRule="exact"/>
        <w:ind w:firstLineChars="200" w:firstLine="643"/>
        <w:jc w:val="left"/>
      </w:pPr>
      <w:r>
        <w:rPr>
          <w:rFonts w:ascii="仿宋_GB2312" w:eastAsia="仿宋_GB2312" w:hAnsi="宋体" w:cs="仿宋_GB2312"/>
          <w:b/>
          <w:bCs/>
          <w:color w:val="000000"/>
          <w:kern w:val="0"/>
          <w:szCs w:val="32"/>
        </w:rPr>
        <w:t>公用经费</w:t>
      </w:r>
      <w:r>
        <w:rPr>
          <w:rFonts w:ascii="仿宋_GB2312" w:eastAsia="仿宋_GB2312" w:hAnsi="宋体" w:cs="仿宋_GB2312" w:hint="eastAsia"/>
          <w:color w:val="000000"/>
          <w:kern w:val="0"/>
          <w:szCs w:val="32"/>
        </w:rPr>
        <w:t>2.93</w:t>
      </w:r>
      <w:r>
        <w:rPr>
          <w:rFonts w:ascii="仿宋_GB2312" w:eastAsia="仿宋_GB2312" w:hAnsi="宋体" w:cs="仿宋_GB2312"/>
          <w:color w:val="000000"/>
          <w:kern w:val="0"/>
          <w:szCs w:val="32"/>
        </w:rPr>
        <w:t>万元，主要包括办公费</w:t>
      </w:r>
      <w:r>
        <w:rPr>
          <w:rFonts w:ascii="仿宋_GB2312" w:eastAsia="仿宋_GB2312" w:hAnsi="宋体" w:cs="仿宋_GB2312" w:hint="eastAsia"/>
          <w:color w:val="000000"/>
          <w:kern w:val="0"/>
          <w:szCs w:val="32"/>
        </w:rPr>
        <w:t>0.77万元,水费0.21万元,邮电费0.09万元,取暖费1.13万元,差旅费0.73万元。</w:t>
      </w:r>
    </w:p>
    <w:p w:rsidR="00465AAD" w:rsidRDefault="002A1236">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 xml:space="preserve">七、一般公共预算财政拨款“三公”经费及会议费、培训费支出决算情况说明 </w:t>
      </w:r>
    </w:p>
    <w:p w:rsidR="00465AAD" w:rsidRDefault="002A1236">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本部门无一般公共预算财政拨款“三公”经费及会议费、培训费决算收支，并已公开空表</w:t>
      </w:r>
    </w:p>
    <w:p w:rsidR="00465AAD" w:rsidRDefault="002A1236">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 xml:space="preserve">八、政府性基金预算财政拨款收入支出情况说明 </w:t>
      </w:r>
    </w:p>
    <w:p w:rsidR="00465AAD" w:rsidRDefault="002A1236">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本部门无政府性基金决算收支，并已公开空表</w:t>
      </w:r>
    </w:p>
    <w:p w:rsidR="00465AAD" w:rsidRDefault="002A123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九、国有资本经营财政拨款收入支出情况说明</w:t>
      </w:r>
    </w:p>
    <w:p w:rsidR="00465AAD" w:rsidRDefault="002A1236">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p>
    <w:p w:rsidR="00465AAD" w:rsidRDefault="00465AAD">
      <w:pPr>
        <w:spacing w:line="560" w:lineRule="exact"/>
        <w:ind w:firstLine="640"/>
        <w:rPr>
          <w:rFonts w:ascii="仿宋_GB2312" w:eastAsia="仿宋_GB2312" w:hAnsi="仿宋_GB2312" w:cs="仿宋_GB2312"/>
          <w:szCs w:val="32"/>
        </w:rPr>
      </w:pPr>
    </w:p>
    <w:p w:rsidR="00465AAD" w:rsidRDefault="002A123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十、预算绩效情况说明</w:t>
      </w:r>
    </w:p>
    <w:p w:rsidR="00465AAD" w:rsidRDefault="002A1236">
      <w:pPr>
        <w:widowControl/>
        <w:spacing w:line="560" w:lineRule="exact"/>
        <w:ind w:leftChars="304" w:left="1616" w:hangingChars="200" w:hanging="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r>
        <w:rPr>
          <w:rFonts w:ascii="楷体_GB2312" w:eastAsia="楷体_GB2312" w:hAnsi="宋体" w:cs="楷体_GB2312" w:hint="eastAsia"/>
          <w:b/>
          <w:color w:val="000000"/>
          <w:kern w:val="0"/>
          <w:szCs w:val="32"/>
        </w:rPr>
        <w:t xml:space="preserve">     </w:t>
      </w:r>
    </w:p>
    <w:p w:rsidR="00465AAD" w:rsidRDefault="002A1236">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无项目支出</w:t>
      </w:r>
    </w:p>
    <w:p w:rsidR="00465AAD" w:rsidRDefault="00465AAD">
      <w:pPr>
        <w:widowControl/>
        <w:spacing w:line="560" w:lineRule="exact"/>
        <w:ind w:firstLineChars="200" w:firstLine="620"/>
        <w:jc w:val="left"/>
        <w:rPr>
          <w:rFonts w:ascii="仿宋_GB2312" w:eastAsia="仿宋_GB2312" w:hAnsi="仿宋_GB2312" w:cs="仿宋_GB2312"/>
          <w:color w:val="000000"/>
          <w:kern w:val="0"/>
          <w:sz w:val="31"/>
          <w:szCs w:val="31"/>
        </w:rPr>
      </w:pPr>
    </w:p>
    <w:p w:rsidR="00465AAD" w:rsidRDefault="002A1236">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部门决算中项目绩效自评结果。</w:t>
      </w:r>
    </w:p>
    <w:p w:rsidR="00465AAD" w:rsidRDefault="002A1236">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无项目支出</w:t>
      </w:r>
    </w:p>
    <w:p w:rsidR="00465AAD" w:rsidRDefault="002A1236">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lastRenderedPageBreak/>
        <w:t>（三）部门决算中整体支出绩效自评结果。</w:t>
      </w:r>
      <w:bookmarkStart w:id="1" w:name="_1662907596"/>
      <w:bookmarkStart w:id="2" w:name="_1662907080"/>
      <w:bookmarkStart w:id="3" w:name="_1662907161"/>
      <w:bookmarkEnd w:id="1"/>
      <w:bookmarkEnd w:id="2"/>
      <w:bookmarkEnd w:id="3"/>
    </w:p>
    <w:p w:rsidR="00465AAD" w:rsidRDefault="002A1236">
      <w:pPr>
        <w:widowControl/>
        <w:spacing w:line="560" w:lineRule="exact"/>
        <w:ind w:firstLineChars="200" w:firstLine="620"/>
        <w:jc w:val="left"/>
        <w:rPr>
          <w:rFonts w:ascii="楷体_GB2312" w:eastAsia="楷体_GB2312" w:hAnsi="宋体" w:cs="楷体_GB2312"/>
          <w:b/>
          <w:color w:val="000000"/>
          <w:kern w:val="0"/>
          <w:szCs w:val="32"/>
        </w:rPr>
      </w:pPr>
      <w:r>
        <w:rPr>
          <w:rFonts w:ascii="仿宋_GB2312" w:eastAsia="仿宋_GB2312" w:hAnsi="仿宋_GB2312" w:cs="仿宋_GB2312" w:hint="eastAsia"/>
          <w:color w:val="000000"/>
          <w:kern w:val="0"/>
          <w:sz w:val="31"/>
          <w:szCs w:val="31"/>
        </w:rPr>
        <w:t>根据年初设定的绩效目标，本单位2019年度</w:t>
      </w:r>
    </w:p>
    <w:p w:rsidR="00465AAD" w:rsidRDefault="002A1236">
      <w:pPr>
        <w:widowControl/>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整体自评得分95分，全年预算数93.3，执行数97.14，完成预算的104.12%。</w:t>
      </w:r>
    </w:p>
    <w:p w:rsidR="00465AAD" w:rsidRDefault="002A1236">
      <w:pPr>
        <w:widowControl/>
        <w:ind w:firstLineChars="182" w:firstLine="564"/>
        <w:contextualSpacing/>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主要产出和效果：2019年各项工作能够按时完成，保证单位工作正常进行</w:t>
      </w:r>
    </w:p>
    <w:p w:rsidR="00465AAD" w:rsidRDefault="002A1236">
      <w:pPr>
        <w:widowControl/>
        <w:spacing w:line="240" w:lineRule="exact"/>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 xml:space="preserve"> </w:t>
      </w:r>
    </w:p>
    <w:p w:rsidR="00465AAD" w:rsidRDefault="002A1236">
      <w:pPr>
        <w:widowControl/>
        <w:jc w:val="left"/>
        <w:rPr>
          <w:rFonts w:ascii="仿宋_GB2312" w:eastAsia="仿宋_GB2312" w:hAnsi="仿宋_GB2312" w:cs="仿宋_GB2312"/>
          <w:color w:val="000000"/>
          <w:kern w:val="0"/>
          <w:sz w:val="31"/>
          <w:szCs w:val="31"/>
        </w:rPr>
        <w:sectPr w:rsidR="00465AAD">
          <w:pgSz w:w="11906" w:h="16838"/>
          <w:pgMar w:top="1440" w:right="1800" w:bottom="1440" w:left="1800" w:header="851" w:footer="992" w:gutter="0"/>
          <w:cols w:space="425"/>
          <w:docGrid w:type="lines" w:linePitch="312"/>
        </w:sectPr>
      </w:pPr>
      <w:r>
        <w:rPr>
          <w:rFonts w:ascii="仿宋_GB2312" w:eastAsia="仿宋_GB2312" w:hAnsi="仿宋_GB2312" w:cs="仿宋_GB2312" w:hint="eastAsia"/>
          <w:color w:val="000000"/>
          <w:kern w:val="0"/>
          <w:sz w:val="31"/>
          <w:szCs w:val="31"/>
        </w:rPr>
        <w:t xml:space="preserve"> </w:t>
      </w:r>
    </w:p>
    <w:p w:rsidR="00465AAD" w:rsidRDefault="00465AAD">
      <w:pPr>
        <w:widowControl/>
        <w:jc w:val="left"/>
        <w:rPr>
          <w:rFonts w:ascii="仿宋_GB2312" w:eastAsia="仿宋_GB2312" w:hAnsi="仿宋_GB2312" w:cs="仿宋_GB2312"/>
          <w:color w:val="000000"/>
          <w:kern w:val="0"/>
          <w:sz w:val="31"/>
          <w:szCs w:val="31"/>
        </w:rPr>
      </w:pPr>
      <w:bookmarkStart w:id="4" w:name="_1662907696"/>
      <w:bookmarkEnd w:id="4"/>
      <w:r w:rsidRPr="00465AAD">
        <w:rPr>
          <w:rFonts w:ascii="仿宋_GB2312" w:eastAsia="仿宋_GB2312" w:hAnsi="仿宋_GB2312" w:cs="仿宋_GB2312"/>
          <w:color w:val="000000"/>
          <w:sz w:val="31"/>
          <w:szCs w:val="3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604.5pt">
            <v:imagedata r:id="rId16" o:title=""/>
            <o:lock v:ext="edit" aspectratio="f"/>
          </v:shape>
        </w:pict>
      </w:r>
    </w:p>
    <w:p w:rsidR="00465AAD" w:rsidRDefault="00465AAD">
      <w:pPr>
        <w:widowControl/>
        <w:jc w:val="left"/>
        <w:rPr>
          <w:rFonts w:ascii="仿宋_GB2312" w:eastAsia="仿宋_GB2312" w:hAnsi="仿宋_GB2312" w:cs="仿宋_GB2312"/>
          <w:color w:val="000000"/>
          <w:kern w:val="0"/>
          <w:sz w:val="31"/>
          <w:szCs w:val="31"/>
        </w:rPr>
      </w:pPr>
    </w:p>
    <w:p w:rsidR="00465AAD" w:rsidRDefault="00465AAD">
      <w:pPr>
        <w:widowControl/>
        <w:jc w:val="left"/>
        <w:rPr>
          <w:rFonts w:ascii="仿宋_GB2312" w:eastAsia="仿宋_GB2312" w:hAnsi="仿宋_GB2312" w:cs="仿宋_GB2312"/>
          <w:color w:val="000000"/>
          <w:kern w:val="0"/>
          <w:sz w:val="31"/>
          <w:szCs w:val="31"/>
        </w:rPr>
        <w:sectPr w:rsidR="00465AAD">
          <w:pgSz w:w="11906" w:h="16838"/>
          <w:pgMar w:top="1440" w:right="1800" w:bottom="1440" w:left="1800" w:header="851" w:footer="992" w:gutter="0"/>
          <w:cols w:space="425"/>
          <w:docGrid w:type="lines" w:linePitch="312"/>
        </w:sectPr>
      </w:pPr>
    </w:p>
    <w:bookmarkStart w:id="5" w:name="_MON_1664971794"/>
    <w:bookmarkEnd w:id="5"/>
    <w:p w:rsidR="00465AAD" w:rsidRDefault="00465AAD">
      <w:pPr>
        <w:widowControl/>
        <w:jc w:val="left"/>
        <w:rPr>
          <w:rFonts w:ascii="仿宋_GB2312" w:eastAsia="仿宋_GB2312" w:hAnsi="仿宋_GB2312" w:cs="仿宋_GB2312"/>
          <w:color w:val="000000"/>
          <w:kern w:val="0"/>
          <w:sz w:val="31"/>
          <w:szCs w:val="31"/>
        </w:rPr>
      </w:pPr>
      <w:r w:rsidRPr="00465AAD">
        <w:rPr>
          <w:rFonts w:ascii="仿宋_GB2312" w:eastAsia="仿宋_GB2312" w:hAnsi="仿宋_GB2312" w:cs="仿宋_GB2312" w:hint="eastAsia"/>
          <w:color w:val="000000"/>
          <w:kern w:val="0"/>
          <w:sz w:val="31"/>
          <w:szCs w:val="31"/>
        </w:rPr>
        <w:object w:dxaOrig="15945" w:dyaOrig="27885">
          <v:shape id="_x0000_i1026" type="#_x0000_t75" style="width:642pt;height:1225.5pt" o:ole="">
            <v:imagedata r:id="rId17" o:title=""/>
            <o:lock v:ext="edit" aspectratio="f"/>
          </v:shape>
          <o:OLEObject Type="Embed" ProgID="Excel.Sheet.12" ShapeID="_x0000_i1026" DrawAspect="Content" ObjectID="_1665141640" r:id="rId18"/>
        </w:object>
      </w:r>
      <w:r w:rsidRPr="00465AAD">
        <w:rPr>
          <w:rFonts w:ascii="黑体" w:eastAsia="黑体" w:hAnsi="黑体"/>
          <w:color w:val="000000"/>
          <w:szCs w:val="32"/>
        </w:rPr>
        <w:pict>
          <v:shape id="_x0000_i1027" type="#_x0000_t75" style="width:644.25pt;height:345pt">
            <v:imagedata r:id="rId19" o:title=""/>
            <o:lock v:ext="edit" aspectratio="f"/>
          </v:shape>
        </w:pict>
      </w:r>
    </w:p>
    <w:p w:rsidR="00465AAD" w:rsidRDefault="00465AAD">
      <w:pPr>
        <w:rPr>
          <w:rFonts w:ascii="黑体" w:eastAsia="黑体" w:hAnsi="黑体"/>
          <w:color w:val="000000"/>
          <w:kern w:val="0"/>
          <w:szCs w:val="32"/>
        </w:rPr>
      </w:pPr>
    </w:p>
    <w:p w:rsidR="00465AAD" w:rsidRDefault="00465AAD">
      <w:pPr>
        <w:rPr>
          <w:rFonts w:ascii="黑体" w:eastAsia="黑体" w:hAnsi="黑体"/>
          <w:color w:val="000000"/>
          <w:kern w:val="0"/>
          <w:szCs w:val="32"/>
        </w:rPr>
        <w:sectPr w:rsidR="00465AAD">
          <w:pgSz w:w="16838" w:h="11906" w:orient="landscape"/>
          <w:pgMar w:top="1800" w:right="1440" w:bottom="1800" w:left="1440" w:header="851" w:footer="992" w:gutter="0"/>
          <w:cols w:space="425"/>
          <w:docGrid w:type="lines" w:linePitch="312"/>
        </w:sectPr>
      </w:pPr>
    </w:p>
    <w:p w:rsidR="00465AAD" w:rsidRDefault="00465AAD">
      <w:pPr>
        <w:spacing w:line="560" w:lineRule="exact"/>
        <w:ind w:firstLineChars="200" w:firstLine="640"/>
        <w:rPr>
          <w:rFonts w:ascii="黑体" w:eastAsia="黑体" w:hAnsi="黑体"/>
          <w:color w:val="000000"/>
          <w:kern w:val="0"/>
          <w:szCs w:val="32"/>
        </w:rPr>
      </w:pPr>
    </w:p>
    <w:p w:rsidR="00465AAD" w:rsidRDefault="002A1236">
      <w:pPr>
        <w:tabs>
          <w:tab w:val="left" w:pos="142"/>
          <w:tab w:val="left" w:pos="567"/>
        </w:tabs>
        <w:spacing w:line="560" w:lineRule="exact"/>
        <w:ind w:leftChars="133" w:left="426" w:firstLineChars="200" w:firstLine="640"/>
        <w:rPr>
          <w:rFonts w:ascii="黑体" w:eastAsia="黑体" w:hAnsi="黑体"/>
          <w:szCs w:val="32"/>
        </w:rPr>
      </w:pPr>
      <w:r>
        <w:rPr>
          <w:rFonts w:ascii="黑体" w:eastAsia="黑体" w:hAnsi="黑体" w:hint="eastAsia"/>
          <w:color w:val="000000"/>
          <w:kern w:val="0"/>
          <w:szCs w:val="32"/>
        </w:rPr>
        <w:t>十一、其他重要事项说明</w:t>
      </w:r>
    </w:p>
    <w:p w:rsidR="00465AAD" w:rsidRDefault="002A1236">
      <w:pPr>
        <w:widowControl/>
        <w:tabs>
          <w:tab w:val="left" w:pos="142"/>
          <w:tab w:val="left" w:pos="567"/>
        </w:tabs>
        <w:spacing w:line="560" w:lineRule="exact"/>
        <w:ind w:leftChars="133" w:left="426" w:firstLineChars="200" w:firstLine="643"/>
        <w:jc w:val="left"/>
      </w:pPr>
      <w:r>
        <w:rPr>
          <w:rFonts w:ascii="楷体_GB2312" w:eastAsia="楷体_GB2312" w:hAnsi="宋体" w:cs="楷体_GB2312"/>
          <w:b/>
          <w:color w:val="000000"/>
          <w:kern w:val="0"/>
          <w:szCs w:val="32"/>
        </w:rPr>
        <w:t>（一）机关运行经费支出情况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465AAD" w:rsidRDefault="002A1236">
      <w:pPr>
        <w:widowControl/>
        <w:tabs>
          <w:tab w:val="left" w:pos="142"/>
          <w:tab w:val="left" w:pos="567"/>
        </w:tabs>
        <w:spacing w:line="560" w:lineRule="exact"/>
        <w:ind w:leftChars="133" w:left="426" w:firstLineChars="200" w:firstLine="620"/>
        <w:jc w:val="left"/>
        <w:rPr>
          <w:rFonts w:ascii="仿宋_GB2312" w:eastAsia="仿宋_GB2312" w:hAnsi="宋体" w:cs="仿宋_GB2312"/>
          <w:color w:val="000000"/>
          <w:kern w:val="0"/>
          <w:szCs w:val="32"/>
        </w:rPr>
      </w:pPr>
      <w:r>
        <w:rPr>
          <w:rFonts w:ascii="仿宋_GB2312" w:eastAsia="仿宋_GB2312" w:hAnsi="仿宋_GB2312" w:cs="仿宋_GB2312"/>
          <w:color w:val="000000"/>
          <w:kern w:val="0"/>
          <w:sz w:val="31"/>
          <w:szCs w:val="31"/>
        </w:rPr>
        <w:t>2019年</w:t>
      </w:r>
      <w:r>
        <w:rPr>
          <w:rFonts w:ascii="仿宋_GB2312" w:eastAsia="仿宋_GB2312" w:hAnsi="仿宋_GB2312" w:cs="仿宋_GB2312" w:hint="eastAsia"/>
          <w:color w:val="000000"/>
          <w:kern w:val="0"/>
          <w:sz w:val="31"/>
          <w:szCs w:val="31"/>
        </w:rPr>
        <w:t>度</w:t>
      </w:r>
      <w:r>
        <w:rPr>
          <w:rFonts w:ascii="仿宋_GB2312" w:eastAsia="仿宋_GB2312" w:hAnsi="仿宋_GB2312" w:cs="仿宋_GB2312"/>
          <w:color w:val="000000"/>
          <w:kern w:val="0"/>
          <w:sz w:val="31"/>
          <w:szCs w:val="31"/>
        </w:rPr>
        <w:t>机关运行经费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93.3</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97.14</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104.12</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增加3.84万元，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调整工资。</w:t>
      </w:r>
    </w:p>
    <w:p w:rsidR="00465AAD" w:rsidRDefault="002A1236">
      <w:pPr>
        <w:widowControl/>
        <w:tabs>
          <w:tab w:val="left" w:pos="142"/>
          <w:tab w:val="left" w:pos="567"/>
        </w:tabs>
        <w:spacing w:line="560" w:lineRule="exact"/>
        <w:ind w:leftChars="133" w:left="426"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（二）政府采购支出情况说明。</w:t>
      </w:r>
    </w:p>
    <w:p w:rsidR="00465AAD" w:rsidRDefault="002A1236">
      <w:pPr>
        <w:tabs>
          <w:tab w:val="left" w:pos="142"/>
          <w:tab w:val="left" w:pos="567"/>
        </w:tabs>
        <w:spacing w:line="560" w:lineRule="exact"/>
        <w:ind w:leftChars="133" w:left="426" w:firstLine="640"/>
        <w:rPr>
          <w:rFonts w:ascii="仿宋_GB2312" w:eastAsia="仿宋_GB2312" w:hAnsi="仿宋_GB2312" w:cs="仿宋_GB2312"/>
          <w:szCs w:val="32"/>
        </w:rPr>
      </w:pPr>
      <w:r>
        <w:rPr>
          <w:rFonts w:ascii="仿宋_GB2312" w:eastAsia="仿宋_GB2312" w:hAnsi="仿宋_GB2312" w:cs="仿宋_GB2312" w:hint="eastAsia"/>
          <w:szCs w:val="32"/>
        </w:rPr>
        <w:t>本部门201</w:t>
      </w:r>
      <w:r>
        <w:rPr>
          <w:rFonts w:ascii="仿宋_GB2312" w:eastAsia="仿宋_GB2312" w:hAnsi="仿宋_GB2312" w:cs="仿宋_GB2312"/>
          <w:szCs w:val="32"/>
        </w:rPr>
        <w:t>9</w:t>
      </w:r>
      <w:r>
        <w:rPr>
          <w:rFonts w:ascii="仿宋_GB2312" w:eastAsia="仿宋_GB2312" w:hAnsi="仿宋_GB2312" w:cs="仿宋_GB2312" w:hint="eastAsia"/>
          <w:szCs w:val="32"/>
        </w:rPr>
        <w:t>年度无政府采购支出</w:t>
      </w:r>
    </w:p>
    <w:p w:rsidR="00465AAD" w:rsidRDefault="002A1236">
      <w:pPr>
        <w:widowControl/>
        <w:tabs>
          <w:tab w:val="left" w:pos="142"/>
          <w:tab w:val="left" w:pos="567"/>
        </w:tabs>
        <w:spacing w:line="560" w:lineRule="exact"/>
        <w:ind w:leftChars="133" w:left="426"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（三）国有资产占用及购置情况说明。</w:t>
      </w:r>
    </w:p>
    <w:p w:rsidR="00465AAD" w:rsidRDefault="002A1236">
      <w:pPr>
        <w:tabs>
          <w:tab w:val="left" w:pos="142"/>
          <w:tab w:val="left" w:pos="567"/>
        </w:tabs>
        <w:spacing w:line="560" w:lineRule="exact"/>
        <w:ind w:leftChars="133" w:left="426" w:firstLine="640"/>
        <w:rPr>
          <w:rFonts w:ascii="仿宋_GB2312" w:eastAsia="仿宋_GB2312" w:hAnsi="仿宋_GB2312" w:cs="仿宋_GB2312"/>
          <w:szCs w:val="32"/>
        </w:rPr>
      </w:pPr>
      <w:r>
        <w:rPr>
          <w:rFonts w:ascii="仿宋_GB2312" w:eastAsia="仿宋_GB2312" w:hAnsi="仿宋_GB2312" w:cs="仿宋_GB2312" w:hint="eastAsia"/>
          <w:szCs w:val="32"/>
        </w:rPr>
        <w:t>截至2019年末，本部门机关及所属单位共有车辆0辆；单价50万元以上的通用设备0台（套）；单价100万元以上的专用设备0台（套）。201</w:t>
      </w:r>
      <w:r>
        <w:rPr>
          <w:rFonts w:ascii="仿宋_GB2312" w:eastAsia="仿宋_GB2312" w:hAnsi="仿宋_GB2312" w:cs="仿宋_GB2312"/>
          <w:szCs w:val="32"/>
        </w:rPr>
        <w:t>9</w:t>
      </w:r>
      <w:r>
        <w:rPr>
          <w:rFonts w:ascii="仿宋_GB2312" w:eastAsia="仿宋_GB2312" w:hAnsi="仿宋_GB2312" w:cs="仿宋_GB2312" w:hint="eastAsia"/>
          <w:szCs w:val="32"/>
        </w:rPr>
        <w:t>年当年购置车辆0辆；购置单价50万元以上的通用设备0台（套）；购置单价100万元以上的专用设备0台（套）。</w:t>
      </w:r>
    </w:p>
    <w:p w:rsidR="00465AAD" w:rsidRDefault="00465AAD">
      <w:pPr>
        <w:tabs>
          <w:tab w:val="left" w:pos="142"/>
          <w:tab w:val="left" w:pos="567"/>
        </w:tabs>
        <w:spacing w:line="560" w:lineRule="exact"/>
        <w:ind w:leftChars="133" w:left="426" w:firstLine="640"/>
        <w:rPr>
          <w:rFonts w:ascii="仿宋_GB2312" w:eastAsia="仿宋_GB2312" w:hAnsi="仿宋_GB2312" w:cs="仿宋_GB2312"/>
          <w:szCs w:val="32"/>
        </w:rPr>
      </w:pPr>
    </w:p>
    <w:p w:rsidR="00465AAD" w:rsidRDefault="002A1236">
      <w:pPr>
        <w:numPr>
          <w:ilvl w:val="0"/>
          <w:numId w:val="2"/>
        </w:numPr>
        <w:tabs>
          <w:tab w:val="left" w:pos="142"/>
          <w:tab w:val="left" w:pos="567"/>
        </w:tabs>
        <w:ind w:leftChars="133" w:left="426"/>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465AAD" w:rsidRDefault="00465AAD">
      <w:pPr>
        <w:tabs>
          <w:tab w:val="left" w:pos="142"/>
          <w:tab w:val="left" w:pos="567"/>
        </w:tabs>
        <w:ind w:leftChars="133" w:left="426"/>
        <w:rPr>
          <w:rFonts w:ascii="黑体" w:eastAsia="黑体" w:hAnsi="宋体"/>
          <w:color w:val="000000"/>
          <w:kern w:val="0"/>
          <w:sz w:val="44"/>
          <w:szCs w:val="44"/>
        </w:rPr>
      </w:pPr>
    </w:p>
    <w:p w:rsidR="00465AAD" w:rsidRDefault="002A1236">
      <w:pPr>
        <w:widowControl/>
        <w:tabs>
          <w:tab w:val="left" w:pos="142"/>
          <w:tab w:val="left" w:pos="567"/>
        </w:tabs>
        <w:spacing w:line="560" w:lineRule="exact"/>
        <w:ind w:leftChars="133" w:left="426"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465AAD" w:rsidRDefault="002A1236">
      <w:pPr>
        <w:tabs>
          <w:tab w:val="left" w:pos="142"/>
          <w:tab w:val="left" w:pos="567"/>
        </w:tabs>
        <w:spacing w:line="560" w:lineRule="exact"/>
        <w:ind w:leftChars="133" w:left="426"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465AAD" w:rsidRDefault="002A1236">
      <w:pPr>
        <w:tabs>
          <w:tab w:val="left" w:pos="142"/>
          <w:tab w:val="left" w:pos="567"/>
        </w:tabs>
        <w:spacing w:line="560" w:lineRule="exact"/>
        <w:ind w:leftChars="133" w:left="426"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465AAD" w:rsidRDefault="002A1236">
      <w:pPr>
        <w:tabs>
          <w:tab w:val="left" w:pos="142"/>
          <w:tab w:val="left" w:pos="567"/>
        </w:tabs>
        <w:spacing w:line="560" w:lineRule="exact"/>
        <w:ind w:leftChars="133" w:left="426"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465AAD" w:rsidRDefault="002A1236">
      <w:pPr>
        <w:tabs>
          <w:tab w:val="left" w:pos="142"/>
          <w:tab w:val="left" w:pos="567"/>
        </w:tabs>
        <w:spacing w:line="560" w:lineRule="exact"/>
        <w:ind w:leftChars="133" w:left="426" w:firstLine="640"/>
        <w:rPr>
          <w:rFonts w:ascii="仿宋_GB2312" w:eastAsia="仿宋_GB2312" w:hAnsi="仿宋_GB2312" w:cs="仿宋_GB2312"/>
          <w:szCs w:val="32"/>
        </w:rPr>
      </w:pPr>
      <w:r>
        <w:rPr>
          <w:rFonts w:ascii="仿宋_GB2312" w:eastAsia="仿宋_GB2312" w:hAnsi="仿宋_GB2312" w:cs="仿宋_GB2312" w:hint="eastAsia"/>
          <w:b/>
          <w:bCs/>
          <w:szCs w:val="32"/>
        </w:rPr>
        <w:lastRenderedPageBreak/>
        <w:t>4.财政拨款收入</w:t>
      </w:r>
      <w:r>
        <w:rPr>
          <w:rFonts w:ascii="仿宋_GB2312" w:eastAsia="仿宋_GB2312" w:hAnsi="仿宋_GB2312" w:cs="仿宋_GB2312" w:hint="eastAsia"/>
          <w:szCs w:val="32"/>
        </w:rPr>
        <w:t>：指本级财政当年拨付的资金。</w:t>
      </w:r>
    </w:p>
    <w:p w:rsidR="00465AAD" w:rsidRDefault="002A1236">
      <w:pPr>
        <w:tabs>
          <w:tab w:val="left" w:pos="142"/>
          <w:tab w:val="left" w:pos="567"/>
        </w:tabs>
        <w:spacing w:line="560" w:lineRule="exact"/>
        <w:ind w:leftChars="133" w:left="426"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465AAD" w:rsidRDefault="00465AAD">
      <w:pPr>
        <w:tabs>
          <w:tab w:val="left" w:pos="142"/>
          <w:tab w:val="left" w:pos="567"/>
        </w:tabs>
        <w:ind w:leftChars="133" w:left="426"/>
      </w:pPr>
    </w:p>
    <w:sectPr w:rsidR="00465AAD" w:rsidSect="00465AAD">
      <w:pgSz w:w="11906" w:h="16838"/>
      <w:pgMar w:top="1440" w:right="1133" w:bottom="1440" w:left="993"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236" w:rsidRDefault="002A1236" w:rsidP="002A1236">
      <w:r>
        <w:separator/>
      </w:r>
    </w:p>
  </w:endnote>
  <w:endnote w:type="continuationSeparator" w:id="0">
    <w:p w:rsidR="002A1236" w:rsidRDefault="002A1236" w:rsidP="002A1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236" w:rsidRDefault="002A1236" w:rsidP="002A1236">
      <w:r>
        <w:separator/>
      </w:r>
    </w:p>
  </w:footnote>
  <w:footnote w:type="continuationSeparator" w:id="0">
    <w:p w:rsidR="002A1236" w:rsidRDefault="002A1236" w:rsidP="002A12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39BEA4A8"/>
    <w:multiLevelType w:val="singleLevel"/>
    <w:tmpl w:val="39BEA4A8"/>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A24EB"/>
    <w:rsid w:val="000F7C39"/>
    <w:rsid w:val="00100324"/>
    <w:rsid w:val="001A05EA"/>
    <w:rsid w:val="001E5AF2"/>
    <w:rsid w:val="001F063D"/>
    <w:rsid w:val="001F7D35"/>
    <w:rsid w:val="00240A94"/>
    <w:rsid w:val="002A1236"/>
    <w:rsid w:val="00326973"/>
    <w:rsid w:val="003726BE"/>
    <w:rsid w:val="003D2D41"/>
    <w:rsid w:val="003F1FB1"/>
    <w:rsid w:val="003F5B64"/>
    <w:rsid w:val="00465AAD"/>
    <w:rsid w:val="00547DEB"/>
    <w:rsid w:val="00564DF0"/>
    <w:rsid w:val="005D73D9"/>
    <w:rsid w:val="005E13FA"/>
    <w:rsid w:val="00644850"/>
    <w:rsid w:val="006678D6"/>
    <w:rsid w:val="006C28F8"/>
    <w:rsid w:val="007120E2"/>
    <w:rsid w:val="00714083"/>
    <w:rsid w:val="00752670"/>
    <w:rsid w:val="00760D17"/>
    <w:rsid w:val="00791050"/>
    <w:rsid w:val="007E0194"/>
    <w:rsid w:val="00804EAA"/>
    <w:rsid w:val="00951E4F"/>
    <w:rsid w:val="009E2608"/>
    <w:rsid w:val="00A23EF7"/>
    <w:rsid w:val="00A26BAC"/>
    <w:rsid w:val="00AC0297"/>
    <w:rsid w:val="00B30771"/>
    <w:rsid w:val="00B32547"/>
    <w:rsid w:val="00B4331B"/>
    <w:rsid w:val="00BE04B0"/>
    <w:rsid w:val="00BE6961"/>
    <w:rsid w:val="00BE7F65"/>
    <w:rsid w:val="00C40F01"/>
    <w:rsid w:val="00C93AE0"/>
    <w:rsid w:val="00CD2E90"/>
    <w:rsid w:val="00CD558F"/>
    <w:rsid w:val="00CF3A2F"/>
    <w:rsid w:val="00CF6491"/>
    <w:rsid w:val="00CF7AEF"/>
    <w:rsid w:val="00D15260"/>
    <w:rsid w:val="00D221EE"/>
    <w:rsid w:val="00D619DB"/>
    <w:rsid w:val="00DA5540"/>
    <w:rsid w:val="00E211C6"/>
    <w:rsid w:val="00E62C26"/>
    <w:rsid w:val="00EC5482"/>
    <w:rsid w:val="00EE5EEF"/>
    <w:rsid w:val="00EF512A"/>
    <w:rsid w:val="00F01B20"/>
    <w:rsid w:val="00F60A56"/>
    <w:rsid w:val="00FA1F60"/>
    <w:rsid w:val="00FE2532"/>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30DF4759"/>
    <w:rsid w:val="33B90773"/>
    <w:rsid w:val="350A5D93"/>
    <w:rsid w:val="3669223E"/>
    <w:rsid w:val="366C12FC"/>
    <w:rsid w:val="3BFC6DCC"/>
    <w:rsid w:val="3C7A6DAB"/>
    <w:rsid w:val="3D904069"/>
    <w:rsid w:val="3FCA23EC"/>
    <w:rsid w:val="41942E54"/>
    <w:rsid w:val="424D60E4"/>
    <w:rsid w:val="42FA4769"/>
    <w:rsid w:val="43BC1030"/>
    <w:rsid w:val="47964FBE"/>
    <w:rsid w:val="4A1752A2"/>
    <w:rsid w:val="4B18398F"/>
    <w:rsid w:val="505400B0"/>
    <w:rsid w:val="50C46A00"/>
    <w:rsid w:val="52AC7AB3"/>
    <w:rsid w:val="54207C4C"/>
    <w:rsid w:val="544D3043"/>
    <w:rsid w:val="596D661C"/>
    <w:rsid w:val="5F5027A5"/>
    <w:rsid w:val="65706DA4"/>
    <w:rsid w:val="69A157A9"/>
    <w:rsid w:val="6B3B79EC"/>
    <w:rsid w:val="6EAC6681"/>
    <w:rsid w:val="6F094735"/>
    <w:rsid w:val="71840673"/>
    <w:rsid w:val="73431FE5"/>
    <w:rsid w:val="778B0394"/>
    <w:rsid w:val="7B6D5E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AAD"/>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65AAD"/>
    <w:rPr>
      <w:rFonts w:ascii="宋体" w:eastAsia="宋体" w:hAnsi="Courier New"/>
      <w:sz w:val="21"/>
    </w:rPr>
  </w:style>
  <w:style w:type="paragraph" w:styleId="a4">
    <w:name w:val="Balloon Text"/>
    <w:basedOn w:val="a"/>
    <w:link w:val="Char"/>
    <w:rsid w:val="00465AAD"/>
    <w:rPr>
      <w:sz w:val="18"/>
      <w:szCs w:val="18"/>
    </w:rPr>
  </w:style>
  <w:style w:type="paragraph" w:styleId="a5">
    <w:name w:val="footer"/>
    <w:basedOn w:val="a"/>
    <w:qFormat/>
    <w:rsid w:val="00465AAD"/>
    <w:pPr>
      <w:tabs>
        <w:tab w:val="center" w:pos="4153"/>
        <w:tab w:val="right" w:pos="8306"/>
      </w:tabs>
      <w:snapToGrid w:val="0"/>
      <w:jc w:val="left"/>
    </w:pPr>
    <w:rPr>
      <w:sz w:val="18"/>
    </w:rPr>
  </w:style>
  <w:style w:type="paragraph" w:styleId="a6">
    <w:name w:val="header"/>
    <w:basedOn w:val="a"/>
    <w:qFormat/>
    <w:rsid w:val="00465A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next w:val="a6"/>
    <w:uiPriority w:val="99"/>
    <w:qFormat/>
    <w:rsid w:val="00465AA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65AAD"/>
    <w:rPr>
      <w:b/>
      <w:bCs/>
    </w:rPr>
  </w:style>
  <w:style w:type="table" w:styleId="a9">
    <w:name w:val="Table Grid"/>
    <w:basedOn w:val="a1"/>
    <w:qFormat/>
    <w:rsid w:val="00465A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465AAD"/>
    <w:rPr>
      <w:rFonts w:ascii="宋体" w:eastAsia="宋体" w:hAnsi="宋体" w:cs="宋体" w:hint="eastAsia"/>
      <w:b/>
      <w:color w:val="000000"/>
      <w:sz w:val="32"/>
      <w:szCs w:val="32"/>
      <w:u w:val="none"/>
    </w:rPr>
  </w:style>
  <w:style w:type="character" w:customStyle="1" w:styleId="font91">
    <w:name w:val="font91"/>
    <w:basedOn w:val="a0"/>
    <w:qFormat/>
    <w:rsid w:val="00465AAD"/>
    <w:rPr>
      <w:rFonts w:ascii="宋体" w:eastAsia="宋体" w:hAnsi="宋体" w:cs="宋体" w:hint="eastAsia"/>
      <w:color w:val="000000"/>
      <w:sz w:val="32"/>
      <w:szCs w:val="32"/>
      <w:u w:val="none"/>
    </w:rPr>
  </w:style>
  <w:style w:type="character" w:customStyle="1" w:styleId="font51">
    <w:name w:val="font51"/>
    <w:basedOn w:val="a0"/>
    <w:qFormat/>
    <w:rsid w:val="00465AAD"/>
    <w:rPr>
      <w:rFonts w:ascii="宋体" w:eastAsia="宋体" w:hAnsi="宋体" w:cs="宋体" w:hint="eastAsia"/>
      <w:color w:val="000000"/>
      <w:sz w:val="20"/>
      <w:szCs w:val="20"/>
      <w:u w:val="none"/>
    </w:rPr>
  </w:style>
  <w:style w:type="character" w:customStyle="1" w:styleId="font101">
    <w:name w:val="font101"/>
    <w:basedOn w:val="a0"/>
    <w:qFormat/>
    <w:rsid w:val="00465AAD"/>
    <w:rPr>
      <w:rFonts w:ascii="宋体" w:eastAsia="宋体" w:hAnsi="宋体" w:cs="宋体" w:hint="eastAsia"/>
      <w:color w:val="000000"/>
      <w:sz w:val="20"/>
      <w:szCs w:val="20"/>
      <w:u w:val="none"/>
    </w:rPr>
  </w:style>
  <w:style w:type="character" w:customStyle="1" w:styleId="font21">
    <w:name w:val="font21"/>
    <w:basedOn w:val="a0"/>
    <w:qFormat/>
    <w:rsid w:val="00465AAD"/>
    <w:rPr>
      <w:rFonts w:ascii="宋体" w:eastAsia="宋体" w:hAnsi="宋体" w:cs="宋体" w:hint="eastAsia"/>
      <w:color w:val="000000"/>
      <w:sz w:val="18"/>
      <w:szCs w:val="18"/>
      <w:u w:val="none"/>
    </w:rPr>
  </w:style>
  <w:style w:type="character" w:customStyle="1" w:styleId="font112">
    <w:name w:val="font112"/>
    <w:basedOn w:val="a0"/>
    <w:qFormat/>
    <w:rsid w:val="00465AAD"/>
    <w:rPr>
      <w:rFonts w:ascii="宋体" w:eastAsia="宋体" w:hAnsi="宋体" w:cs="宋体" w:hint="eastAsia"/>
      <w:color w:val="000000"/>
      <w:sz w:val="20"/>
      <w:szCs w:val="20"/>
      <w:u w:val="none"/>
    </w:rPr>
  </w:style>
  <w:style w:type="character" w:customStyle="1" w:styleId="font61">
    <w:name w:val="font61"/>
    <w:basedOn w:val="a0"/>
    <w:qFormat/>
    <w:rsid w:val="00465AAD"/>
    <w:rPr>
      <w:rFonts w:ascii="宋体" w:eastAsia="宋体" w:hAnsi="宋体" w:cs="宋体" w:hint="eastAsia"/>
      <w:color w:val="000000"/>
      <w:sz w:val="24"/>
      <w:szCs w:val="24"/>
      <w:u w:val="none"/>
    </w:rPr>
  </w:style>
  <w:style w:type="character" w:customStyle="1" w:styleId="Char">
    <w:name w:val="批注框文本 Char"/>
    <w:basedOn w:val="a0"/>
    <w:link w:val="a4"/>
    <w:rsid w:val="00465AAD"/>
    <w:rPr>
      <w:rFonts w:ascii="Calibri" w:eastAsia="方正仿宋简体"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package" Target="embeddings/Microsoft_Office_Excel____1.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Excel%202007%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97-2003%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97-2003%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97-2003%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97-2003%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Microsoft%20Excel%202007%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6032;&#24314;%20Microsoft%20Excel%202007%20&#24037;&#20316;&#349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97-2003%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stacked"/>
        <c:ser>
          <c:idx val="0"/>
          <c:order val="0"/>
          <c:tx>
            <c:strRef>
              <c:f>Sheet1!$C$9</c:f>
              <c:strCache>
                <c:ptCount val="1"/>
              </c:strCache>
            </c:strRef>
          </c:tx>
          <c:dLbls>
            <c:dLbl>
              <c:idx val="0"/>
              <c:layout>
                <c:manualLayout>
                  <c:x val="0"/>
                  <c:y val="-0.45833333333333298"/>
                </c:manualLayout>
              </c:layout>
              <c:dLblPos val="ctr"/>
              <c:showVal val="1"/>
              <c:showCatName val="1"/>
              <c:extLst>
                <c:ext xmlns:c15="http://schemas.microsoft.com/office/drawing/2012/chart" uri="{CE6537A1-D6FC-4f65-9D91-7224C49458BB}">
                  <c15:layout/>
                </c:ext>
              </c:extLst>
            </c:dLbl>
            <c:dLbl>
              <c:idx val="1"/>
              <c:layout>
                <c:manualLayout>
                  <c:x val="2.7777777777777909E-3"/>
                  <c:y val="-0.44444444444444403"/>
                </c:manualLayout>
              </c:layout>
              <c:dLblPos val="ctr"/>
              <c:showVal val="1"/>
              <c:showCatName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Val val="1"/>
            <c:showCatName val="1"/>
            <c:extLst>
              <c:ext xmlns:c15="http://schemas.microsoft.com/office/drawing/2012/chart" uri="{CE6537A1-D6FC-4f65-9D91-7224C49458BB}">
                <c15:layout/>
                <c15:showLeaderLines val="0"/>
                <c15:leaderLines/>
              </c:ext>
            </c:extLst>
          </c:dLbls>
          <c:cat>
            <c:strRef>
              <c:f>Sheet1!$B$10:$B$11</c:f>
              <c:strCache>
                <c:ptCount val="2"/>
                <c:pt idx="0">
                  <c:v>事业编制</c:v>
                </c:pt>
                <c:pt idx="1">
                  <c:v>实有人员</c:v>
                </c:pt>
              </c:strCache>
            </c:strRef>
          </c:cat>
          <c:val>
            <c:numRef>
              <c:f>Sheet1!$C$10:$C$11</c:f>
              <c:numCache>
                <c:formatCode>General</c:formatCode>
                <c:ptCount val="2"/>
                <c:pt idx="0">
                  <c:v>6</c:v>
                </c:pt>
                <c:pt idx="1">
                  <c:v>6</c:v>
                </c:pt>
              </c:numCache>
            </c:numRef>
          </c:val>
        </c:ser>
        <c:dLbls>
          <c:showVal val="1"/>
          <c:showCatName val="1"/>
        </c:dLbls>
        <c:overlap val="100"/>
        <c:axId val="121280000"/>
        <c:axId val="121281536"/>
      </c:barChart>
      <c:catAx>
        <c:axId val="121280000"/>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1281536"/>
        <c:crosses val="autoZero"/>
        <c:auto val="1"/>
        <c:lblAlgn val="ctr"/>
        <c:lblOffset val="100"/>
      </c:catAx>
      <c:valAx>
        <c:axId val="121281536"/>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1280000"/>
        <c:crosses val="autoZero"/>
        <c:crossBetween val="between"/>
      </c:valAx>
    </c:plotArea>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layout/>
    </c:title>
    <c:plotArea>
      <c:layout/>
      <c:barChart>
        <c:barDir val="col"/>
        <c:grouping val="stacked"/>
        <c:ser>
          <c:idx val="0"/>
          <c:order val="0"/>
          <c:tx>
            <c:strRef>
              <c:f>Sheet1!$C$2</c:f>
              <c:strCache>
                <c:ptCount val="1"/>
                <c:pt idx="0">
                  <c:v>收入（万元）</c:v>
                </c:pt>
              </c:strCache>
            </c:strRef>
          </c:tx>
          <c:cat>
            <c:strRef>
              <c:f>Sheet1!$B$3:$B$4</c:f>
              <c:strCache>
                <c:ptCount val="2"/>
                <c:pt idx="0">
                  <c:v>2018年</c:v>
                </c:pt>
                <c:pt idx="1">
                  <c:v>2019年</c:v>
                </c:pt>
              </c:strCache>
            </c:strRef>
          </c:cat>
          <c:val>
            <c:numRef>
              <c:f>Sheet1!$C$3:$C$4</c:f>
              <c:numCache>
                <c:formatCode>General</c:formatCode>
                <c:ptCount val="2"/>
                <c:pt idx="0">
                  <c:v>79.010000000000005</c:v>
                </c:pt>
                <c:pt idx="1">
                  <c:v>97.14</c:v>
                </c:pt>
              </c:numCache>
            </c:numRef>
          </c:val>
        </c:ser>
        <c:overlap val="100"/>
        <c:axId val="84151680"/>
        <c:axId val="84595840"/>
      </c:barChart>
      <c:catAx>
        <c:axId val="84151680"/>
        <c:scaling>
          <c:orientation val="minMax"/>
        </c:scaling>
        <c:axPos val="b"/>
        <c:tickLblPos val="nextTo"/>
        <c:crossAx val="84595840"/>
        <c:crosses val="autoZero"/>
        <c:auto val="1"/>
        <c:lblAlgn val="ctr"/>
        <c:lblOffset val="100"/>
      </c:catAx>
      <c:valAx>
        <c:axId val="84595840"/>
        <c:scaling>
          <c:orientation val="minMax"/>
        </c:scaling>
        <c:axPos val="l"/>
        <c:majorGridlines/>
        <c:numFmt formatCode="General" sourceLinked="1"/>
        <c:tickLblPos val="nextTo"/>
        <c:crossAx val="8415168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layout/>
    </c:title>
    <c:plotArea>
      <c:layout/>
      <c:barChart>
        <c:barDir val="col"/>
        <c:grouping val="stacked"/>
        <c:ser>
          <c:idx val="0"/>
          <c:order val="0"/>
          <c:tx>
            <c:strRef>
              <c:f>Sheet1!$N$4</c:f>
              <c:strCache>
                <c:ptCount val="1"/>
                <c:pt idx="0">
                  <c:v>支出（万元）</c:v>
                </c:pt>
              </c:strCache>
            </c:strRef>
          </c:tx>
          <c:cat>
            <c:strRef>
              <c:f>Sheet1!$M$5:$M$6</c:f>
              <c:strCache>
                <c:ptCount val="2"/>
                <c:pt idx="0">
                  <c:v>2018年</c:v>
                </c:pt>
                <c:pt idx="1">
                  <c:v>2019年</c:v>
                </c:pt>
              </c:strCache>
            </c:strRef>
          </c:cat>
          <c:val>
            <c:numRef>
              <c:f>Sheet1!$N$5:$N$6</c:f>
              <c:numCache>
                <c:formatCode>General</c:formatCode>
                <c:ptCount val="2"/>
                <c:pt idx="0">
                  <c:v>79.010000000000005</c:v>
                </c:pt>
                <c:pt idx="1">
                  <c:v>97.14</c:v>
                </c:pt>
              </c:numCache>
            </c:numRef>
          </c:val>
        </c:ser>
        <c:overlap val="100"/>
        <c:axId val="84603648"/>
        <c:axId val="84611072"/>
      </c:barChart>
      <c:catAx>
        <c:axId val="84603648"/>
        <c:scaling>
          <c:orientation val="minMax"/>
        </c:scaling>
        <c:axPos val="b"/>
        <c:tickLblPos val="nextTo"/>
        <c:crossAx val="84611072"/>
        <c:crosses val="autoZero"/>
        <c:auto val="1"/>
        <c:lblAlgn val="ctr"/>
        <c:lblOffset val="100"/>
      </c:catAx>
      <c:valAx>
        <c:axId val="84611072"/>
        <c:scaling>
          <c:orientation val="minMax"/>
        </c:scaling>
        <c:axPos val="l"/>
        <c:majorGridlines/>
        <c:numFmt formatCode="General" sourceLinked="1"/>
        <c:tickLblPos val="nextTo"/>
        <c:crossAx val="8460364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layout/>
    </c:title>
    <c:plotArea>
      <c:layout/>
      <c:barChart>
        <c:barDir val="col"/>
        <c:grouping val="stacked"/>
        <c:ser>
          <c:idx val="0"/>
          <c:order val="0"/>
          <c:tx>
            <c:strRef>
              <c:f>Sheet1!$C$23</c:f>
              <c:strCache>
                <c:ptCount val="1"/>
                <c:pt idx="0">
                  <c:v>2019年收入决算（万元）</c:v>
                </c:pt>
              </c:strCache>
            </c:strRef>
          </c:tx>
          <c:cat>
            <c:strRef>
              <c:f>Sheet1!$B$24:$B$25</c:f>
              <c:strCache>
                <c:ptCount val="2"/>
                <c:pt idx="0">
                  <c:v>收入合计</c:v>
                </c:pt>
                <c:pt idx="1">
                  <c:v>财政拨款收入</c:v>
                </c:pt>
              </c:strCache>
            </c:strRef>
          </c:cat>
          <c:val>
            <c:numRef>
              <c:f>Sheet1!$C$24:$C$25</c:f>
              <c:numCache>
                <c:formatCode>General</c:formatCode>
                <c:ptCount val="2"/>
                <c:pt idx="0">
                  <c:v>97.14</c:v>
                </c:pt>
                <c:pt idx="1">
                  <c:v>97.14</c:v>
                </c:pt>
              </c:numCache>
            </c:numRef>
          </c:val>
        </c:ser>
        <c:overlap val="100"/>
        <c:axId val="84158336"/>
        <c:axId val="84284544"/>
      </c:barChart>
      <c:catAx>
        <c:axId val="84158336"/>
        <c:scaling>
          <c:orientation val="minMax"/>
        </c:scaling>
        <c:axPos val="b"/>
        <c:tickLblPos val="nextTo"/>
        <c:crossAx val="84284544"/>
        <c:crosses val="autoZero"/>
        <c:auto val="1"/>
        <c:lblAlgn val="ctr"/>
        <c:lblOffset val="100"/>
      </c:catAx>
      <c:valAx>
        <c:axId val="84284544"/>
        <c:scaling>
          <c:orientation val="minMax"/>
        </c:scaling>
        <c:axPos val="l"/>
        <c:majorGridlines/>
        <c:numFmt formatCode="General" sourceLinked="1"/>
        <c:tickLblPos val="nextTo"/>
        <c:crossAx val="84158336"/>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layout/>
    </c:title>
    <c:plotArea>
      <c:layout/>
      <c:barChart>
        <c:barDir val="col"/>
        <c:grouping val="stacked"/>
        <c:ser>
          <c:idx val="0"/>
          <c:order val="0"/>
          <c:tx>
            <c:strRef>
              <c:f>Sheet1!$C$41</c:f>
              <c:strCache>
                <c:ptCount val="1"/>
                <c:pt idx="0">
                  <c:v>2019年支出决算（万元）</c:v>
                </c:pt>
              </c:strCache>
            </c:strRef>
          </c:tx>
          <c:cat>
            <c:strRef>
              <c:f>Sheet1!$B$42:$B$43</c:f>
              <c:strCache>
                <c:ptCount val="2"/>
                <c:pt idx="0">
                  <c:v>收入合计</c:v>
                </c:pt>
                <c:pt idx="1">
                  <c:v>财政拨款收入</c:v>
                </c:pt>
              </c:strCache>
            </c:strRef>
          </c:cat>
          <c:val>
            <c:numRef>
              <c:f>Sheet1!$C$42:$C$43</c:f>
              <c:numCache>
                <c:formatCode>General</c:formatCode>
                <c:ptCount val="2"/>
                <c:pt idx="0">
                  <c:v>97.14</c:v>
                </c:pt>
                <c:pt idx="1">
                  <c:v>97.14</c:v>
                </c:pt>
              </c:numCache>
            </c:numRef>
          </c:val>
        </c:ser>
        <c:overlap val="100"/>
        <c:axId val="84537728"/>
        <c:axId val="84539264"/>
      </c:barChart>
      <c:catAx>
        <c:axId val="84537728"/>
        <c:scaling>
          <c:orientation val="minMax"/>
        </c:scaling>
        <c:axPos val="b"/>
        <c:tickLblPos val="nextTo"/>
        <c:crossAx val="84539264"/>
        <c:crosses val="autoZero"/>
        <c:auto val="1"/>
        <c:lblAlgn val="ctr"/>
        <c:lblOffset val="100"/>
      </c:catAx>
      <c:valAx>
        <c:axId val="84539264"/>
        <c:scaling>
          <c:orientation val="minMax"/>
        </c:scaling>
        <c:axPos val="l"/>
        <c:majorGridlines/>
        <c:numFmt formatCode="General" sourceLinked="1"/>
        <c:tickLblPos val="nextTo"/>
        <c:crossAx val="84537728"/>
        <c:crosses val="autoZero"/>
        <c:crossBetween val="between"/>
      </c:valAx>
    </c:plotArea>
    <c:legend>
      <c:legendPos val="r"/>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stacked"/>
        <c:ser>
          <c:idx val="0"/>
          <c:order val="0"/>
          <c:tx>
            <c:strRef>
              <c:f>Sheet1!$C$45</c:f>
              <c:strCache>
                <c:ptCount val="1"/>
                <c:pt idx="0">
                  <c:v>财政拨款收入（万元）</c:v>
                </c:pt>
              </c:strCache>
            </c:strRef>
          </c:tx>
          <c:cat>
            <c:strRef>
              <c:f>Sheet1!$B$46:$B$47</c:f>
              <c:strCache>
                <c:ptCount val="2"/>
                <c:pt idx="0">
                  <c:v>2018年</c:v>
                </c:pt>
                <c:pt idx="1">
                  <c:v>2019年</c:v>
                </c:pt>
              </c:strCache>
            </c:strRef>
          </c:cat>
          <c:val>
            <c:numRef>
              <c:f>Sheet1!$C$46:$C$47</c:f>
              <c:numCache>
                <c:formatCode>General</c:formatCode>
                <c:ptCount val="2"/>
                <c:pt idx="0">
                  <c:v>79.010000000000005</c:v>
                </c:pt>
                <c:pt idx="1">
                  <c:v>97.14</c:v>
                </c:pt>
              </c:numCache>
            </c:numRef>
          </c:val>
        </c:ser>
        <c:dLbls/>
        <c:overlap val="100"/>
        <c:axId val="52019584"/>
        <c:axId val="52021120"/>
      </c:barChart>
      <c:catAx>
        <c:axId val="52019584"/>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2021120"/>
        <c:crosses val="autoZero"/>
        <c:auto val="1"/>
        <c:lblAlgn val="ctr"/>
        <c:lblOffset val="100"/>
      </c:catAx>
      <c:valAx>
        <c:axId val="52021120"/>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2019584"/>
        <c:crosses val="autoZero"/>
        <c:crossBetween val="between"/>
      </c:valAx>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stacked"/>
        <c:ser>
          <c:idx val="0"/>
          <c:order val="0"/>
          <c:tx>
            <c:strRef>
              <c:f>Sheet1!$C$64</c:f>
              <c:strCache>
                <c:ptCount val="1"/>
                <c:pt idx="0">
                  <c:v>财政拨款支出（万元）</c:v>
                </c:pt>
              </c:strCache>
            </c:strRef>
          </c:tx>
          <c:cat>
            <c:strRef>
              <c:f>Sheet1!$B$65:$B$66</c:f>
              <c:strCache>
                <c:ptCount val="2"/>
                <c:pt idx="0">
                  <c:v>2018年</c:v>
                </c:pt>
                <c:pt idx="1">
                  <c:v>2019年</c:v>
                </c:pt>
              </c:strCache>
            </c:strRef>
          </c:cat>
          <c:val>
            <c:numRef>
              <c:f>Sheet1!$C$65:$C$66</c:f>
              <c:numCache>
                <c:formatCode>General</c:formatCode>
                <c:ptCount val="2"/>
                <c:pt idx="0">
                  <c:v>79.010000000000005</c:v>
                </c:pt>
                <c:pt idx="1">
                  <c:v>97.14</c:v>
                </c:pt>
              </c:numCache>
            </c:numRef>
          </c:val>
        </c:ser>
        <c:dLbls/>
        <c:overlap val="100"/>
        <c:axId val="121964032"/>
        <c:axId val="121965568"/>
      </c:barChart>
      <c:catAx>
        <c:axId val="121964032"/>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1965568"/>
        <c:crosses val="autoZero"/>
        <c:auto val="1"/>
        <c:lblAlgn val="ctr"/>
        <c:lblOffset val="100"/>
      </c:catAx>
      <c:valAx>
        <c:axId val="121965568"/>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1964032"/>
        <c:crosses val="autoZero"/>
        <c:crossBetween val="between"/>
      </c:valAx>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zh-CN"/>
  <c:chart>
    <c:title>
      <c:layout/>
    </c:title>
    <c:plotArea>
      <c:layout/>
      <c:barChart>
        <c:barDir val="col"/>
        <c:grouping val="stacked"/>
        <c:ser>
          <c:idx val="0"/>
          <c:order val="0"/>
          <c:tx>
            <c:strRef>
              <c:f>Sheet1!$C$50</c:f>
              <c:strCache>
                <c:ptCount val="1"/>
                <c:pt idx="0">
                  <c:v>财政拨款支出决算（万元）</c:v>
                </c:pt>
              </c:strCache>
            </c:strRef>
          </c:tx>
          <c:cat>
            <c:strRef>
              <c:f>Sheet1!$B$51:$B$52</c:f>
              <c:strCache>
                <c:ptCount val="2"/>
                <c:pt idx="0">
                  <c:v>2018年</c:v>
                </c:pt>
                <c:pt idx="1">
                  <c:v>2019年</c:v>
                </c:pt>
              </c:strCache>
            </c:strRef>
          </c:cat>
          <c:val>
            <c:numRef>
              <c:f>Sheet1!$C$51:$C$52</c:f>
              <c:numCache>
                <c:formatCode>General</c:formatCode>
                <c:ptCount val="2"/>
                <c:pt idx="0">
                  <c:v>79.010000000000005</c:v>
                </c:pt>
                <c:pt idx="1">
                  <c:v>97.14</c:v>
                </c:pt>
              </c:numCache>
            </c:numRef>
          </c:val>
        </c:ser>
        <c:overlap val="100"/>
        <c:axId val="84318080"/>
        <c:axId val="84440576"/>
      </c:barChart>
      <c:catAx>
        <c:axId val="84318080"/>
        <c:scaling>
          <c:orientation val="minMax"/>
        </c:scaling>
        <c:axPos val="b"/>
        <c:tickLblPos val="nextTo"/>
        <c:crossAx val="84440576"/>
        <c:crosses val="autoZero"/>
        <c:auto val="1"/>
        <c:lblAlgn val="ctr"/>
        <c:lblOffset val="100"/>
      </c:catAx>
      <c:valAx>
        <c:axId val="84440576"/>
        <c:scaling>
          <c:orientation val="minMax"/>
        </c:scaling>
        <c:axPos val="l"/>
        <c:majorGridlines/>
        <c:numFmt formatCode="General" sourceLinked="1"/>
        <c:tickLblPos val="nextTo"/>
        <c:crossAx val="8431808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5225</Words>
  <Characters>3853</Characters>
  <Application>Microsoft Office Word</Application>
  <DocSecurity>0</DocSecurity>
  <Lines>32</Lines>
  <Paragraphs>18</Paragraphs>
  <ScaleCrop>false</ScaleCrop>
  <Company>CHINA</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dreamsummit</cp:lastModifiedBy>
  <cp:revision>2</cp:revision>
  <cp:lastPrinted>2020-10-09T08:01:00Z</cp:lastPrinted>
  <dcterms:created xsi:type="dcterms:W3CDTF">2020-10-25T06:34:00Z</dcterms:created>
  <dcterms:modified xsi:type="dcterms:W3CDTF">2020-10-25T06:34:00Z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