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sz w:val="36"/>
          <w:szCs w:val="36"/>
        </w:rPr>
      </w:pP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sz w:val="44"/>
          <w:szCs w:val="44"/>
        </w:rPr>
      </w:pPr>
      <w:r>
        <w:rPr>
          <w:rStyle w:val="10"/>
          <w:rFonts w:hint="eastAsia" w:ascii="方正小标宋简体" w:hAnsi="方正小标宋简体" w:eastAsia="方正小标宋简体" w:cs="方正小标宋简体"/>
          <w:sz w:val="44"/>
          <w:szCs w:val="44"/>
        </w:rPr>
        <w:t>西安市阎良区残疾人联合会</w:t>
      </w: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color w:val="000000"/>
          <w:sz w:val="44"/>
          <w:szCs w:val="44"/>
        </w:rPr>
        <w:t>2019年度部门决算公开</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bookmarkStart w:id="4" w:name="_GoBack"/>
      <w:bookmarkEnd w:id="4"/>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保密审查情况：已审查</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ascii="宋体" w:hAnsi="宋体" w:cs="宋体"/>
          <w:b/>
          <w:bCs/>
          <w:szCs w:val="32"/>
        </w:rPr>
      </w:pPr>
      <w:r>
        <w:rPr>
          <w:rFonts w:hint="eastAsia" w:asciiTheme="minorEastAsia" w:hAnsiTheme="minorEastAsia" w:eastAsiaTheme="minorEastAsia" w:cstheme="minorEastAsia"/>
          <w:b/>
          <w:bCs/>
          <w:szCs w:val="32"/>
        </w:rPr>
        <w:t>部门主要负责人审签情况：</w:t>
      </w:r>
      <w:r>
        <w:rPr>
          <w:rFonts w:hint="eastAsia" w:asciiTheme="minorEastAsia" w:hAnsiTheme="minorEastAsia" w:eastAsiaTheme="minorEastAsia" w:cstheme="minorEastAsia"/>
          <w:b/>
          <w:bCs/>
          <w:szCs w:val="32"/>
          <w:lang w:eastAsia="zh-CN"/>
        </w:rPr>
        <w:t>肖养文</w:t>
      </w:r>
      <w:r>
        <w:rPr>
          <w:rFonts w:hint="eastAsia" w:asciiTheme="minorEastAsia" w:hAnsiTheme="minorEastAsia" w:eastAsiaTheme="minorEastAsia" w:cstheme="minorEastAsia"/>
          <w:b/>
          <w:bCs/>
          <w:szCs w:val="32"/>
        </w:rPr>
        <w:t>已审签</w:t>
      </w:r>
    </w:p>
    <w:p>
      <w:pPr>
        <w:jc w:val="center"/>
        <w:rPr>
          <w:rFonts w:ascii="黑体" w:hAnsi="宋体" w:eastAsia="黑体"/>
          <w:b/>
          <w:color w:val="000000"/>
          <w:kern w:val="0"/>
          <w:sz w:val="56"/>
          <w:szCs w:val="56"/>
        </w:rPr>
      </w:pPr>
    </w:p>
    <w:p>
      <w:pPr>
        <w:jc w:val="center"/>
        <w:rPr>
          <w:rFonts w:ascii="黑体" w:hAnsi="宋体" w:eastAsia="黑体"/>
          <w:b/>
          <w:color w:val="000000"/>
          <w:kern w:val="0"/>
          <w:sz w:val="56"/>
          <w:szCs w:val="5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一、部门主要职责及内设机构</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二、部门决算单位构成</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一、收入支出决算总表     </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二、收入决算总表     </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三、支出决算总表    </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四、财政拨款收入支出决算总表    </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五、一般公共预算财政拨款支出决算表  </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六、一般公共预算财政拨款基本支出决算表    </w:t>
      </w:r>
    </w:p>
    <w:p>
      <w:pPr>
        <w:widowControl/>
        <w:ind w:left="640" w:hanging="640" w:hangingChars="200"/>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七、一般公共预算财政拨款“三公”经费及会议费、培训费支出决算表    </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一、收入支出决算总体情况说明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二、收入决算情况说明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三、支出决算情况说明</w:t>
      </w:r>
    </w:p>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Cs w:val="32"/>
        </w:rPr>
        <w:t>四、财政拨款收入支出决算总体情况说明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五、一般公共预算财政拨款支出决算情况说明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（一）财政拨款支出决算总体情况说明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（二）财政拨款支出决算具体情况说明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六、一般公共预算财政拨款基本支出决算情况说明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七、一般公共预算财政拨款“三公”经费及会议费、培训费支出决算情况说明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（一）“三公”经费财政拨款支出决算总体情况说明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（二）“三公”经费财政拨款支出决算具体情况说明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（三）培训费支出情况说明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（四）会议费支出情况说明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八、政府性基金预算财政拨款收入支出情况说明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九、国有资本经营财政拨款收入支出情况说明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十、预算绩效情况说明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（一）预算绩效管理工作开展情况说明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（二）部门决算中项目绩效自评结果</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（三）部门决算中整体支出绩效自评结果</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xml:space="preserve"> 十一、其他重要事项说明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（一）机关运行经费支出情况说明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（二）政府采购支出情况说明</w:t>
      </w:r>
    </w:p>
    <w:p>
      <w:pPr>
        <w:widowControl/>
        <w:jc w:val="left"/>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（三）国有资产占用及购置情况说明</w:t>
      </w: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2"/>
        </w:numPr>
        <w:spacing w:line="600" w:lineRule="exact"/>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6"/>
        <w:spacing w:before="0" w:beforeAutospacing="0" w:after="0" w:afterAutospacing="0" w:line="60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600" w:lineRule="exact"/>
        <w:ind w:firstLine="640"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西安市阎良区残疾人联合会是区委、区政府领导下的群团组织，业务上接受市残联的指导。其职能是充分发挥“代表、服务、管理”职能，即代表残疾人共同利益，维护残疾人合法权益；团结教育残疾人，为残疾人服务；履行政府赋予的职责，管理和发展残疾人事业。</w:t>
      </w:r>
    </w:p>
    <w:p>
      <w:pPr>
        <w:widowControl/>
        <w:spacing w:line="600" w:lineRule="exact"/>
        <w:ind w:firstLine="643" w:firstLineChars="200"/>
        <w:jc w:val="left"/>
        <w:rPr>
          <w:rFonts w:hint="eastAsia" w:ascii="仿宋_GB2312" w:hAnsi="仿宋_GB2312" w:eastAsia="仿宋_GB2312" w:cs="仿宋_GB2312"/>
          <w:szCs w:val="32"/>
        </w:rPr>
      </w:pPr>
      <w:r>
        <w:rPr>
          <w:rFonts w:hint="eastAsia" w:ascii="楷体" w:hAnsi="楷体" w:eastAsia="楷体" w:cs="楷体"/>
          <w:b/>
          <w:bCs/>
          <w:color w:val="000000"/>
          <w:kern w:val="0"/>
          <w:szCs w:val="32"/>
        </w:rPr>
        <w:t>（一）主要职责</w:t>
      </w:r>
    </w:p>
    <w:p>
      <w:pPr>
        <w:spacing w:line="560" w:lineRule="exact"/>
        <w:ind w:firstLine="640" w:firstLineChars="200"/>
        <w:rPr>
          <w:rFonts w:hint="eastAsia" w:ascii="仿宋_GB2312" w:eastAsia="仿宋_GB2312"/>
          <w:szCs w:val="32"/>
        </w:rPr>
      </w:pPr>
      <w:r>
        <w:rPr>
          <w:rFonts w:hint="eastAsia" w:ascii="仿宋_GB2312" w:eastAsia="仿宋_GB2312"/>
          <w:szCs w:val="32"/>
        </w:rPr>
        <w:t>1、听取残疾人意见，反映残疾人需求，维护残疾人利益，为残疾人服务。</w:t>
      </w:r>
    </w:p>
    <w:p>
      <w:pPr>
        <w:spacing w:line="560" w:lineRule="exact"/>
        <w:ind w:firstLine="640" w:firstLineChars="200"/>
        <w:rPr>
          <w:rFonts w:hint="eastAsia" w:ascii="仿宋_GB2312" w:eastAsia="仿宋_GB2312"/>
          <w:szCs w:val="32"/>
        </w:rPr>
      </w:pPr>
      <w:r>
        <w:rPr>
          <w:rFonts w:hint="eastAsia" w:ascii="仿宋_GB2312" w:eastAsia="仿宋_GB2312"/>
          <w:szCs w:val="32"/>
        </w:rPr>
        <w:t>2、团结教育残疾人遵纪守法，履行应尽的义务，发扬乐观进取，自尊自强、自立的精神，为社会贡献力量。</w:t>
      </w:r>
    </w:p>
    <w:p>
      <w:pPr>
        <w:spacing w:line="560" w:lineRule="exact"/>
        <w:ind w:firstLine="640" w:firstLineChars="200"/>
        <w:rPr>
          <w:rFonts w:hint="eastAsia" w:ascii="仿宋_GB2312" w:eastAsia="仿宋_GB2312"/>
          <w:szCs w:val="32"/>
        </w:rPr>
      </w:pPr>
      <w:r>
        <w:rPr>
          <w:rFonts w:hint="eastAsia" w:ascii="仿宋_GB2312" w:eastAsia="仿宋_GB2312"/>
          <w:szCs w:val="32"/>
        </w:rPr>
        <w:t>3、弘扬人道主义，宣传残疾人事业，沟通政府、社会和残疾人的关系，动员全社会关心帮助残疾人。</w:t>
      </w:r>
    </w:p>
    <w:p>
      <w:pPr>
        <w:spacing w:line="560" w:lineRule="exact"/>
        <w:ind w:firstLine="640" w:firstLineChars="200"/>
        <w:rPr>
          <w:rFonts w:hint="eastAsia" w:ascii="仿宋_GB2312" w:eastAsia="仿宋_GB2312"/>
          <w:szCs w:val="32"/>
        </w:rPr>
      </w:pPr>
      <w:r>
        <w:rPr>
          <w:rFonts w:hint="eastAsia" w:ascii="仿宋_GB2312" w:eastAsia="仿宋_GB2312"/>
          <w:szCs w:val="32"/>
        </w:rPr>
        <w:t>4、开展残疾人教育、康复、文化体育等各项活动，扶助残疾人平等参与社会。</w:t>
      </w:r>
    </w:p>
    <w:p>
      <w:pPr>
        <w:spacing w:line="560" w:lineRule="exact"/>
        <w:ind w:firstLine="640" w:firstLineChars="200"/>
        <w:rPr>
          <w:rFonts w:hint="eastAsia" w:ascii="仿宋_GB2312" w:hAnsi="仿宋_GB2312" w:eastAsia="仿宋_GB2312" w:cs="仿宋_GB2312"/>
          <w:szCs w:val="32"/>
        </w:rPr>
      </w:pPr>
      <w:r>
        <w:rPr>
          <w:rFonts w:hint="eastAsia" w:ascii="仿宋_GB2312" w:eastAsia="仿宋_GB2312"/>
          <w:szCs w:val="32"/>
        </w:rPr>
        <w:t>5、承担区政府委托的日常工作，对有关业务进行指导管理。</w:t>
      </w:r>
    </w:p>
    <w:p>
      <w:pPr>
        <w:widowControl/>
        <w:numPr>
          <w:ilvl w:val="0"/>
          <w:numId w:val="3"/>
        </w:numPr>
        <w:spacing w:line="60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内设机构</w:t>
      </w:r>
    </w:p>
    <w:p>
      <w:pPr>
        <w:spacing w:line="60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本部门有内设机构1个，名称：西安市阎良区残疾人联合会。</w:t>
      </w:r>
    </w:p>
    <w:p>
      <w:pPr>
        <w:widowControl/>
        <w:spacing w:line="600" w:lineRule="exact"/>
        <w:ind w:firstLine="640" w:firstLineChars="200"/>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spacing w:line="60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纳入2019年度本部门决算编制范围的单位共1个，包括西安市阎良区残疾人联合会本级：</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1681" w:type="dxa"/>
            <w:vAlign w:val="center"/>
          </w:tcPr>
          <w:p>
            <w:pPr>
              <w:spacing w:line="600" w:lineRule="exact"/>
              <w:jc w:val="center"/>
              <w:rPr>
                <w:rFonts w:ascii="黑体" w:hAnsi="黑体" w:eastAsia="黑体"/>
                <w:szCs w:val="32"/>
              </w:rPr>
            </w:pPr>
            <w:r>
              <w:rPr>
                <w:rFonts w:hint="eastAsia" w:ascii="黑体" w:hAnsi="黑体" w:eastAsia="黑体"/>
                <w:szCs w:val="32"/>
              </w:rPr>
              <w:t>序号</w:t>
            </w:r>
          </w:p>
        </w:tc>
        <w:tc>
          <w:tcPr>
            <w:tcW w:w="7278" w:type="dxa"/>
            <w:vAlign w:val="center"/>
          </w:tcPr>
          <w:p>
            <w:pPr>
              <w:spacing w:line="600" w:lineRule="exact"/>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spacing w:line="600" w:lineRule="exact"/>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spacing w:line="600" w:lineRule="exact"/>
              <w:jc w:val="center"/>
              <w:rPr>
                <w:rFonts w:ascii="仿宋_GB2312" w:hAnsi="仿宋_GB2312" w:eastAsia="仿宋_GB2312" w:cs="仿宋_GB2312"/>
                <w:szCs w:val="32"/>
              </w:rPr>
            </w:pPr>
            <w:r>
              <w:rPr>
                <w:rFonts w:hint="eastAsia" w:ascii="仿宋_GB2312" w:hAnsi="仿宋_GB2312" w:eastAsia="仿宋_GB2312" w:cs="仿宋_GB2312"/>
                <w:szCs w:val="32"/>
              </w:rPr>
              <w:t>西安市阎良区残疾人联合会</w:t>
            </w:r>
          </w:p>
        </w:tc>
      </w:tr>
    </w:tbl>
    <w:p>
      <w:pPr>
        <w:spacing w:line="600" w:lineRule="exact"/>
        <w:ind w:firstLine="640"/>
        <w:rPr>
          <w:rFonts w:ascii="黑体" w:hAnsi="黑体" w:eastAsia="黑体"/>
          <w:b/>
          <w:bCs/>
          <w:szCs w:val="32"/>
        </w:rPr>
      </w:pPr>
      <w:r>
        <w:rPr>
          <w:rFonts w:hint="eastAsia" w:ascii="黑体" w:hAnsi="黑体" w:eastAsia="黑体"/>
          <w:b/>
          <w:bCs/>
          <w:szCs w:val="32"/>
        </w:rPr>
        <w:t>三、部门人员情况</w:t>
      </w:r>
    </w:p>
    <w:p>
      <w:pPr>
        <w:spacing w:line="60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截止2019年底，本部门人员编制5人，其中</w:t>
      </w:r>
      <w:r>
        <w:rPr>
          <w:rFonts w:hint="eastAsia" w:ascii="仿宋" w:hAnsi="仿宋" w:eastAsia="仿宋"/>
          <w:bCs/>
          <w:szCs w:val="32"/>
        </w:rPr>
        <w:t>事业编制5人（参照公务员管理）；实有人员5人，其中事业编制5人</w:t>
      </w:r>
      <w:r>
        <w:rPr>
          <w:rFonts w:hint="eastAsia" w:ascii="仿宋_GB2312" w:hAnsi="仿宋_GB2312" w:eastAsia="仿宋_GB2312" w:cs="仿宋_GB2312"/>
          <w:szCs w:val="32"/>
        </w:rPr>
        <w:t>。单位管理的离退休人员5人。</w:t>
      </w:r>
    </w:p>
    <w:p>
      <w:pPr>
        <w:spacing w:line="600" w:lineRule="exact"/>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drawing>
          <wp:anchor distT="0" distB="0" distL="114300" distR="114300" simplePos="0" relativeHeight="251658240" behindDoc="0" locked="0" layoutInCell="1" allowOverlap="1">
            <wp:simplePos x="0" y="0"/>
            <wp:positionH relativeFrom="column">
              <wp:posOffset>261620</wp:posOffset>
            </wp:positionH>
            <wp:positionV relativeFrom="paragraph">
              <wp:posOffset>156845</wp:posOffset>
            </wp:positionV>
            <wp:extent cx="5118100" cy="2905760"/>
            <wp:effectExtent l="4445" t="4445" r="20955" b="2349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600" w:lineRule="exact"/>
        <w:ind w:firstLine="641"/>
        <w:rPr>
          <w:rFonts w:ascii="仿宋_GB2312" w:hAnsi="仿宋_GB2312" w:eastAsia="仿宋_GB2312" w:cs="仿宋_GB2312"/>
          <w:szCs w:val="32"/>
        </w:rPr>
      </w:pPr>
    </w:p>
    <w:p>
      <w:pPr>
        <w:spacing w:line="600" w:lineRule="exact"/>
        <w:ind w:firstLine="641"/>
        <w:rPr>
          <w:rFonts w:ascii="仿宋_GB2312" w:hAnsi="仿宋_GB2312" w:eastAsia="仿宋_GB2312" w:cs="仿宋_GB2312"/>
          <w:szCs w:val="32"/>
        </w:rPr>
      </w:pPr>
    </w:p>
    <w:p>
      <w:pPr>
        <w:spacing w:line="600" w:lineRule="exact"/>
        <w:ind w:firstLine="641"/>
        <w:rPr>
          <w:rFonts w:ascii="仿宋_GB2312" w:hAnsi="仿宋_GB2312" w:eastAsia="仿宋_GB2312" w:cs="仿宋_GB2312"/>
          <w:szCs w:val="32"/>
        </w:rPr>
      </w:pPr>
    </w:p>
    <w:p>
      <w:pPr>
        <w:spacing w:line="600" w:lineRule="exact"/>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7"/>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本年度无政府性基金预算收支</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628.56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924.37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2.21</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628.56</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629.5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center"/>
              <w:rPr>
                <w:rFonts w:hint="eastAsia" w:ascii="宋体" w:hAnsi="宋体" w:eastAsia="宋体" w:cs="宋体"/>
                <w:color w:val="000000"/>
                <w:sz w:val="21"/>
                <w:szCs w:val="21"/>
                <w:lang w:val="en-US" w:eastAsia="zh-CN"/>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294.15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293.21</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922.72</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922.72</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168" w:firstLineChars="3400"/>
        <w:rPr>
          <w:rFonts w:ascii="宋体" w:hAnsi="宋体" w:eastAsia="宋体" w:cs="宋体"/>
          <w:b/>
          <w:bCs/>
          <w:sz w:val="21"/>
          <w:szCs w:val="21"/>
        </w:rPr>
      </w:pPr>
      <w:r>
        <w:rPr>
          <w:rFonts w:hint="eastAsia" w:ascii="宋体" w:hAnsi="宋体" w:eastAsia="宋体" w:cs="宋体"/>
          <w:b/>
          <w:bCs/>
          <w:sz w:val="21"/>
          <w:szCs w:val="21"/>
        </w:rPr>
        <w:t>公开02表</w:t>
      </w:r>
    </w:p>
    <w:tbl>
      <w:tblPr>
        <w:tblStyle w:val="7"/>
        <w:tblpPr w:leftFromText="180" w:rightFromText="180" w:vertAnchor="text" w:horzAnchor="page" w:tblpX="957" w:tblpY="312"/>
        <w:tblOverlap w:val="never"/>
        <w:tblW w:w="10255" w:type="dxa"/>
        <w:tblInd w:w="0" w:type="dxa"/>
        <w:tblLayout w:type="fixed"/>
        <w:tblCellMar>
          <w:top w:w="15" w:type="dxa"/>
          <w:left w:w="15" w:type="dxa"/>
          <w:bottom w:w="15" w:type="dxa"/>
          <w:right w:w="15" w:type="dxa"/>
        </w:tblCellMar>
      </w:tblPr>
      <w:tblGrid>
        <w:gridCol w:w="960"/>
        <w:gridCol w:w="2145"/>
        <w:gridCol w:w="870"/>
        <w:gridCol w:w="795"/>
        <w:gridCol w:w="810"/>
        <w:gridCol w:w="775"/>
        <w:gridCol w:w="1410"/>
        <w:gridCol w:w="705"/>
        <w:gridCol w:w="945"/>
        <w:gridCol w:w="840"/>
      </w:tblGrid>
      <w:tr>
        <w:tblPrEx>
          <w:tblCellMar>
            <w:top w:w="15" w:type="dxa"/>
            <w:left w:w="15" w:type="dxa"/>
            <w:bottom w:w="15" w:type="dxa"/>
            <w:right w:w="15" w:type="dxa"/>
          </w:tblCellMar>
        </w:tblPrEx>
        <w:trPr>
          <w:trHeight w:val="439" w:hRule="atLeast"/>
        </w:trPr>
        <w:tc>
          <w:tcPr>
            <w:tcW w:w="31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6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14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31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628.56</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628.56</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201</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一般公共服务支出</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20129</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群众团体事务</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2012901</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行政运行</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208</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社会保障和就业支出</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623.43</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623.43</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20805</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行政事业单位离退休</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7.54</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7.54</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机关事业单位基本养老保险缴费支出</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7.54</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7.54</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20811</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残疾人事业</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615.89</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615.89</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2081101</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行政运行</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91.15</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91.15</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2081102</w:t>
            </w:r>
          </w:p>
        </w:tc>
        <w:tc>
          <w:tcPr>
            <w:tcW w:w="2145"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一般行政管理事务</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132.26</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132.26</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2081104</w:t>
            </w:r>
          </w:p>
        </w:tc>
        <w:tc>
          <w:tcPr>
            <w:tcW w:w="2145"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残疾人康复</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176.44</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176.44</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2081105</w:t>
            </w:r>
          </w:p>
        </w:tc>
        <w:tc>
          <w:tcPr>
            <w:tcW w:w="2145"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残疾人就业和扶贫</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40.88</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40.88</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2081199</w:t>
            </w:r>
          </w:p>
        </w:tc>
        <w:tc>
          <w:tcPr>
            <w:tcW w:w="2145"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其他残疾人事业支出</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175.16</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175.16</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210</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卫生健康支出</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2.21</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2.21</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21011</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行政事业单位医疗</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2.21</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2.21</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2101101</w:t>
            </w:r>
          </w:p>
        </w:tc>
        <w:tc>
          <w:tcPr>
            <w:tcW w:w="214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行政单位医疗</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2.21</w:t>
            </w:r>
          </w:p>
        </w:tc>
        <w:tc>
          <w:tcPr>
            <w:tcW w:w="79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2.21</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金额单位：万元</w:t>
      </w:r>
    </w:p>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金额单位：万元</w:t>
      </w:r>
    </w:p>
    <w:tbl>
      <w:tblPr>
        <w:tblStyle w:val="7"/>
        <w:tblW w:w="10065" w:type="dxa"/>
        <w:tblInd w:w="-864" w:type="dxa"/>
        <w:tblLayout w:type="fixed"/>
        <w:tblCellMar>
          <w:top w:w="15" w:type="dxa"/>
          <w:left w:w="15" w:type="dxa"/>
          <w:bottom w:w="15" w:type="dxa"/>
          <w:right w:w="15" w:type="dxa"/>
        </w:tblCellMar>
      </w:tblPr>
      <w:tblGrid>
        <w:gridCol w:w="1005"/>
        <w:gridCol w:w="2130"/>
        <w:gridCol w:w="1200"/>
        <w:gridCol w:w="1110"/>
        <w:gridCol w:w="1185"/>
        <w:gridCol w:w="1155"/>
        <w:gridCol w:w="1005"/>
        <w:gridCol w:w="1275"/>
      </w:tblGrid>
      <w:tr>
        <w:tblPrEx>
          <w:tblCellMar>
            <w:top w:w="15" w:type="dxa"/>
            <w:left w:w="15" w:type="dxa"/>
            <w:bottom w:w="15" w:type="dxa"/>
            <w:right w:w="15" w:type="dxa"/>
          </w:tblCellMar>
        </w:tblPrEx>
        <w:trPr>
          <w:trHeight w:val="372" w:hRule="atLeast"/>
        </w:trPr>
        <w:tc>
          <w:tcPr>
            <w:tcW w:w="31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10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31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629.50</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103.82</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525.68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201</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一般公共服务支出</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20129</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群众团体事务</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2012901</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行政运行</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208</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社会保障和就业支出</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624.37</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98.69</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525.68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20805</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行政事业单位离退休</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7.54</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7.54</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机关事业单位基本养老保险缴费支出</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7.54</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7.54</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20811</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残疾人事业</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616.83</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91.15</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2081101</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行政运行</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91.15</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91.15</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2081102</w:t>
            </w:r>
          </w:p>
        </w:tc>
        <w:tc>
          <w:tcPr>
            <w:tcW w:w="2130"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一般行政管理事务</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132.26</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132.26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2081104</w:t>
            </w:r>
          </w:p>
        </w:tc>
        <w:tc>
          <w:tcPr>
            <w:tcW w:w="2130"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残疾人康复</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170.48</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170.48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2081105</w:t>
            </w:r>
          </w:p>
        </w:tc>
        <w:tc>
          <w:tcPr>
            <w:tcW w:w="2130"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残疾人就业和扶贫</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33.10</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33.10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2081199</w:t>
            </w:r>
          </w:p>
        </w:tc>
        <w:tc>
          <w:tcPr>
            <w:tcW w:w="2130"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其他残疾人事业支出</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189.84</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189.84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210</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卫生健康支出</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2.21</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2.21</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21011</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行政事业单位医疗</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2.21</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2.21</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2101101</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行政单位医疗</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2.21</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2.21</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168" w:firstLineChars="34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10035" w:type="dxa"/>
        <w:tblInd w:w="-759" w:type="dxa"/>
        <w:tblLayout w:type="fixed"/>
        <w:tblCellMar>
          <w:top w:w="15" w:type="dxa"/>
          <w:left w:w="15" w:type="dxa"/>
          <w:bottom w:w="15" w:type="dxa"/>
          <w:right w:w="15" w:type="dxa"/>
        </w:tblCellMar>
      </w:tblPr>
      <w:tblGrid>
        <w:gridCol w:w="2640"/>
        <w:gridCol w:w="1155"/>
        <w:gridCol w:w="2700"/>
        <w:gridCol w:w="975"/>
        <w:gridCol w:w="1170"/>
        <w:gridCol w:w="1395"/>
      </w:tblGrid>
      <w:tr>
        <w:tblPrEx>
          <w:tblCellMar>
            <w:top w:w="15" w:type="dxa"/>
            <w:left w:w="15" w:type="dxa"/>
            <w:bottom w:w="15" w:type="dxa"/>
            <w:right w:w="15" w:type="dxa"/>
          </w:tblCellMar>
        </w:tblPrEx>
        <w:trPr>
          <w:trHeight w:val="367" w:hRule="atLeast"/>
        </w:trPr>
        <w:tc>
          <w:tcPr>
            <w:tcW w:w="37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24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588"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628.56</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18"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48"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7、文化旅游体育与传媒支出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52"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8、社会保障和就业支出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624.37</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624.37</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3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2.21</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2.21</w:t>
            </w: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26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975"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70"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95"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Pr>
        <w:jc w:val="both"/>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628.56</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629.50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bidi="ar-SA"/>
              </w:rPr>
            </w:pPr>
            <w:r>
              <w:rPr>
                <w:rFonts w:hint="eastAsia" w:ascii="宋体" w:hAnsi="宋体" w:eastAsia="宋体" w:cs="宋体"/>
                <w:b/>
                <w:color w:val="000000"/>
                <w:kern w:val="0"/>
                <w:sz w:val="21"/>
                <w:szCs w:val="21"/>
                <w:lang w:val="en-US" w:eastAsia="zh-CN"/>
              </w:rPr>
              <w:t>629.50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294.15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293.21</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bidi="ar-SA"/>
              </w:rPr>
            </w:pPr>
            <w:r>
              <w:rPr>
                <w:rFonts w:hint="eastAsia" w:ascii="宋体" w:hAnsi="宋体" w:eastAsia="宋体" w:cs="宋体"/>
                <w:b/>
                <w:color w:val="000000"/>
                <w:kern w:val="0"/>
                <w:sz w:val="21"/>
                <w:szCs w:val="21"/>
                <w:lang w:val="en-US" w:eastAsia="zh-CN"/>
              </w:rPr>
              <w:t>293.21</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294.15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b/>
                <w:color w:val="000000"/>
                <w:kern w:val="0"/>
                <w:sz w:val="21"/>
                <w:szCs w:val="21"/>
                <w:lang w:val="en-US" w:eastAsia="zh-CN" w:bidi="ar-SA"/>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922.72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922.72</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b/>
                <w:color w:val="000000"/>
                <w:kern w:val="0"/>
                <w:sz w:val="21"/>
                <w:szCs w:val="21"/>
                <w:lang w:val="en-US" w:eastAsia="zh-CN" w:bidi="ar-SA"/>
              </w:rPr>
            </w:pPr>
            <w:r>
              <w:rPr>
                <w:rFonts w:hint="eastAsia" w:ascii="宋体" w:hAnsi="宋体" w:eastAsia="宋体" w:cs="宋体"/>
                <w:b/>
                <w:color w:val="000000"/>
                <w:kern w:val="0"/>
                <w:sz w:val="21"/>
                <w:szCs w:val="21"/>
                <w:lang w:val="en-US" w:eastAsia="zh-CN"/>
              </w:rPr>
              <w:t>922.72</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9525" w:type="dxa"/>
        <w:tblInd w:w="-534" w:type="dxa"/>
        <w:tblLayout w:type="fixed"/>
        <w:tblCellMar>
          <w:top w:w="15" w:type="dxa"/>
          <w:left w:w="15" w:type="dxa"/>
          <w:bottom w:w="15" w:type="dxa"/>
          <w:right w:w="15" w:type="dxa"/>
        </w:tblCellMar>
      </w:tblPr>
      <w:tblGrid>
        <w:gridCol w:w="975"/>
        <w:gridCol w:w="2266"/>
        <w:gridCol w:w="1379"/>
        <w:gridCol w:w="900"/>
        <w:gridCol w:w="1020"/>
        <w:gridCol w:w="1005"/>
        <w:gridCol w:w="960"/>
        <w:gridCol w:w="1020"/>
      </w:tblGrid>
      <w:tr>
        <w:tblPrEx>
          <w:tblCellMar>
            <w:top w:w="15" w:type="dxa"/>
            <w:left w:w="15" w:type="dxa"/>
            <w:bottom w:w="15" w:type="dxa"/>
            <w:right w:w="15" w:type="dxa"/>
          </w:tblCellMar>
        </w:tblPrEx>
        <w:trPr>
          <w:trHeight w:val="414" w:hRule="atLeast"/>
        </w:trPr>
        <w:tc>
          <w:tcPr>
            <w:tcW w:w="324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3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25"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3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24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629.50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103.82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93.97</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9.86</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525.68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26"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201</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一般公共服务支出</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r>
      <w:tr>
        <w:tblPrEx>
          <w:tblCellMar>
            <w:top w:w="15" w:type="dxa"/>
            <w:left w:w="15" w:type="dxa"/>
            <w:bottom w:w="15" w:type="dxa"/>
            <w:right w:w="15" w:type="dxa"/>
          </w:tblCellMar>
        </w:tblPrEx>
        <w:trPr>
          <w:trHeight w:val="459"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20129</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群众团体事务</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2.92</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r>
      <w:tr>
        <w:tblPrEx>
          <w:tblCellMar>
            <w:top w:w="15" w:type="dxa"/>
            <w:left w:w="15" w:type="dxa"/>
            <w:bottom w:w="15" w:type="dxa"/>
            <w:right w:w="15" w:type="dxa"/>
          </w:tblCellMar>
        </w:tblPrEx>
        <w:trPr>
          <w:trHeight w:val="451"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2012901</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行政运行</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208</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社会保障和就业支出</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624.37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98.69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88.83</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9.86</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525.68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20805</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行政事业单位离退休</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7.54</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7.54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7.54</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2080505</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机关事业单位基本养老保险缴费支出</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7.54</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7.54</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20811</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残疾人事业</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616.83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91.15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81.29</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9.86</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525.68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2081101</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行政运行</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91.15</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91.15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81.29</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9.86</w:t>
            </w: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2081102</w:t>
            </w:r>
          </w:p>
        </w:tc>
        <w:tc>
          <w:tcPr>
            <w:tcW w:w="226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一般行政管理事务</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132.26</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132.26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2081104</w:t>
            </w:r>
          </w:p>
        </w:tc>
        <w:tc>
          <w:tcPr>
            <w:tcW w:w="226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残疾人康复</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170.48</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170.48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2081105</w:t>
            </w:r>
          </w:p>
        </w:tc>
        <w:tc>
          <w:tcPr>
            <w:tcW w:w="226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残疾人就业和扶贫</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33.10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33.10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2081199</w:t>
            </w:r>
          </w:p>
        </w:tc>
        <w:tc>
          <w:tcPr>
            <w:tcW w:w="226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其他残疾人事业支出</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189.84</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189.84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210</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卫生健康支出</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2.21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2.21</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21011</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eastAsia="zh-CN"/>
              </w:rPr>
              <w:t>行政事业单位医疗</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2.21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2.21</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bCs/>
                <w:color w:val="000000"/>
                <w:sz w:val="21"/>
                <w:szCs w:val="21"/>
              </w:rPr>
            </w:pPr>
          </w:p>
        </w:tc>
      </w:tr>
      <w:tr>
        <w:tblPrEx>
          <w:tblCellMar>
            <w:top w:w="15" w:type="dxa"/>
            <w:left w:w="15" w:type="dxa"/>
            <w:bottom w:w="15" w:type="dxa"/>
            <w:right w:w="15" w:type="dxa"/>
          </w:tblCellMar>
        </w:tblPrEx>
        <w:trPr>
          <w:trHeight w:val="414" w:hRule="atLeast"/>
        </w:trPr>
        <w:tc>
          <w:tcPr>
            <w:tcW w:w="97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2101101</w:t>
            </w:r>
          </w:p>
        </w:tc>
        <w:tc>
          <w:tcPr>
            <w:tcW w:w="2266"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 xml:space="preserve">  行政单位医疗</w:t>
            </w:r>
          </w:p>
        </w:tc>
        <w:tc>
          <w:tcPr>
            <w:tcW w:w="137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2.21</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2.21</w:t>
            </w:r>
          </w:p>
        </w:tc>
        <w:tc>
          <w:tcPr>
            <w:tcW w:w="100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ind w:firstLine="7168" w:firstLineChars="3400"/>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103.82</w:t>
            </w:r>
          </w:p>
        </w:tc>
        <w:tc>
          <w:tcPr>
            <w:tcW w:w="1437" w:type="dxa"/>
            <w:tcBorders>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93.97</w:t>
            </w:r>
          </w:p>
        </w:tc>
        <w:tc>
          <w:tcPr>
            <w:tcW w:w="1363" w:type="dxa"/>
            <w:tcBorders>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9.86</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93.97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93.97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29.29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29.29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25.89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25.89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13.54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13.54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11.07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11.07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2.75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9.51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9.51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9.86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9.86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1.68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3020</w:t>
            </w:r>
            <w:r>
              <w:rPr>
                <w:rFonts w:hint="eastAsia" w:ascii="宋体" w:hAnsi="宋体" w:eastAsia="宋体" w:cs="宋体"/>
                <w:color w:val="000000"/>
                <w:kern w:val="0"/>
                <w:sz w:val="21"/>
                <w:szCs w:val="21"/>
                <w:lang w:val="en-US" w:eastAsia="zh-CN"/>
              </w:rPr>
              <w:t>4</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手续费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0.01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0.18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0.45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6.40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6.40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both"/>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公开07表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0.46</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0.46</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0.12</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2.48</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2.48</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26.28</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ind w:firstLine="7168" w:firstLineChars="3400"/>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西安市阎良区残疾人联合会</w:t>
      </w:r>
      <w:r>
        <w:rPr>
          <w:rFonts w:hint="eastAsia" w:ascii="宋体" w:hAnsi="宋体" w:eastAsia="宋体" w:cs="宋体"/>
          <w:b/>
          <w:bCs/>
          <w:sz w:val="21"/>
          <w:szCs w:val="21"/>
        </w:rPr>
        <w:t xml:space="preserve">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 xml:space="preserve">一、收入支出决算总体情况说明 </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w:t>
      </w:r>
      <w:r>
        <w:rPr>
          <w:rFonts w:hint="eastAsia" w:ascii="仿宋_GB2312" w:hAnsi="仿宋" w:eastAsia="仿宋_GB2312"/>
          <w:szCs w:val="32"/>
          <w:lang w:eastAsia="zh-CN"/>
        </w:rPr>
        <w:t>本年收入合计</w:t>
      </w:r>
      <w:r>
        <w:rPr>
          <w:rFonts w:hint="eastAsia" w:ascii="仿宋_GB2312" w:hAnsi="仿宋" w:eastAsia="仿宋_GB2312"/>
          <w:szCs w:val="32"/>
          <w:lang w:val="en-US" w:eastAsia="zh-CN"/>
        </w:rPr>
        <w:t>628.56万元，</w:t>
      </w:r>
      <w:r>
        <w:rPr>
          <w:rFonts w:hint="eastAsia" w:ascii="仿宋_GB2312" w:hAnsi="仿宋" w:eastAsia="仿宋_GB2312"/>
          <w:szCs w:val="32"/>
        </w:rPr>
        <w:t>收入总体情况</w:t>
      </w:r>
      <w:r>
        <w:rPr>
          <w:rFonts w:hint="eastAsia" w:ascii="仿宋_GB2312" w:hAnsi="仿宋" w:eastAsia="仿宋_GB2312"/>
          <w:szCs w:val="32"/>
          <w:lang w:eastAsia="zh-CN"/>
        </w:rPr>
        <w:t>较</w:t>
      </w:r>
      <w:r>
        <w:rPr>
          <w:rFonts w:hint="eastAsia" w:ascii="仿宋_GB2312" w:hAnsi="仿宋" w:eastAsia="仿宋_GB2312"/>
          <w:szCs w:val="32"/>
        </w:rPr>
        <w:t>上年减少</w:t>
      </w:r>
      <w:r>
        <w:rPr>
          <w:rFonts w:hint="eastAsia" w:ascii="仿宋_GB2312" w:hAnsi="仿宋" w:eastAsia="仿宋_GB2312"/>
          <w:szCs w:val="32"/>
          <w:lang w:val="en-US" w:eastAsia="zh-CN"/>
        </w:rPr>
        <w:t>87.73万元</w:t>
      </w:r>
      <w:r>
        <w:rPr>
          <w:rFonts w:hint="eastAsia" w:ascii="仿宋_GB2312" w:hAnsi="仿宋" w:eastAsia="仿宋_GB2312"/>
          <w:szCs w:val="32"/>
        </w:rPr>
        <w:t>，主要原因</w:t>
      </w:r>
      <w:r>
        <w:rPr>
          <w:rFonts w:hint="eastAsia" w:ascii="仿宋_GB2312" w:hAnsi="仿宋" w:eastAsia="仿宋_GB2312"/>
          <w:szCs w:val="32"/>
          <w:lang w:eastAsia="zh-CN"/>
        </w:rPr>
        <w:t>是政府性基金和项目减少</w:t>
      </w:r>
      <w:r>
        <w:rPr>
          <w:rFonts w:hint="eastAsia" w:ascii="仿宋_GB2312" w:hAnsi="仿宋" w:eastAsia="仿宋_GB2312"/>
          <w:szCs w:val="32"/>
        </w:rPr>
        <w:t>。</w:t>
      </w:r>
    </w:p>
    <w:p>
      <w:pPr>
        <w:widowControl/>
        <w:spacing w:line="560" w:lineRule="exact"/>
        <w:ind w:firstLine="640" w:firstLineChars="200"/>
        <w:jc w:val="left"/>
        <w:rPr>
          <w:rFonts w:hint="eastAsia" w:ascii="仿宋_GB2312" w:hAnsi="仿宋" w:eastAsia="仿宋_GB2312"/>
          <w:szCs w:val="32"/>
        </w:rPr>
      </w:pPr>
      <w:r>
        <w:rPr>
          <w:rFonts w:hint="eastAsia" w:ascii="仿宋_GB2312" w:hAnsi="仿宋" w:eastAsia="仿宋_GB2312"/>
          <w:szCs w:val="32"/>
        </w:rPr>
        <w:t>2019年度</w:t>
      </w:r>
      <w:r>
        <w:rPr>
          <w:rFonts w:hint="eastAsia" w:ascii="仿宋_GB2312" w:hAnsi="仿宋" w:eastAsia="仿宋_GB2312"/>
          <w:szCs w:val="32"/>
          <w:lang w:eastAsia="zh-CN"/>
        </w:rPr>
        <w:t>本年支出合计</w:t>
      </w:r>
      <w:r>
        <w:rPr>
          <w:rFonts w:hint="eastAsia" w:ascii="仿宋_GB2312" w:hAnsi="仿宋" w:eastAsia="仿宋_GB2312"/>
          <w:szCs w:val="32"/>
          <w:lang w:val="en-US" w:eastAsia="zh-CN"/>
        </w:rPr>
        <w:t>629.5万元，</w:t>
      </w:r>
      <w:r>
        <w:rPr>
          <w:rFonts w:hint="eastAsia" w:ascii="仿宋_GB2312" w:hAnsi="仿宋" w:eastAsia="仿宋_GB2312"/>
          <w:szCs w:val="32"/>
        </w:rPr>
        <w:t>支出总体情况</w:t>
      </w:r>
      <w:r>
        <w:rPr>
          <w:rFonts w:hint="eastAsia" w:ascii="仿宋_GB2312" w:hAnsi="仿宋" w:eastAsia="仿宋_GB2312"/>
          <w:szCs w:val="32"/>
          <w:lang w:eastAsia="zh-CN"/>
        </w:rPr>
        <w:t>较</w:t>
      </w:r>
      <w:r>
        <w:rPr>
          <w:rFonts w:hint="eastAsia" w:ascii="仿宋_GB2312" w:hAnsi="仿宋" w:eastAsia="仿宋_GB2312"/>
          <w:szCs w:val="32"/>
        </w:rPr>
        <w:t>上年减少</w:t>
      </w:r>
      <w:r>
        <w:rPr>
          <w:rFonts w:hint="eastAsia" w:ascii="仿宋_GB2312" w:hAnsi="仿宋" w:eastAsia="仿宋_GB2312"/>
          <w:szCs w:val="32"/>
          <w:lang w:val="en-US" w:eastAsia="zh-CN"/>
        </w:rPr>
        <w:t>35.93</w:t>
      </w:r>
      <w:r>
        <w:rPr>
          <w:rFonts w:hint="eastAsia" w:ascii="仿宋_GB2312" w:hAnsi="仿宋" w:eastAsia="仿宋_GB2312"/>
          <w:szCs w:val="32"/>
          <w:lang w:eastAsia="zh-CN"/>
        </w:rPr>
        <w:t>万元</w:t>
      </w:r>
      <w:r>
        <w:rPr>
          <w:rFonts w:hint="eastAsia" w:ascii="仿宋_GB2312" w:hAnsi="仿宋" w:eastAsia="仿宋_GB2312"/>
          <w:szCs w:val="32"/>
        </w:rPr>
        <w:t>，主要原因</w:t>
      </w:r>
      <w:r>
        <w:rPr>
          <w:rFonts w:hint="eastAsia" w:ascii="仿宋_GB2312" w:hAnsi="仿宋" w:eastAsia="仿宋_GB2312"/>
          <w:szCs w:val="32"/>
          <w:lang w:eastAsia="zh-CN"/>
        </w:rPr>
        <w:t>是政府性基金和项目减少</w:t>
      </w:r>
      <w:r>
        <w:rPr>
          <w:rFonts w:hint="eastAsia" w:ascii="仿宋_GB2312" w:hAnsi="仿宋" w:eastAsia="仿宋_GB2312"/>
          <w:szCs w:val="32"/>
        </w:rPr>
        <w:t>。</w:t>
      </w:r>
    </w:p>
    <w:p>
      <w:pPr>
        <w:widowControl/>
        <w:spacing w:line="560" w:lineRule="exact"/>
        <w:ind w:firstLine="640" w:firstLineChars="200"/>
        <w:jc w:val="left"/>
        <w:rPr>
          <w:rFonts w:hint="eastAsia" w:ascii="黑体" w:hAnsi="黑体" w:eastAsia="黑体"/>
          <w:color w:val="000000"/>
          <w:kern w:val="0"/>
          <w:szCs w:val="32"/>
          <w:lang w:eastAsia="zh-CN"/>
        </w:rPr>
      </w:pPr>
      <w:r>
        <w:rPr>
          <w:rFonts w:hint="eastAsia" w:ascii="黑体" w:hAnsi="黑体" w:eastAsia="黑体"/>
          <w:color w:val="000000"/>
          <w:kern w:val="0"/>
          <w:szCs w:val="32"/>
          <w:lang w:eastAsia="zh-CN"/>
        </w:rPr>
        <w:drawing>
          <wp:anchor distT="0" distB="0" distL="114300" distR="114300" simplePos="0" relativeHeight="251659264" behindDoc="0" locked="0" layoutInCell="1" allowOverlap="1">
            <wp:simplePos x="0" y="0"/>
            <wp:positionH relativeFrom="column">
              <wp:posOffset>848995</wp:posOffset>
            </wp:positionH>
            <wp:positionV relativeFrom="paragraph">
              <wp:posOffset>127000</wp:posOffset>
            </wp:positionV>
            <wp:extent cx="3518535" cy="2562860"/>
            <wp:effectExtent l="4445" t="4445" r="20320" b="2349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jc w:val="left"/>
        <w:rPr>
          <w:rFonts w:hint="eastAsia"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lang w:val="en-US" w:eastAsia="zh-CN"/>
        </w:rPr>
        <w:t>628.56</w:t>
      </w:r>
      <w:r>
        <w:rPr>
          <w:rFonts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lang w:val="en-US" w:eastAsia="zh-CN"/>
        </w:rPr>
        <w:t>628.56</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drawing>
          <wp:anchor distT="0" distB="0" distL="114300" distR="114300" simplePos="0" relativeHeight="251660288" behindDoc="0" locked="0" layoutInCell="1" allowOverlap="1">
            <wp:simplePos x="0" y="0"/>
            <wp:positionH relativeFrom="column">
              <wp:posOffset>668020</wp:posOffset>
            </wp:positionH>
            <wp:positionV relativeFrom="paragraph">
              <wp:posOffset>24765</wp:posOffset>
            </wp:positionV>
            <wp:extent cx="3717925" cy="2781300"/>
            <wp:effectExtent l="4445" t="4445" r="11430"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 xml:space="preserve">三、支出决算情况说明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629.5</w:t>
      </w:r>
      <w:r>
        <w:rPr>
          <w:rFonts w:ascii="仿宋_GB2312" w:hAnsi="宋体" w:eastAsia="仿宋_GB2312" w:cs="仿宋_GB2312"/>
          <w:color w:val="000000"/>
          <w:kern w:val="0"/>
          <w:szCs w:val="32"/>
        </w:rPr>
        <w:t>万元，其中：</w:t>
      </w:r>
      <w:r>
        <w:rPr>
          <w:rFonts w:hint="eastAsia" w:ascii="仿宋_GB2312" w:hAnsi="宋体" w:eastAsia="仿宋_GB2312" w:cs="仿宋_GB2312"/>
          <w:color w:val="000000"/>
          <w:kern w:val="0"/>
          <w:szCs w:val="32"/>
          <w:lang w:eastAsia="zh-CN"/>
        </w:rPr>
        <w:t>一般公共服务</w:t>
      </w:r>
      <w:r>
        <w:rPr>
          <w:rFonts w:ascii="仿宋_GB2312" w:hAnsi="宋体" w:eastAsia="仿宋_GB2312" w:cs="仿宋_GB2312"/>
          <w:color w:val="000000"/>
          <w:kern w:val="0"/>
          <w:szCs w:val="32"/>
        </w:rPr>
        <w:t>支出</w:t>
      </w:r>
      <w:r>
        <w:rPr>
          <w:rFonts w:hint="eastAsia" w:ascii="仿宋_GB2312" w:hAnsi="宋体" w:eastAsia="仿宋_GB2312" w:cs="仿宋_GB2312"/>
          <w:color w:val="000000"/>
          <w:kern w:val="0"/>
          <w:szCs w:val="32"/>
          <w:lang w:val="en-US" w:eastAsia="zh-CN"/>
        </w:rPr>
        <w:t>2.92</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0.5</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社会保障和就业</w:t>
      </w:r>
      <w:r>
        <w:rPr>
          <w:rFonts w:ascii="仿宋_GB2312" w:hAnsi="宋体" w:eastAsia="仿宋_GB2312" w:cs="仿宋_GB2312"/>
          <w:color w:val="000000"/>
          <w:kern w:val="0"/>
          <w:szCs w:val="32"/>
        </w:rPr>
        <w:t>支出</w:t>
      </w:r>
      <w:r>
        <w:rPr>
          <w:rFonts w:hint="eastAsia" w:ascii="仿宋_GB2312" w:hAnsi="宋体" w:eastAsia="仿宋_GB2312" w:cs="仿宋_GB2312"/>
          <w:color w:val="000000"/>
          <w:kern w:val="0"/>
          <w:szCs w:val="32"/>
          <w:lang w:val="en-US" w:eastAsia="zh-CN"/>
        </w:rPr>
        <w:t>624.37</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99.1</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卫生健康</w:t>
      </w:r>
      <w:r>
        <w:rPr>
          <w:rFonts w:ascii="仿宋_GB2312" w:hAnsi="宋体" w:eastAsia="仿宋_GB2312" w:cs="仿宋_GB2312"/>
          <w:color w:val="000000"/>
          <w:kern w:val="0"/>
          <w:szCs w:val="32"/>
        </w:rPr>
        <w:t>支出</w:t>
      </w:r>
      <w:r>
        <w:rPr>
          <w:rFonts w:hint="eastAsia" w:ascii="仿宋_GB2312" w:hAnsi="宋体" w:eastAsia="仿宋_GB2312" w:cs="仿宋_GB2312"/>
          <w:color w:val="000000"/>
          <w:kern w:val="0"/>
          <w:szCs w:val="32"/>
          <w:lang w:val="en-US" w:eastAsia="zh-CN"/>
        </w:rPr>
        <w:t>2.21</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0.4</w:t>
      </w:r>
      <w:r>
        <w:rPr>
          <w:rFonts w:ascii="仿宋_GB2312" w:hAnsi="宋体" w:eastAsia="仿宋_GB2312" w:cs="仿宋_GB2312"/>
          <w:color w:val="000000"/>
          <w:kern w:val="0"/>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r>
        <w:rPr>
          <w:rFonts w:hint="eastAsia" w:ascii="仿宋_GB2312" w:hAnsi="宋体" w:eastAsia="仿宋_GB2312" w:cs="仿宋_GB2312"/>
          <w:color w:val="000000"/>
          <w:kern w:val="0"/>
          <w:szCs w:val="32"/>
          <w:lang w:eastAsia="zh-CN"/>
        </w:rPr>
        <w:drawing>
          <wp:anchor distT="0" distB="0" distL="114300" distR="114300" simplePos="0" relativeHeight="251661312" behindDoc="0" locked="0" layoutInCell="1" allowOverlap="1">
            <wp:simplePos x="0" y="0"/>
            <wp:positionH relativeFrom="column">
              <wp:posOffset>725170</wp:posOffset>
            </wp:positionH>
            <wp:positionV relativeFrom="paragraph">
              <wp:posOffset>74295</wp:posOffset>
            </wp:positionV>
            <wp:extent cx="3517900" cy="2324735"/>
            <wp:effectExtent l="4445" t="4445" r="20955" b="1397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 xml:space="preserve">四、财政拨款收入支出决算总体情况说明  </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w:t>
      </w:r>
      <w:r>
        <w:rPr>
          <w:rFonts w:hint="eastAsia" w:ascii="仿宋_GB2312" w:hAnsi="仿宋" w:eastAsia="仿宋_GB2312"/>
          <w:szCs w:val="32"/>
          <w:lang w:eastAsia="zh-CN"/>
        </w:rPr>
        <w:t>财政拨款收入合计</w:t>
      </w:r>
      <w:r>
        <w:rPr>
          <w:rFonts w:hint="eastAsia" w:ascii="仿宋_GB2312" w:hAnsi="仿宋" w:eastAsia="仿宋_GB2312"/>
          <w:szCs w:val="32"/>
          <w:lang w:val="en-US" w:eastAsia="zh-CN"/>
        </w:rPr>
        <w:t>628.56万元，</w:t>
      </w:r>
      <w:r>
        <w:rPr>
          <w:rFonts w:hint="eastAsia" w:ascii="仿宋_GB2312" w:hAnsi="仿宋" w:eastAsia="仿宋_GB2312"/>
          <w:szCs w:val="32"/>
        </w:rPr>
        <w:t>收入总体情况</w:t>
      </w:r>
      <w:r>
        <w:rPr>
          <w:rFonts w:hint="eastAsia" w:ascii="仿宋_GB2312" w:hAnsi="仿宋" w:eastAsia="仿宋_GB2312"/>
          <w:szCs w:val="32"/>
          <w:lang w:eastAsia="zh-CN"/>
        </w:rPr>
        <w:t>较</w:t>
      </w:r>
      <w:r>
        <w:rPr>
          <w:rFonts w:hint="eastAsia" w:ascii="仿宋_GB2312" w:hAnsi="仿宋" w:eastAsia="仿宋_GB2312"/>
          <w:szCs w:val="32"/>
        </w:rPr>
        <w:t>上年减少</w:t>
      </w:r>
      <w:r>
        <w:rPr>
          <w:rFonts w:hint="eastAsia" w:ascii="仿宋_GB2312" w:hAnsi="仿宋" w:eastAsia="仿宋_GB2312"/>
          <w:szCs w:val="32"/>
          <w:lang w:val="en-US" w:eastAsia="zh-CN"/>
        </w:rPr>
        <w:t>87.73万元</w:t>
      </w:r>
      <w:r>
        <w:rPr>
          <w:rFonts w:hint="eastAsia" w:ascii="仿宋_GB2312" w:hAnsi="仿宋" w:eastAsia="仿宋_GB2312"/>
          <w:szCs w:val="32"/>
        </w:rPr>
        <w:t>，主要原因</w:t>
      </w:r>
      <w:r>
        <w:rPr>
          <w:rFonts w:hint="eastAsia" w:ascii="仿宋_GB2312" w:hAnsi="仿宋" w:eastAsia="仿宋_GB2312"/>
          <w:szCs w:val="32"/>
          <w:lang w:eastAsia="zh-CN"/>
        </w:rPr>
        <w:t>是政府性基金和项目减少</w:t>
      </w:r>
      <w:r>
        <w:rPr>
          <w:rFonts w:hint="eastAsia" w:ascii="仿宋_GB2312" w:hAnsi="仿宋" w:eastAsia="仿宋_GB2312"/>
          <w:szCs w:val="32"/>
        </w:rPr>
        <w:t>。</w:t>
      </w:r>
    </w:p>
    <w:p>
      <w:pPr>
        <w:widowControl/>
        <w:spacing w:line="560" w:lineRule="exact"/>
        <w:ind w:firstLine="640" w:firstLineChars="200"/>
        <w:jc w:val="left"/>
        <w:rPr>
          <w:rFonts w:hint="eastAsia" w:ascii="仿宋_GB2312" w:hAnsi="仿宋" w:eastAsia="仿宋_GB2312"/>
          <w:szCs w:val="32"/>
        </w:rPr>
      </w:pPr>
      <w:r>
        <w:rPr>
          <w:rFonts w:hint="eastAsia" w:ascii="仿宋_GB2312" w:hAnsi="仿宋" w:eastAsia="仿宋_GB2312"/>
          <w:szCs w:val="32"/>
        </w:rPr>
        <w:t>2019年度</w:t>
      </w:r>
      <w:r>
        <w:rPr>
          <w:rFonts w:hint="eastAsia" w:ascii="仿宋_GB2312" w:hAnsi="仿宋" w:eastAsia="仿宋_GB2312"/>
          <w:szCs w:val="32"/>
          <w:lang w:eastAsia="zh-CN"/>
        </w:rPr>
        <w:t>财政拨款支出合计</w:t>
      </w:r>
      <w:r>
        <w:rPr>
          <w:rFonts w:hint="eastAsia" w:ascii="仿宋_GB2312" w:hAnsi="仿宋" w:eastAsia="仿宋_GB2312"/>
          <w:szCs w:val="32"/>
          <w:lang w:val="en-US" w:eastAsia="zh-CN"/>
        </w:rPr>
        <w:t>629.5万元，</w:t>
      </w:r>
      <w:r>
        <w:rPr>
          <w:rFonts w:hint="eastAsia" w:ascii="仿宋_GB2312" w:hAnsi="仿宋" w:eastAsia="仿宋_GB2312"/>
          <w:szCs w:val="32"/>
        </w:rPr>
        <w:t>支出总体情况</w:t>
      </w:r>
      <w:r>
        <w:rPr>
          <w:rFonts w:hint="eastAsia" w:ascii="仿宋_GB2312" w:hAnsi="仿宋" w:eastAsia="仿宋_GB2312"/>
          <w:szCs w:val="32"/>
          <w:lang w:eastAsia="zh-CN"/>
        </w:rPr>
        <w:t>较</w:t>
      </w:r>
      <w:r>
        <w:rPr>
          <w:rFonts w:hint="eastAsia" w:ascii="仿宋_GB2312" w:hAnsi="仿宋" w:eastAsia="仿宋_GB2312"/>
          <w:szCs w:val="32"/>
        </w:rPr>
        <w:t>上年减少</w:t>
      </w:r>
      <w:r>
        <w:rPr>
          <w:rFonts w:hint="eastAsia" w:ascii="仿宋_GB2312" w:hAnsi="仿宋" w:eastAsia="仿宋_GB2312"/>
          <w:szCs w:val="32"/>
          <w:lang w:val="en-US" w:eastAsia="zh-CN"/>
        </w:rPr>
        <w:t>35.93</w:t>
      </w:r>
      <w:r>
        <w:rPr>
          <w:rFonts w:hint="eastAsia" w:ascii="仿宋_GB2312" w:hAnsi="仿宋" w:eastAsia="仿宋_GB2312"/>
          <w:szCs w:val="32"/>
          <w:lang w:eastAsia="zh-CN"/>
        </w:rPr>
        <w:t>万元</w:t>
      </w:r>
      <w:r>
        <w:rPr>
          <w:rFonts w:hint="eastAsia" w:ascii="仿宋_GB2312" w:hAnsi="仿宋" w:eastAsia="仿宋_GB2312"/>
          <w:szCs w:val="32"/>
        </w:rPr>
        <w:t>，主要原因</w:t>
      </w:r>
      <w:r>
        <w:rPr>
          <w:rFonts w:hint="eastAsia" w:ascii="仿宋_GB2312" w:hAnsi="仿宋" w:eastAsia="仿宋_GB2312"/>
          <w:szCs w:val="32"/>
          <w:lang w:eastAsia="zh-CN"/>
        </w:rPr>
        <w:t>是政府性基金和项目减少</w:t>
      </w:r>
      <w:r>
        <w:rPr>
          <w:rFonts w:hint="eastAsia" w:ascii="仿宋_GB2312" w:hAnsi="仿宋" w:eastAsia="仿宋_GB2312"/>
          <w:szCs w:val="32"/>
        </w:rPr>
        <w:t>。</w:t>
      </w:r>
    </w:p>
    <w:p>
      <w:pPr>
        <w:widowControl/>
        <w:spacing w:line="560" w:lineRule="exact"/>
        <w:ind w:firstLine="640" w:firstLineChars="200"/>
        <w:jc w:val="left"/>
        <w:rPr>
          <w:rFonts w:hint="eastAsia" w:ascii="仿宋_GB2312" w:hAnsi="仿宋" w:eastAsia="仿宋_GB2312"/>
          <w:szCs w:val="32"/>
        </w:rPr>
      </w:pPr>
      <w:r>
        <w:rPr>
          <w:rFonts w:hint="eastAsia" w:ascii="黑体" w:hAnsi="黑体" w:eastAsia="黑体"/>
          <w:color w:val="000000"/>
          <w:kern w:val="0"/>
          <w:szCs w:val="32"/>
          <w:lang w:eastAsia="zh-CN"/>
        </w:rPr>
        <w:drawing>
          <wp:anchor distT="0" distB="0" distL="114300" distR="114300" simplePos="0" relativeHeight="251663360" behindDoc="0" locked="0" layoutInCell="1" allowOverlap="1">
            <wp:simplePos x="0" y="0"/>
            <wp:positionH relativeFrom="column">
              <wp:posOffset>795020</wp:posOffset>
            </wp:positionH>
            <wp:positionV relativeFrom="paragraph">
              <wp:posOffset>140970</wp:posOffset>
            </wp:positionV>
            <wp:extent cx="3518535" cy="2562860"/>
            <wp:effectExtent l="4445" t="4445" r="20320" b="2349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hint="eastAsia" w:ascii="黑体" w:hAnsi="黑体" w:eastAsia="黑体"/>
          <w:color w:val="000000"/>
          <w:kern w:val="0"/>
          <w:szCs w:val="32"/>
          <w:lang w:eastAsia="zh-CN"/>
        </w:rPr>
        <w:drawing>
          <wp:anchor distT="0" distB="0" distL="114300" distR="114300" simplePos="0" relativeHeight="251669504" behindDoc="0" locked="0" layoutInCell="1" allowOverlap="1">
            <wp:simplePos x="0" y="0"/>
            <wp:positionH relativeFrom="column">
              <wp:posOffset>975995</wp:posOffset>
            </wp:positionH>
            <wp:positionV relativeFrom="paragraph">
              <wp:posOffset>1163320</wp:posOffset>
            </wp:positionV>
            <wp:extent cx="3518535" cy="2562860"/>
            <wp:effectExtent l="4445" t="4445" r="20320" b="2349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lang w:val="en-US" w:eastAsia="zh-CN"/>
        </w:rPr>
        <w:t>629.5</w:t>
      </w:r>
      <w:r>
        <w:rPr>
          <w:rFonts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%。与</w:t>
      </w:r>
      <w:r>
        <w:rPr>
          <w:rFonts w:hint="eastAsia" w:ascii="仿宋_GB2312" w:hAnsi="宋体" w:eastAsia="仿宋_GB2312" w:cs="仿宋_GB2312"/>
          <w:color w:val="000000"/>
          <w:kern w:val="0"/>
          <w:szCs w:val="32"/>
        </w:rPr>
        <w:t>上年</w:t>
      </w:r>
      <w:r>
        <w:rPr>
          <w:rFonts w:ascii="仿宋_GB2312" w:hAnsi="宋体" w:eastAsia="仿宋_GB2312" w:cs="仿宋_GB2312"/>
          <w:color w:val="000000"/>
          <w:kern w:val="0"/>
          <w:szCs w:val="32"/>
        </w:rPr>
        <w:t>相比，财政拨款支出</w:t>
      </w:r>
      <w:r>
        <w:rPr>
          <w:rFonts w:hint="eastAsia" w:ascii="仿宋_GB2312" w:hAnsi="宋体" w:eastAsia="仿宋_GB2312" w:cs="仿宋_GB2312"/>
          <w:color w:val="000000"/>
          <w:kern w:val="0"/>
          <w:szCs w:val="32"/>
        </w:rPr>
        <w:t>减少</w:t>
      </w:r>
      <w:r>
        <w:rPr>
          <w:rFonts w:hint="eastAsia" w:ascii="仿宋_GB2312" w:hAnsi="宋体" w:eastAsia="仿宋_GB2312" w:cs="仿宋_GB2312"/>
          <w:color w:val="000000"/>
          <w:kern w:val="0"/>
          <w:szCs w:val="32"/>
          <w:lang w:val="en-US" w:eastAsia="zh-CN"/>
        </w:rPr>
        <w:t>35.93</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rPr>
        <w:t>减少</w:t>
      </w:r>
      <w:r>
        <w:rPr>
          <w:rFonts w:hint="eastAsia" w:ascii="仿宋_GB2312" w:hAnsi="宋体" w:eastAsia="仿宋_GB2312" w:cs="仿宋_GB2312"/>
          <w:color w:val="000000"/>
          <w:kern w:val="0"/>
          <w:szCs w:val="32"/>
          <w:lang w:val="en-US" w:eastAsia="zh-CN"/>
        </w:rPr>
        <w:t>5.4</w:t>
      </w:r>
      <w:r>
        <w:rPr>
          <w:rFonts w:ascii="仿宋_GB2312" w:hAnsi="宋体" w:eastAsia="仿宋_GB2312" w:cs="仿宋_GB2312"/>
          <w:color w:val="000000"/>
          <w:kern w:val="0"/>
          <w:szCs w:val="32"/>
        </w:rPr>
        <w:t>%，主要</w:t>
      </w:r>
      <w:r>
        <w:rPr>
          <w:rFonts w:hint="eastAsia" w:ascii="仿宋_GB2312" w:hAnsi="宋体" w:eastAsia="仿宋_GB2312" w:cs="仿宋_GB2312"/>
          <w:color w:val="000000"/>
          <w:kern w:val="0"/>
          <w:szCs w:val="32"/>
        </w:rPr>
        <w:t>原因是</w:t>
      </w:r>
      <w:r>
        <w:rPr>
          <w:rFonts w:hint="eastAsia" w:ascii="仿宋_GB2312" w:hAnsi="仿宋" w:eastAsia="仿宋_GB2312"/>
          <w:szCs w:val="32"/>
          <w:lang w:eastAsia="zh-CN"/>
        </w:rPr>
        <w:t>政府性基金和项目减少</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hint="eastAsia" w:ascii="仿宋_GB2312" w:hAnsi="宋体" w:eastAsia="仿宋_GB2312" w:cs="仿宋_GB2312"/>
          <w:color w:val="000000"/>
          <w:kern w:val="0"/>
          <w:szCs w:val="32"/>
        </w:rPr>
      </w:pP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92.21</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629.5</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682.7</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pPr>
        <w:widowControl/>
        <w:spacing w:line="560" w:lineRule="exact"/>
        <w:ind w:firstLine="643" w:firstLineChars="200"/>
        <w:jc w:val="left"/>
      </w:pPr>
      <w:r>
        <w:rPr>
          <w:rFonts w:ascii="仿宋_GB2312" w:hAnsi="宋体" w:eastAsia="仿宋_GB2312" w:cs="仿宋_GB2312"/>
          <w:b/>
          <w:color w:val="000000"/>
          <w:kern w:val="0"/>
          <w:szCs w:val="32"/>
        </w:rPr>
        <w:t xml:space="preserve">1.一般公共服务支出。 </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92.21</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92.21</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p>
    <w:p>
      <w:pPr>
        <w:widowControl/>
        <w:numPr>
          <w:ilvl w:val="0"/>
          <w:numId w:val="4"/>
        </w:numPr>
        <w:spacing w:line="560" w:lineRule="exact"/>
        <w:ind w:firstLine="643" w:firstLineChars="200"/>
        <w:jc w:val="left"/>
        <w:rPr>
          <w:rFonts w:hint="eastAsia"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社会保障和就业支出。</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lang w:eastAsia="zh-CN"/>
        </w:rPr>
        <w:t>年初预算为</w:t>
      </w:r>
      <w:r>
        <w:rPr>
          <w:rFonts w:hint="eastAsia" w:ascii="仿宋_GB2312" w:hAnsi="宋体" w:eastAsia="仿宋_GB2312" w:cs="仿宋_GB2312"/>
          <w:color w:val="000000"/>
          <w:kern w:val="0"/>
          <w:szCs w:val="32"/>
          <w:lang w:val="en-US" w:eastAsia="zh-CN"/>
        </w:rPr>
        <w:t>0万元，支出决算为624.37万元，完成年初预算的0%，</w:t>
      </w:r>
      <w:r>
        <w:rPr>
          <w:rFonts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rPr>
        <w:t>追加</w:t>
      </w:r>
      <w:r>
        <w:rPr>
          <w:rFonts w:hint="eastAsia" w:ascii="仿宋_GB2312" w:hAnsi="宋体" w:eastAsia="仿宋_GB2312" w:cs="仿宋_GB2312"/>
          <w:color w:val="000000"/>
          <w:kern w:val="0"/>
          <w:szCs w:val="32"/>
          <w:lang w:eastAsia="zh-CN"/>
        </w:rPr>
        <w:t>残疾人就业和扶贫、残疾人康复补助费用</w:t>
      </w:r>
      <w:r>
        <w:rPr>
          <w:rFonts w:hint="eastAsia" w:ascii="仿宋_GB2312" w:hAnsi="宋体" w:eastAsia="仿宋_GB2312" w:cs="仿宋_GB2312"/>
          <w:color w:val="000000"/>
          <w:kern w:val="0"/>
          <w:szCs w:val="32"/>
        </w:rPr>
        <w:t>等。</w:t>
      </w:r>
    </w:p>
    <w:p>
      <w:pPr>
        <w:widowControl/>
        <w:numPr>
          <w:ilvl w:val="0"/>
          <w:numId w:val="4"/>
        </w:numPr>
        <w:spacing w:line="560" w:lineRule="exact"/>
        <w:ind w:firstLine="643" w:firstLineChars="200"/>
        <w:jc w:val="left"/>
        <w:rPr>
          <w:rFonts w:hint="eastAsia" w:ascii="仿宋_GB2312" w:hAnsi="宋体" w:eastAsia="仿宋_GB2312" w:cs="仿宋_GB2312"/>
          <w:b/>
          <w:color w:val="000000"/>
          <w:kern w:val="0"/>
          <w:szCs w:val="32"/>
        </w:rPr>
      </w:pPr>
      <w:r>
        <w:rPr>
          <w:rFonts w:hint="eastAsia" w:ascii="仿宋_GB2312" w:hAnsi="宋体" w:eastAsia="仿宋_GB2312" w:cs="仿宋_GB2312"/>
          <w:b/>
          <w:color w:val="000000"/>
          <w:kern w:val="0"/>
          <w:szCs w:val="32"/>
        </w:rPr>
        <w:t>卫生健康支出。</w:t>
      </w:r>
    </w:p>
    <w:p>
      <w:pPr>
        <w:widowControl/>
        <w:numPr>
          <w:ilvl w:val="0"/>
          <w:numId w:val="0"/>
        </w:numPr>
        <w:spacing w:line="560" w:lineRule="exact"/>
        <w:ind w:firstLine="640" w:firstLineChars="200"/>
        <w:jc w:val="left"/>
        <w:rPr>
          <w:rFonts w:hint="default" w:ascii="仿宋_GB2312" w:hAnsi="宋体" w:eastAsia="仿宋_GB2312" w:cs="仿宋_GB2312"/>
          <w:color w:val="000000"/>
          <w:kern w:val="0"/>
          <w:szCs w:val="32"/>
          <w:lang w:val="en-US" w:eastAsia="zh-CN"/>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2.21</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rPr>
        <w:t>行政单位医疗未做预算。</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 xml:space="preserve">六、一般公共预算财政拨款基本支出决算情况说明 </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103.82</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93.97</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lang w:val="en-US" w:eastAsia="zh-CN"/>
        </w:rPr>
        <w:t>9.86</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宋体" w:eastAsia="仿宋_GB2312" w:cs="仿宋_GB2312"/>
          <w:color w:val="000000"/>
          <w:kern w:val="0"/>
          <w:szCs w:val="32"/>
          <w:lang w:val="en-US" w:eastAsia="zh-CN"/>
        </w:rPr>
        <w:t>93.97</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lang w:eastAsia="zh-CN"/>
        </w:rPr>
        <w:t>基本工资</w:t>
      </w:r>
      <w:r>
        <w:rPr>
          <w:rFonts w:hint="eastAsia" w:ascii="仿宋_GB2312" w:hAnsi="宋体" w:eastAsia="仿宋_GB2312" w:cs="仿宋_GB2312"/>
          <w:color w:val="000000"/>
          <w:kern w:val="0"/>
          <w:szCs w:val="32"/>
          <w:lang w:val="en-US" w:eastAsia="zh-CN"/>
        </w:rPr>
        <w:t>29.29万元，津贴补贴25.89万元，奖金13.54万元，机关事业单位基本养老保险缴费支出11.07万元，职业年金缴费支出1.92万元，职工基本医疗保险缴费2.75万元，住房公积金9.51万元。</w:t>
      </w:r>
    </w:p>
    <w:p>
      <w:pPr>
        <w:widowControl/>
        <w:spacing w:line="560" w:lineRule="exact"/>
        <w:ind w:firstLine="643" w:firstLineChars="200"/>
        <w:jc w:val="left"/>
        <w:rPr>
          <w:rFonts w:hint="default" w:eastAsia="仿宋_GB2312"/>
          <w:lang w:val="en-US" w:eastAsia="zh-CN"/>
        </w:rPr>
      </w:pPr>
      <w:r>
        <w:rPr>
          <w:rFonts w:ascii="仿宋_GB2312" w:hAnsi="宋体" w:eastAsia="仿宋_GB2312" w:cs="仿宋_GB2312"/>
          <w:b/>
          <w:bCs/>
          <w:color w:val="000000"/>
          <w:kern w:val="0"/>
          <w:szCs w:val="32"/>
        </w:rPr>
        <w:t>公用经费</w:t>
      </w:r>
      <w:r>
        <w:rPr>
          <w:rFonts w:hint="eastAsia" w:ascii="仿宋_GB2312" w:hAnsi="宋体" w:eastAsia="仿宋_GB2312" w:cs="仿宋_GB2312"/>
          <w:color w:val="000000"/>
          <w:kern w:val="0"/>
          <w:szCs w:val="32"/>
          <w:lang w:val="en-US" w:eastAsia="zh-CN"/>
        </w:rPr>
        <w:t>9.86</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lang w:eastAsia="zh-CN"/>
        </w:rPr>
        <w:t>办公费</w:t>
      </w:r>
      <w:r>
        <w:rPr>
          <w:rFonts w:hint="eastAsia" w:ascii="仿宋_GB2312" w:hAnsi="宋体" w:eastAsia="仿宋_GB2312" w:cs="仿宋_GB2312"/>
          <w:color w:val="000000"/>
          <w:kern w:val="0"/>
          <w:szCs w:val="32"/>
          <w:lang w:val="en-US" w:eastAsia="zh-CN"/>
        </w:rPr>
        <w:t>1.68万元，手续费0.01万元，水费0.18万元，电费1.14万元，差旅费0.45万元，其他交通费用6.4万元。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 xml:space="preserve">七、一般公共预算财政拨款“三公”经费及会议费、培训费支出决算情况说明 </w:t>
      </w:r>
    </w:p>
    <w:p>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lang w:val="en-US" w:eastAsia="zh-CN"/>
        </w:rPr>
        <w:t>0.46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2.48</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539.1</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w:t>
      </w:r>
      <w:r>
        <w:rPr>
          <w:rFonts w:hint="eastAsia" w:ascii="仿宋_GB2312" w:hAnsi="宋体" w:eastAsia="仿宋_GB2312" w:cs="仿宋_GB2312"/>
          <w:color w:val="000000"/>
          <w:kern w:val="0"/>
          <w:szCs w:val="32"/>
          <w:lang w:val="en-US" w:eastAsia="zh-CN"/>
        </w:rPr>
        <w:t>2.02</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lang w:eastAsia="zh-CN"/>
        </w:rPr>
        <w:t>临时因公出国费用增加</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“三公”经费财政拨款支出决算中，因公出国（境）费支出决算</w:t>
      </w:r>
      <w:r>
        <w:rPr>
          <w:rFonts w:hint="eastAsia" w:ascii="仿宋_GB2312" w:hAnsi="宋体" w:eastAsia="仿宋_GB2312" w:cs="仿宋_GB2312"/>
          <w:color w:val="000000"/>
          <w:kern w:val="0"/>
          <w:szCs w:val="32"/>
          <w:lang w:val="en-US" w:eastAsia="zh-CN"/>
        </w:rPr>
        <w:t>2.48</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%；公务用车购置</w:t>
      </w:r>
      <w:r>
        <w:rPr>
          <w:rFonts w:hint="eastAsia" w:ascii="仿宋_GB2312" w:hAnsi="宋体" w:eastAsia="仿宋_GB2312" w:cs="仿宋_GB2312"/>
          <w:color w:val="000000"/>
          <w:kern w:val="0"/>
          <w:szCs w:val="32"/>
        </w:rPr>
        <w:t>费支出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万元；公务接待费支出决算</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万元。具体情况如下：</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2019年度因公出国（境）团组</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2.48</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w:t>
      </w:r>
      <w:r>
        <w:rPr>
          <w:rFonts w:hint="eastAsia" w:ascii="仿宋_GB2312" w:hAnsi="宋体" w:eastAsia="仿宋_GB2312" w:cs="仿宋_GB2312"/>
          <w:color w:val="000000"/>
          <w:kern w:val="0"/>
          <w:szCs w:val="32"/>
          <w:lang w:val="en-US" w:eastAsia="zh-CN"/>
        </w:rPr>
        <w:t>2.48</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lang w:eastAsia="zh-CN"/>
        </w:rPr>
        <w:t>临时因公出国</w:t>
      </w:r>
      <w:r>
        <w:rPr>
          <w:rFonts w:hint="eastAsia" w:ascii="仿宋_GB2312" w:hAnsi="宋体" w:eastAsia="仿宋_GB2312" w:cs="仿宋_GB2312"/>
          <w:color w:val="000000"/>
          <w:kern w:val="0"/>
          <w:szCs w:val="32"/>
          <w:lang w:val="en-US" w:eastAsia="zh-CN"/>
        </w:rPr>
        <w:t>1人</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2.公务用车购置费用支出情况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2019年度购置车辆</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台，</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eastAsia="仿宋_GB2312"/>
          <w:szCs w:val="32"/>
        </w:rPr>
        <w:t>主要原因是本单位现在已经无</w:t>
      </w:r>
      <w:r>
        <w:rPr>
          <w:rFonts w:hint="eastAsia" w:ascii="仿宋_GB2312" w:eastAsia="仿宋_GB2312"/>
          <w:szCs w:val="32"/>
          <w:lang w:eastAsia="zh-CN"/>
        </w:rPr>
        <w:t>公</w:t>
      </w:r>
      <w:r>
        <w:rPr>
          <w:rFonts w:hint="eastAsia" w:ascii="仿宋_GB2312" w:eastAsia="仿宋_GB2312"/>
          <w:szCs w:val="32"/>
        </w:rPr>
        <w:t>车</w:t>
      </w:r>
      <w:r>
        <w:rPr>
          <w:rFonts w:hint="eastAsia" w:ascii="仿宋_GB2312" w:hAnsi="宋体" w:eastAsia="仿宋_GB2312" w:cs="仿宋_GB2312"/>
          <w:color w:val="000000"/>
          <w:kern w:val="0"/>
          <w:szCs w:val="32"/>
        </w:rPr>
        <w:t>。</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3.公务用车运行维护费用支出情况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公务用车运行维护费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eastAsia="仿宋_GB2312"/>
          <w:szCs w:val="32"/>
        </w:rPr>
        <w:t>主要原因是本单位现在已经无</w:t>
      </w:r>
      <w:r>
        <w:rPr>
          <w:rFonts w:hint="eastAsia" w:ascii="仿宋_GB2312" w:eastAsia="仿宋_GB2312"/>
          <w:szCs w:val="32"/>
          <w:lang w:eastAsia="zh-CN"/>
        </w:rPr>
        <w:t>公</w:t>
      </w:r>
      <w:r>
        <w:rPr>
          <w:rFonts w:hint="eastAsia" w:ascii="仿宋_GB2312" w:eastAsia="仿宋_GB2312"/>
          <w:szCs w:val="32"/>
        </w:rPr>
        <w:t>车</w:t>
      </w:r>
      <w:r>
        <w:rPr>
          <w:rFonts w:hint="eastAsia" w:ascii="仿宋_GB2312" w:hAnsi="宋体" w:eastAsia="仿宋_GB2312" w:cs="仿宋_GB2312"/>
          <w:color w:val="000000"/>
          <w:kern w:val="0"/>
          <w:szCs w:val="32"/>
        </w:rPr>
        <w:t>。</w:t>
      </w:r>
    </w:p>
    <w:p>
      <w:pPr>
        <w:numPr>
          <w:ilvl w:val="0"/>
          <w:numId w:val="5"/>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hint="eastAsia" w:ascii="仿宋_GB2312" w:hAnsi="宋体" w:eastAsia="仿宋_GB2312" w:cs="仿宋_GB2312"/>
          <w:color w:val="000000"/>
          <w:kern w:val="0"/>
          <w:szCs w:val="32"/>
        </w:rPr>
      </w:pPr>
      <w:r>
        <w:rPr>
          <w:rFonts w:hint="eastAsia" w:ascii="仿宋_GB2312" w:hAnsi="仿宋" w:eastAsia="仿宋_GB2312"/>
          <w:szCs w:val="32"/>
        </w:rPr>
        <w:t>2019年度公务接待</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批次，</w:t>
      </w:r>
      <w:r>
        <w:rPr>
          <w:rFonts w:hint="eastAsia" w:ascii="仿宋_GB2312" w:hAnsi="仿宋_GB2312" w:eastAsia="仿宋_GB2312" w:cs="仿宋_GB2312"/>
          <w:szCs w:val="32"/>
          <w:lang w:val="en-US" w:eastAsia="zh-CN"/>
        </w:rPr>
        <w:t>0</w:t>
      </w:r>
      <w:r>
        <w:rPr>
          <w:rFonts w:hint="eastAsia" w:ascii="仿宋_GB2312" w:hAnsi="仿宋_GB2312" w:eastAsia="仿宋_GB2312" w:cs="仿宋_GB2312"/>
          <w:szCs w:val="32"/>
        </w:rPr>
        <w:t>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0.46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w:t>
      </w:r>
    </w:p>
    <w:p>
      <w:pPr>
        <w:spacing w:line="560" w:lineRule="exact"/>
        <w:ind w:firstLine="640" w:firstLineChars="200"/>
        <w:rPr>
          <w:rFonts w:hint="eastAsia" w:ascii="仿宋_GB2312" w:hAnsi="宋体" w:eastAsia="仿宋_GB2312" w:cs="仿宋_GB2312"/>
          <w:color w:val="000000"/>
          <w:kern w:val="0"/>
          <w:szCs w:val="32"/>
        </w:rPr>
      </w:pPr>
      <w:r>
        <w:rPr>
          <w:rFonts w:hint="eastAsia" w:ascii="仿宋_GB2312" w:hAnsi="宋体" w:eastAsia="仿宋_GB2312" w:cs="仿宋_GB2312"/>
          <w:color w:val="000000"/>
          <w:kern w:val="0"/>
          <w:szCs w:val="32"/>
          <w:lang w:eastAsia="zh-CN"/>
        </w:rPr>
        <w:drawing>
          <wp:anchor distT="0" distB="0" distL="114300" distR="114300" simplePos="0" relativeHeight="251697152" behindDoc="0" locked="0" layoutInCell="1" allowOverlap="1">
            <wp:simplePos x="0" y="0"/>
            <wp:positionH relativeFrom="column">
              <wp:posOffset>909320</wp:posOffset>
            </wp:positionH>
            <wp:positionV relativeFrom="paragraph">
              <wp:posOffset>33020</wp:posOffset>
            </wp:positionV>
            <wp:extent cx="3527425" cy="2353945"/>
            <wp:effectExtent l="4445" t="4445" r="11430" b="2286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60" w:lineRule="exact"/>
        <w:ind w:firstLine="643" w:firstLineChars="200"/>
        <w:rPr>
          <w:rFonts w:hint="eastAsia" w:ascii="楷体_GB2312" w:hAnsi="宋体" w:eastAsia="楷体_GB2312" w:cs="楷体_GB2312"/>
          <w:b/>
          <w:color w:val="000000"/>
          <w:kern w:val="0"/>
          <w:szCs w:val="32"/>
        </w:rPr>
      </w:pPr>
    </w:p>
    <w:p>
      <w:pPr>
        <w:spacing w:line="560" w:lineRule="exact"/>
        <w:ind w:firstLine="643" w:firstLineChars="200"/>
        <w:rPr>
          <w:rFonts w:hint="eastAsia" w:ascii="楷体_GB2312" w:hAnsi="宋体" w:eastAsia="楷体_GB2312" w:cs="楷体_GB2312"/>
          <w:b/>
          <w:color w:val="000000"/>
          <w:kern w:val="0"/>
          <w:szCs w:val="32"/>
        </w:rPr>
      </w:pPr>
    </w:p>
    <w:p>
      <w:pPr>
        <w:spacing w:line="560" w:lineRule="exact"/>
        <w:ind w:firstLine="643" w:firstLineChars="200"/>
        <w:rPr>
          <w:rFonts w:hint="eastAsia" w:ascii="楷体_GB2312" w:hAnsi="宋体" w:eastAsia="楷体_GB2312" w:cs="楷体_GB2312"/>
          <w:b/>
          <w:color w:val="000000"/>
          <w:kern w:val="0"/>
          <w:szCs w:val="32"/>
        </w:rPr>
      </w:pPr>
    </w:p>
    <w:p>
      <w:pPr>
        <w:spacing w:line="560" w:lineRule="exact"/>
        <w:ind w:firstLine="643" w:firstLineChars="200"/>
        <w:rPr>
          <w:rFonts w:hint="eastAsia" w:ascii="楷体_GB2312" w:hAnsi="宋体" w:eastAsia="楷体_GB2312" w:cs="楷体_GB2312"/>
          <w:b/>
          <w:color w:val="000000"/>
          <w:kern w:val="0"/>
          <w:szCs w:val="32"/>
        </w:rPr>
      </w:pPr>
    </w:p>
    <w:p>
      <w:pPr>
        <w:spacing w:line="560" w:lineRule="exact"/>
        <w:ind w:firstLine="643" w:firstLineChars="200"/>
        <w:rPr>
          <w:rFonts w:hint="eastAsia" w:ascii="楷体_GB2312" w:hAnsi="宋体" w:eastAsia="楷体_GB2312" w:cs="楷体_GB2312"/>
          <w:b/>
          <w:color w:val="000000"/>
          <w:kern w:val="0"/>
          <w:szCs w:val="32"/>
        </w:rPr>
      </w:pPr>
    </w:p>
    <w:p>
      <w:pPr>
        <w:spacing w:line="560" w:lineRule="exact"/>
        <w:ind w:firstLine="643" w:firstLineChars="200"/>
        <w:rPr>
          <w:rFonts w:hint="eastAsia" w:ascii="楷体_GB2312" w:hAnsi="宋体" w:eastAsia="楷体_GB2312" w:cs="楷体_GB2312"/>
          <w:b/>
          <w:color w:val="000000"/>
          <w:kern w:val="0"/>
          <w:szCs w:val="32"/>
        </w:rPr>
      </w:pP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培训费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26.28</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w:t>
      </w:r>
      <w:r>
        <w:rPr>
          <w:rFonts w:hint="eastAsia" w:ascii="仿宋_GB2312" w:hAnsi="宋体" w:eastAsia="仿宋_GB2312" w:cs="仿宋_GB2312"/>
          <w:color w:val="000000"/>
          <w:kern w:val="0"/>
          <w:szCs w:val="32"/>
          <w:lang w:val="en-US" w:eastAsia="zh-CN"/>
        </w:rPr>
        <w:t>26.28</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lang w:eastAsia="zh-CN"/>
        </w:rPr>
        <w:t>追加残疾人培训经费</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会议费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0.12</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 xml:space="preserve">八、政府性基金预算财政拨款收入支出情况说明 </w:t>
      </w:r>
    </w:p>
    <w:p>
      <w:pPr>
        <w:spacing w:line="560" w:lineRule="exact"/>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本部门无政府性基金决算收支，并已公开空表</w:t>
      </w:r>
      <w:r>
        <w:rPr>
          <w:rFonts w:hint="eastAsia" w:ascii="仿宋_GB2312" w:hAnsi="仿宋_GB2312" w:eastAsia="仿宋_GB2312" w:cs="仿宋_GB2312"/>
          <w:szCs w:val="32"/>
          <w:lang w:eastAsia="zh-CN"/>
        </w:rPr>
        <w:t>。</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本部门无国有资本经营决算拨款收支</w:t>
      </w:r>
      <w:r>
        <w:rPr>
          <w:rFonts w:hint="eastAsia" w:ascii="仿宋_GB2312" w:hAnsi="仿宋_GB2312" w:eastAsia="仿宋_GB2312" w:cs="仿宋_GB2312"/>
          <w:szCs w:val="32"/>
          <w:lang w:eastAsia="zh-CN"/>
        </w:rPr>
        <w:t>。</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w:t>
      </w:r>
      <w:r>
        <w:rPr>
          <w:rFonts w:ascii="楷体_GB2312" w:hAnsi="宋体" w:eastAsia="楷体_GB2312" w:cs="楷体_GB2312"/>
          <w:b/>
          <w:color w:val="000000"/>
          <w:kern w:val="0"/>
          <w:szCs w:val="32"/>
        </w:rPr>
        <w:t>预算绩效管理工作开展情况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r>
        <w:rPr>
          <w:rFonts w:hint="eastAsia" w:ascii="楷体_GB2312" w:hAnsi="宋体" w:eastAsia="楷体_GB2312" w:cs="楷体_GB2312"/>
          <w:b/>
          <w:color w:val="000000"/>
          <w:kern w:val="0"/>
          <w:szCs w:val="32"/>
        </w:rPr>
        <w:t xml:space="preserve">     </w:t>
      </w:r>
    </w:p>
    <w:p>
      <w:pPr>
        <w:widowControl/>
        <w:spacing w:line="560" w:lineRule="exact"/>
        <w:ind w:firstLine="64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lang w:val="en-US" w:eastAsia="zh-CN"/>
        </w:rPr>
        <w:t>3</w:t>
      </w:r>
      <w:r>
        <w:rPr>
          <w:rFonts w:ascii="仿宋_GB2312" w:hAnsi="仿宋_GB2312" w:eastAsia="仿宋_GB2312" w:cs="仿宋_GB2312"/>
          <w:szCs w:val="32"/>
        </w:rPr>
        <w:t>个，</w:t>
      </w:r>
      <w:r>
        <w:rPr>
          <w:rFonts w:hint="eastAsia" w:ascii="仿宋_GB2312" w:hAnsi="仿宋_GB2312" w:eastAsia="仿宋_GB2312" w:cs="仿宋_GB2312"/>
          <w:szCs w:val="32"/>
          <w:lang w:eastAsia="zh-CN"/>
        </w:rPr>
        <w:t>分别是残疾人就业保障金区级配套、残疾人综合服务楼水、电、暖费用及综合维修、临聘人员工资、养老、医疗，</w:t>
      </w:r>
      <w:r>
        <w:rPr>
          <w:rFonts w:ascii="仿宋_GB2312" w:hAnsi="仿宋_GB2312" w:eastAsia="仿宋_GB2312" w:cs="仿宋_GB2312"/>
          <w:szCs w:val="32"/>
        </w:rPr>
        <w:t>共涉及资金</w:t>
      </w:r>
      <w:r>
        <w:rPr>
          <w:rFonts w:hint="eastAsia" w:ascii="仿宋_GB2312" w:hAnsi="仿宋_GB2312" w:eastAsia="仿宋_GB2312" w:cs="仿宋_GB2312"/>
          <w:szCs w:val="32"/>
          <w:lang w:val="en-US" w:eastAsia="zh-CN"/>
        </w:rPr>
        <w:t>21.3</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lang w:val="en-US" w:eastAsia="zh-CN"/>
        </w:rPr>
        <w:t>100</w:t>
      </w:r>
      <w:r>
        <w:rPr>
          <w:rFonts w:ascii="仿宋_GB2312" w:hAnsi="仿宋_GB2312" w:eastAsia="仿宋_GB2312" w:cs="仿宋_GB2312"/>
          <w:szCs w:val="32"/>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color w:val="000000"/>
          <w:kern w:val="0"/>
          <w:sz w:val="31"/>
          <w:szCs w:val="31"/>
          <w:lang w:val="en-US" w:eastAsia="zh-CN"/>
        </w:rPr>
        <w:t>21.3</w:t>
      </w:r>
      <w:r>
        <w:rPr>
          <w:rFonts w:hint="eastAsia" w:ascii="仿宋_GB2312" w:hAnsi="仿宋_GB2312" w:eastAsia="仿宋_GB2312" w:cs="仿宋_GB2312"/>
          <w:szCs w:val="32"/>
        </w:rPr>
        <w:t>万元。</w:t>
      </w:r>
    </w:p>
    <w:p>
      <w:pPr>
        <w:widowControl/>
        <w:spacing w:line="560" w:lineRule="exact"/>
        <w:ind w:firstLine="643" w:firstLineChars="200"/>
        <w:jc w:val="left"/>
        <w:rPr>
          <w:rFonts w:ascii="仿宋_GB2312" w:hAnsi="仿宋_GB2312" w:eastAsia="仿宋_GB2312" w:cs="仿宋_GB2312"/>
          <w:color w:val="000000"/>
          <w:kern w:val="0"/>
          <w:sz w:val="31"/>
          <w:szCs w:val="31"/>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部门决算中项目绩效自评结果。</w:t>
      </w:r>
      <w:r>
        <w:rPr>
          <w:rFonts w:ascii="仿宋_GB2312" w:hAnsi="仿宋_GB2312" w:eastAsia="仿宋_GB2312" w:cs="仿宋_GB2312"/>
          <w:color w:val="000000"/>
          <w:kern w:val="0"/>
          <w:sz w:val="31"/>
          <w:szCs w:val="31"/>
        </w:rPr>
        <w:t xml:space="preserve"> </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1、</w:t>
      </w:r>
      <w:r>
        <w:rPr>
          <w:rFonts w:hint="eastAsia" w:ascii="仿宋_GB2312" w:hAnsi="仿宋_GB2312" w:eastAsia="仿宋_GB2312" w:cs="仿宋_GB2312"/>
          <w:color w:val="000000"/>
          <w:kern w:val="0"/>
          <w:sz w:val="31"/>
          <w:szCs w:val="31"/>
          <w:lang w:eastAsia="zh-CN"/>
        </w:rPr>
        <w:t>残疾人就业保障金区级配套</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4</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4</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主要产出和效果：通过项目实施</w:t>
      </w:r>
      <w:r>
        <w:rPr>
          <w:rFonts w:hint="eastAsia" w:ascii="仿宋_GB2312" w:hAnsi="仿宋_GB2312" w:eastAsia="仿宋_GB2312" w:cs="仿宋_GB2312"/>
          <w:color w:val="000000"/>
          <w:kern w:val="0"/>
          <w:sz w:val="31"/>
          <w:szCs w:val="31"/>
          <w:lang w:eastAsia="zh-CN"/>
        </w:rPr>
        <w:t>为残疾人保障金征收工作进行宣传，向企业发布残疾人用工信息，走访企业宣传残疾人用工政策，确保按比例安置残疾人工作顺利开展</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无</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无</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2、</w:t>
      </w:r>
      <w:r>
        <w:rPr>
          <w:rFonts w:hint="eastAsia" w:ascii="仿宋_GB2312" w:hAnsi="仿宋_GB2312" w:eastAsia="仿宋_GB2312" w:cs="仿宋_GB2312"/>
          <w:color w:val="000000"/>
          <w:kern w:val="0"/>
          <w:sz w:val="31"/>
          <w:szCs w:val="31"/>
        </w:rPr>
        <w:t>残疾人综合服务楼水、电、暖费用及综合维修</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7.3</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7.3</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主要产出和效果：通过项目实施</w:t>
      </w:r>
      <w:r>
        <w:rPr>
          <w:rFonts w:hint="eastAsia" w:ascii="仿宋_GB2312" w:hAnsi="仿宋_GB2312" w:eastAsia="仿宋_GB2312" w:cs="仿宋_GB2312"/>
          <w:color w:val="000000"/>
          <w:kern w:val="0"/>
          <w:sz w:val="31"/>
          <w:szCs w:val="31"/>
          <w:lang w:eastAsia="zh-CN"/>
        </w:rPr>
        <w:t>保障残疾人综合服务楼能够正常运行</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无</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无</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val="en-US" w:eastAsia="zh-CN"/>
        </w:rPr>
        <w:t>3、临聘人员工资、养老、医疗</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10</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10</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主要产出和效果：通过项目实施</w:t>
      </w:r>
      <w:r>
        <w:rPr>
          <w:rFonts w:hint="eastAsia" w:ascii="仿宋_GB2312" w:hAnsi="仿宋_GB2312" w:eastAsia="仿宋_GB2312" w:cs="仿宋_GB2312"/>
          <w:color w:val="000000"/>
          <w:kern w:val="0"/>
          <w:sz w:val="31"/>
          <w:szCs w:val="31"/>
          <w:lang w:eastAsia="zh-CN"/>
        </w:rPr>
        <w:t>保障我区残疾人各项业务工作能够正常运行</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eastAsia="zh-CN"/>
        </w:rPr>
        <w:t>无</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eastAsia="zh-CN"/>
        </w:rPr>
        <w:t>无</w:t>
      </w:r>
      <w:r>
        <w:rPr>
          <w:rFonts w:hint="eastAsia" w:ascii="仿宋_GB2312" w:hAnsi="仿宋_GB2312" w:eastAsia="仿宋_GB2312" w:cs="仿宋_GB2312"/>
          <w:color w:val="000000"/>
          <w:kern w:val="0"/>
          <w:sz w:val="31"/>
          <w:szCs w:val="31"/>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本部门整体2019年度整体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lang w:val="en-US" w:eastAsia="zh-CN"/>
        </w:rPr>
        <w:t>98</w:t>
      </w:r>
      <w:r>
        <w:rPr>
          <w:rFonts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lang w:val="en-US" w:eastAsia="zh-CN"/>
        </w:rPr>
        <w:t>21.3</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21.3</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p>
    <w:p>
      <w:pPr>
        <w:widowControl/>
        <w:numPr>
          <w:ilvl w:val="0"/>
          <w:numId w:val="6"/>
        </w:numPr>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为残疾人保障金征收工作进行宣传，向企业发布残疾人用工信息，走访企业宣传残疾人用工政策，确保按比例安置残疾人工作顺利开展</w:t>
      </w:r>
      <w:r>
        <w:rPr>
          <w:rFonts w:hint="eastAsia" w:ascii="仿宋_GB2312" w:hAnsi="仿宋_GB2312" w:eastAsia="仿宋_GB2312" w:cs="仿宋_GB2312"/>
          <w:color w:val="000000"/>
          <w:kern w:val="0"/>
          <w:sz w:val="31"/>
          <w:szCs w:val="31"/>
        </w:rPr>
        <w:t>。</w:t>
      </w:r>
    </w:p>
    <w:p>
      <w:pPr>
        <w:widowControl/>
        <w:numPr>
          <w:ilvl w:val="0"/>
          <w:numId w:val="6"/>
        </w:numPr>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保障残疾人综合服务楼能够正常运行。</w:t>
      </w:r>
    </w:p>
    <w:p>
      <w:pPr>
        <w:widowControl/>
        <w:numPr>
          <w:ilvl w:val="0"/>
          <w:numId w:val="6"/>
        </w:numPr>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lang w:eastAsia="zh-CN"/>
        </w:rPr>
        <w:t>保障我区残疾人各项业务工作能够正常运行</w:t>
      </w:r>
      <w:r>
        <w:rPr>
          <w:rFonts w:hint="eastAsia" w:ascii="仿宋_GB2312" w:hAnsi="仿宋_GB2312" w:eastAsia="仿宋_GB2312" w:cs="仿宋_GB2312"/>
          <w:color w:val="000000"/>
          <w:kern w:val="0"/>
          <w:sz w:val="31"/>
          <w:szCs w:val="31"/>
        </w:rPr>
        <w:t>。</w:t>
      </w:r>
    </w:p>
    <w:p>
      <w:pPr>
        <w:spacing w:line="56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主要工作绩效是</w:t>
      </w:r>
      <w:r>
        <w:rPr>
          <w:rFonts w:ascii="仿宋_GB2312" w:hAnsi="仿宋_GB2312" w:eastAsia="仿宋_GB2312" w:cs="仿宋_GB2312"/>
          <w:color w:val="000000"/>
          <w:kern w:val="0"/>
          <w:sz w:val="31"/>
          <w:szCs w:val="31"/>
        </w:rPr>
        <w:t>：</w:t>
      </w:r>
    </w:p>
    <w:p>
      <w:pPr>
        <w:spacing w:line="560" w:lineRule="exact"/>
        <w:ind w:firstLine="620" w:firstLineChars="200"/>
        <w:rPr>
          <w:rFonts w:hint="eastAsia" w:ascii="仿宋_GB2312" w:eastAsia="仿宋_GB2312"/>
          <w:sz w:val="32"/>
          <w:szCs w:val="32"/>
        </w:rPr>
      </w:pPr>
      <w:r>
        <w:rPr>
          <w:rFonts w:hint="eastAsia" w:ascii="仿宋_GB2312" w:hAnsi="仿宋_GB2312" w:eastAsia="仿宋_GB2312" w:cs="仿宋_GB2312"/>
          <w:color w:val="000000"/>
          <w:kern w:val="0"/>
          <w:sz w:val="31"/>
          <w:szCs w:val="31"/>
          <w:lang w:val="en-US" w:eastAsia="zh-CN"/>
        </w:rPr>
        <w:t>1、</w:t>
      </w:r>
      <w:r>
        <w:rPr>
          <w:rFonts w:hint="eastAsia" w:ascii="仿宋_GB2312" w:eastAsia="仿宋_GB2312"/>
          <w:sz w:val="32"/>
          <w:szCs w:val="32"/>
        </w:rPr>
        <w:t>2019年残疾人家庭医生签约共建档新增990人，筛查评估新增3141人，签约新增2927人，服务新增2525人。</w:t>
      </w:r>
    </w:p>
    <w:p>
      <w:pPr>
        <w:numPr>
          <w:ilvl w:val="0"/>
          <w:numId w:val="7"/>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全年共对各类残疾儿童78名实施康复救助79例，确保残疾儿童少年发现一例、救助一例。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开展残疾人辅助器具适配服务。1月对全区残疾人辅具需求进行了摸底调查，5月22日-24日集中开展了适配评估活动，为656名残疾人进行评估，适配了护理床、轮椅、拐杖、助行器、助听器等辅助器具共682件。并为下肢缺失残疾人免费安装假肢4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4.为精神残疾人实施免费住院、服药救助项目。上半年完成精神残疾人免费住院治疗救助129名，精神残疾人免费服药救助510名。</w:t>
      </w:r>
    </w:p>
    <w:p>
      <w:pPr>
        <w:spacing w:line="560" w:lineRule="exact"/>
        <w:ind w:firstLine="627" w:firstLineChars="196"/>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开展残疾人教育培训。一是残疾人职业技能培训。举办一期残疾人剪纸技能培训,56名残疾人参加了培训。举办一期残疾人手工串珠技能培训，74名残疾人参加了培训。二是农村残疾人实用技术培训。共举办三期残疾人实用技能培训班, 215名有就业能力和就业愿望的残疾人学员参加了培训。主要培训种、养殖实用技术，采用室内理论和实地参观相结合的方式，实地参观了阎良区国强现代农业园和英武甜瓜专业合作社。三是开展向困难残疾学生发放助学金活动，资助学前一年教育、九年义务教育、普通高中教育阶段的困难残疾学生和残疾人家庭子女学生41名，发放助学金共4.1万元。</w:t>
      </w:r>
    </w:p>
    <w:p>
      <w:pPr>
        <w:spacing w:line="560" w:lineRule="exact"/>
        <w:ind w:firstLine="627" w:firstLineChars="196"/>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促进残疾人就业创业。今年新建设残疾人扶贫基地1处,西安市阎良区永辉果蔬专业合作社，帮扶带动残疾人就业20户。开展盲人按摩扶持政策，扶持盲人按摩点2家，参加盲人医疗按摩人员考试2名，帮助更多残疾人通过创业致富。</w:t>
      </w:r>
    </w:p>
    <w:p>
      <w:pPr>
        <w:spacing w:line="560" w:lineRule="exact"/>
        <w:ind w:firstLine="627" w:firstLineChars="196"/>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为全区40户残疾人家庭实施</w:t>
      </w:r>
      <w:r>
        <w:rPr>
          <w:rFonts w:hint="eastAsia" w:ascii="仿宋_GB2312" w:eastAsia="仿宋_GB2312"/>
          <w:sz w:val="32"/>
          <w:szCs w:val="32"/>
          <w:lang w:eastAsia="zh-CN"/>
        </w:rPr>
        <w:t>无障碍</w:t>
      </w:r>
      <w:r>
        <w:rPr>
          <w:rFonts w:hint="eastAsia" w:ascii="仿宋_GB2312" w:eastAsia="仿宋_GB2312"/>
          <w:sz w:val="32"/>
          <w:szCs w:val="32"/>
        </w:rPr>
        <w:t>改造。根据政府采购项目有关要求,按照一户一策的个性化改造原则，组织施工单位对每户改造家庭进行入户勘查、测量、统计,依据每户残疾人家庭的实际情况,确定每户残疾人家庭的改造内容及类型。改造过程严格按政府采购要求进行运作,残疾人满意率达100% ,极大地促进了残疾人参与社会、融入社会的能力。</w:t>
      </w:r>
    </w:p>
    <w:p>
      <w:pPr>
        <w:spacing w:line="560" w:lineRule="exact"/>
        <w:ind w:firstLine="627" w:firstLineChars="196"/>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在企事业单位按比例就业工作中：提出了安置残疾人为主，征收残疾人保障金为辅的新思路。为此加大与辖区企事业单位的沟通对接，尽最大可能安置有就业需求且有劳动能力的残疾人就业。走访企业100余家，发放安置残疾人优惠政策宣传资料700余份。</w:t>
      </w:r>
    </w:p>
    <w:p>
      <w:pPr>
        <w:spacing w:line="560" w:lineRule="exact"/>
        <w:ind w:firstLine="627" w:firstLineChars="196"/>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rPr>
        <w:t>在第六次全省自强模范暨助残先进表彰大会上阎良区残联获陕西省“残疾人之家”荣誉称号。</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eastAsia="仿宋_GB2312"/>
          <w:sz w:val="32"/>
          <w:szCs w:val="32"/>
        </w:rPr>
        <w:t>残疾人工作中还存在一些问题和不足，一是</w:t>
      </w:r>
      <w:r>
        <w:rPr>
          <w:rFonts w:hint="eastAsia" w:eastAsia="仿宋_GB2312"/>
          <w:sz w:val="32"/>
          <w:szCs w:val="32"/>
        </w:rPr>
        <w:t>受客观条件影响，残疾人生活水平与社会平均水平仍存在差距，二是全社会为残疾人提供的服务和保障还不能完全满足广大残疾人的各种需求</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rPr>
      </w:pPr>
      <w:r>
        <w:rPr>
          <w:rFonts w:ascii="仿宋_GB2312" w:hAnsi="仿宋_GB2312" w:eastAsia="仿宋_GB2312" w:cs="仿宋_GB2312"/>
          <w:color w:val="000000"/>
          <w:kern w:val="0"/>
          <w:sz w:val="31"/>
          <w:szCs w:val="31"/>
        </w:rPr>
        <w:t>下一步改进措施</w:t>
      </w:r>
      <w:bookmarkStart w:id="0" w:name="_1662907161"/>
      <w:bookmarkEnd w:id="0"/>
      <w:bookmarkStart w:id="1" w:name="_1662907696"/>
      <w:bookmarkEnd w:id="1"/>
      <w:bookmarkStart w:id="2" w:name="_1662907596"/>
      <w:bookmarkEnd w:id="2"/>
      <w:bookmarkStart w:id="3" w:name="_1662907080"/>
      <w:bookmarkEnd w:id="3"/>
      <w:r>
        <w:rPr>
          <w:rFonts w:hint="eastAsia" w:ascii="仿宋_GB2312" w:hAnsi="仿宋_GB2312" w:eastAsia="仿宋_GB2312" w:cs="仿宋_GB2312"/>
          <w:color w:val="000000"/>
          <w:kern w:val="0"/>
          <w:sz w:val="31"/>
          <w:szCs w:val="31"/>
          <w:lang w:eastAsia="zh-CN"/>
        </w:rPr>
        <w:t>：</w:t>
      </w:r>
    </w:p>
    <w:p>
      <w:pPr>
        <w:widowControl/>
        <w:numPr>
          <w:ilvl w:val="0"/>
          <w:numId w:val="8"/>
        </w:numPr>
        <w:spacing w:line="560" w:lineRule="exact"/>
        <w:ind w:firstLine="640" w:firstLineChars="200"/>
        <w:jc w:val="left"/>
        <w:rPr>
          <w:rFonts w:hint="eastAsia" w:ascii="仿宋_GB2312" w:eastAsia="仿宋_GB2312"/>
          <w:bCs/>
          <w:sz w:val="32"/>
          <w:szCs w:val="32"/>
          <w:lang w:eastAsia="zh-CN"/>
        </w:rPr>
      </w:pPr>
      <w:r>
        <w:rPr>
          <w:rFonts w:hint="eastAsia" w:ascii="仿宋_GB2312" w:eastAsia="仿宋_GB2312"/>
          <w:bCs/>
          <w:sz w:val="32"/>
          <w:szCs w:val="32"/>
        </w:rPr>
        <w:t>强化宣传，营造良好氛围。</w:t>
      </w:r>
      <w:r>
        <w:rPr>
          <w:rFonts w:ascii="仿宋_GB2312" w:eastAsia="仿宋_GB2312"/>
          <w:bCs/>
          <w:sz w:val="32"/>
          <w:szCs w:val="32"/>
        </w:rPr>
        <w:t>通过</w:t>
      </w:r>
      <w:r>
        <w:rPr>
          <w:rFonts w:hint="eastAsia" w:ascii="仿宋_GB2312" w:eastAsia="仿宋_GB2312"/>
          <w:bCs/>
          <w:sz w:val="32"/>
          <w:szCs w:val="32"/>
        </w:rPr>
        <w:t>镇、街、村、社区</w:t>
      </w:r>
      <w:r>
        <w:rPr>
          <w:rFonts w:ascii="仿宋_GB2312" w:eastAsia="仿宋_GB2312"/>
          <w:bCs/>
          <w:sz w:val="32"/>
          <w:szCs w:val="32"/>
        </w:rPr>
        <w:t>残疾人专委队伍</w:t>
      </w:r>
      <w:r>
        <w:rPr>
          <w:rFonts w:hint="eastAsia" w:ascii="仿宋_GB2312" w:eastAsia="仿宋_GB2312"/>
          <w:bCs/>
          <w:sz w:val="32"/>
          <w:szCs w:val="32"/>
          <w:lang w:eastAsia="zh-CN"/>
        </w:rPr>
        <w:t>、</w:t>
      </w:r>
      <w:r>
        <w:rPr>
          <w:rFonts w:hint="eastAsia" w:ascii="仿宋_GB2312" w:eastAsia="仿宋_GB2312"/>
          <w:sz w:val="32"/>
          <w:szCs w:val="32"/>
        </w:rPr>
        <w:t>发放残疾人办事指南和宣传政策彩页</w:t>
      </w:r>
      <w:r>
        <w:rPr>
          <w:rFonts w:hint="eastAsia" w:ascii="仿宋_GB2312" w:eastAsia="仿宋_GB2312"/>
          <w:sz w:val="32"/>
          <w:szCs w:val="32"/>
          <w:lang w:eastAsia="zh-CN"/>
        </w:rPr>
        <w:t>、</w:t>
      </w:r>
      <w:r>
        <w:rPr>
          <w:rFonts w:ascii="仿宋_GB2312" w:eastAsia="仿宋_GB2312"/>
          <w:bCs/>
          <w:sz w:val="32"/>
          <w:szCs w:val="32"/>
        </w:rPr>
        <w:t>手机微信等不同渠道，大力宣传残疾人</w:t>
      </w:r>
      <w:r>
        <w:rPr>
          <w:rFonts w:hint="eastAsia" w:ascii="仿宋_GB2312" w:eastAsia="仿宋_GB2312"/>
          <w:bCs/>
          <w:sz w:val="32"/>
          <w:szCs w:val="32"/>
          <w:lang w:eastAsia="zh-CN"/>
        </w:rPr>
        <w:t>各项优惠政策</w:t>
      </w:r>
      <w:r>
        <w:rPr>
          <w:rFonts w:ascii="仿宋_GB2312" w:eastAsia="仿宋_GB2312"/>
          <w:bCs/>
          <w:sz w:val="32"/>
          <w:szCs w:val="32"/>
        </w:rPr>
        <w:t>，提高群众的政策知晓率</w:t>
      </w:r>
      <w:r>
        <w:rPr>
          <w:rFonts w:hint="eastAsia" w:ascii="仿宋_GB2312" w:eastAsia="仿宋_GB2312"/>
          <w:bCs/>
          <w:sz w:val="32"/>
          <w:szCs w:val="32"/>
          <w:lang w:eastAsia="zh-CN"/>
        </w:rPr>
        <w:t>。</w:t>
      </w:r>
    </w:p>
    <w:p>
      <w:pPr>
        <w:widowControl/>
        <w:numPr>
          <w:ilvl w:val="0"/>
          <w:numId w:val="8"/>
        </w:numPr>
        <w:spacing w:line="560" w:lineRule="exact"/>
        <w:ind w:left="0" w:leftChars="0" w:firstLine="640" w:firstLineChars="200"/>
        <w:jc w:val="left"/>
        <w:rPr>
          <w:rFonts w:hint="eastAsia" w:ascii="仿宋_GB2312" w:eastAsia="仿宋_GB2312"/>
          <w:bCs/>
          <w:sz w:val="32"/>
          <w:szCs w:val="32"/>
          <w:lang w:eastAsia="zh-CN"/>
        </w:rPr>
      </w:pPr>
      <w:r>
        <w:rPr>
          <w:rFonts w:hint="eastAsia" w:ascii="仿宋_GB2312" w:eastAsia="仿宋_GB2312"/>
          <w:bCs/>
          <w:sz w:val="32"/>
          <w:szCs w:val="32"/>
        </w:rPr>
        <w:t>积极培训，提升</w:t>
      </w:r>
      <w:r>
        <w:rPr>
          <w:rFonts w:hint="eastAsia" w:ascii="仿宋_GB2312" w:eastAsia="仿宋_GB2312"/>
          <w:bCs/>
          <w:sz w:val="32"/>
          <w:szCs w:val="32"/>
          <w:lang w:eastAsia="zh-CN"/>
        </w:rPr>
        <w:t>业务</w:t>
      </w:r>
      <w:r>
        <w:rPr>
          <w:rFonts w:hint="eastAsia" w:ascii="仿宋_GB2312" w:eastAsia="仿宋_GB2312"/>
          <w:bCs/>
          <w:sz w:val="32"/>
          <w:szCs w:val="32"/>
        </w:rPr>
        <w:t>服务能力</w:t>
      </w:r>
      <w:r>
        <w:rPr>
          <w:rFonts w:hint="eastAsia" w:ascii="仿宋_GB2312" w:eastAsia="仿宋_GB2312"/>
          <w:bCs/>
          <w:sz w:val="32"/>
          <w:szCs w:val="32"/>
          <w:lang w:eastAsia="zh-CN"/>
        </w:rPr>
        <w:t>，</w:t>
      </w:r>
      <w:r>
        <w:rPr>
          <w:rFonts w:ascii="仿宋_GB2312" w:eastAsia="仿宋_GB2312"/>
          <w:bCs/>
          <w:sz w:val="32"/>
          <w:szCs w:val="32"/>
        </w:rPr>
        <w:t>深刻领会省、市文件精神</w:t>
      </w:r>
      <w:r>
        <w:rPr>
          <w:rFonts w:hint="eastAsia" w:ascii="仿宋_GB2312" w:eastAsia="仿宋_GB2312"/>
          <w:bCs/>
          <w:sz w:val="32"/>
          <w:szCs w:val="32"/>
          <w:lang w:eastAsia="zh-CN"/>
        </w:rPr>
        <w:t>及</w:t>
      </w:r>
      <w:r>
        <w:rPr>
          <w:rFonts w:ascii="仿宋_GB2312" w:eastAsia="仿宋_GB2312"/>
          <w:bCs/>
          <w:sz w:val="32"/>
          <w:szCs w:val="32"/>
        </w:rPr>
        <w:t>业务知识</w:t>
      </w:r>
      <w:r>
        <w:rPr>
          <w:rFonts w:hint="eastAsia" w:ascii="仿宋_GB2312" w:eastAsia="仿宋_GB2312"/>
          <w:bCs/>
          <w:sz w:val="32"/>
          <w:szCs w:val="32"/>
          <w:lang w:eastAsia="zh-CN"/>
        </w:rPr>
        <w:t>。</w:t>
      </w:r>
    </w:p>
    <w:p>
      <w:pPr>
        <w:widowControl/>
        <w:numPr>
          <w:ilvl w:val="0"/>
          <w:numId w:val="8"/>
        </w:numPr>
        <w:spacing w:line="560" w:lineRule="exact"/>
        <w:ind w:left="0" w:leftChars="0" w:firstLine="640" w:firstLineChars="200"/>
        <w:jc w:val="left"/>
        <w:rPr>
          <w:rFonts w:hint="eastAsia" w:ascii="仿宋" w:hAnsi="仿宋" w:eastAsia="仿宋"/>
          <w:sz w:val="32"/>
          <w:szCs w:val="32"/>
          <w:lang w:eastAsia="zh-CN"/>
        </w:rPr>
      </w:pPr>
      <w:r>
        <w:rPr>
          <w:rFonts w:hint="eastAsia" w:ascii="仿宋" w:hAnsi="仿宋" w:eastAsia="仿宋"/>
          <w:sz w:val="32"/>
          <w:szCs w:val="32"/>
        </w:rPr>
        <w:t>提出“授人以鱼，不如授之以渔”</w:t>
      </w:r>
      <w:r>
        <w:rPr>
          <w:rFonts w:hint="eastAsia" w:ascii="仿宋" w:hAnsi="仿宋" w:eastAsia="仿宋"/>
          <w:sz w:val="32"/>
          <w:szCs w:val="32"/>
          <w:lang w:eastAsia="zh-CN"/>
        </w:rPr>
        <w:t>，</w:t>
      </w:r>
      <w:r>
        <w:rPr>
          <w:rFonts w:hint="eastAsia" w:ascii="仿宋" w:hAnsi="仿宋" w:eastAsia="仿宋"/>
          <w:sz w:val="32"/>
          <w:szCs w:val="32"/>
        </w:rPr>
        <w:t>以市场为导向，因人而异，针对不同类别和等级的且有劳动能力的残疾人实施残疾人职业技能培训，让每名残疾人都掌握至少一门技能，全面提升残疾人整体素质，提高残疾人参与社会、融入社会的能力</w:t>
      </w:r>
      <w:r>
        <w:rPr>
          <w:rFonts w:hint="eastAsia" w:ascii="仿宋" w:hAnsi="仿宋" w:eastAsia="仿宋"/>
          <w:sz w:val="32"/>
          <w:szCs w:val="32"/>
          <w:lang w:eastAsia="zh-CN"/>
        </w:rPr>
        <w:t>。</w:t>
      </w:r>
    </w:p>
    <w:p>
      <w:pPr>
        <w:widowControl/>
        <w:numPr>
          <w:ilvl w:val="0"/>
          <w:numId w:val="8"/>
        </w:numPr>
        <w:spacing w:line="560" w:lineRule="exact"/>
        <w:ind w:left="0" w:leftChars="0" w:firstLine="640" w:firstLineChars="200"/>
        <w:jc w:val="left"/>
        <w:rPr>
          <w:rFonts w:hint="eastAsia" w:ascii="仿宋_GB2312" w:eastAsia="仿宋_GB2312"/>
          <w:sz w:val="32"/>
          <w:szCs w:val="32"/>
        </w:rPr>
      </w:pPr>
      <w:r>
        <w:rPr>
          <w:rFonts w:hint="eastAsia" w:ascii="仿宋_GB2312" w:eastAsia="仿宋_GB2312"/>
          <w:sz w:val="32"/>
          <w:szCs w:val="32"/>
        </w:rPr>
        <w:t>建立培植残疾人就业扶贫基地和专业合作社，采取</w:t>
      </w:r>
    </w:p>
    <w:p>
      <w:pPr>
        <w:widowControl/>
        <w:numPr>
          <w:numId w:val="0"/>
        </w:numPr>
        <w:spacing w:line="560" w:lineRule="exact"/>
        <w:jc w:val="left"/>
        <w:rPr>
          <w:rFonts w:hint="eastAsia" w:ascii="仿宋_GB2312" w:eastAsia="仿宋_GB2312"/>
          <w:sz w:val="32"/>
          <w:szCs w:val="32"/>
          <w:lang w:eastAsia="zh-CN"/>
        </w:rPr>
      </w:pPr>
      <w:r>
        <w:rPr>
          <w:rFonts w:hint="eastAsia" w:ascii="仿宋_GB2312" w:eastAsia="仿宋_GB2312"/>
          <w:sz w:val="32"/>
          <w:szCs w:val="32"/>
        </w:rPr>
        <w:t>“基地+公司+农户”、“合作社+农户”的发展模式，通过基地、合作社提供种苗（仔）、技术指导、回收产品一条龙的服务，解除农户的后顾之忧，在吸纳残疾人就业的同时，辐射和带动周边残疾人通过开展种植业、养殖业脱贫致富</w:t>
      </w:r>
      <w:r>
        <w:rPr>
          <w:rFonts w:hint="eastAsia" w:ascii="仿宋_GB2312" w:eastAsia="仿宋_GB2312"/>
          <w:sz w:val="32"/>
          <w:szCs w:val="32"/>
          <w:lang w:eastAsia="zh-CN"/>
        </w:rPr>
        <w:t>。</w:t>
      </w:r>
    </w:p>
    <w:p>
      <w:pPr>
        <w:widowControl/>
        <w:numPr>
          <w:numId w:val="0"/>
        </w:numPr>
        <w:spacing w:line="560" w:lineRule="exact"/>
        <w:jc w:val="left"/>
        <w:rPr>
          <w:rFonts w:hint="eastAsia" w:ascii="仿宋_GB2312" w:eastAsia="仿宋_GB2312"/>
          <w:sz w:val="32"/>
          <w:szCs w:val="32"/>
          <w:lang w:eastAsia="zh-CN"/>
        </w:rPr>
      </w:pPr>
    </w:p>
    <w:p>
      <w:pPr>
        <w:widowControl/>
        <w:numPr>
          <w:numId w:val="0"/>
        </w:numPr>
        <w:spacing w:line="560" w:lineRule="exact"/>
        <w:jc w:val="left"/>
        <w:rPr>
          <w:rFonts w:hint="eastAsia" w:ascii="仿宋_GB2312" w:eastAsia="仿宋_GB2312"/>
          <w:sz w:val="32"/>
          <w:szCs w:val="32"/>
          <w:lang w:eastAsia="zh-CN"/>
        </w:rPr>
      </w:pPr>
    </w:p>
    <w:p>
      <w:pPr>
        <w:widowControl/>
        <w:numPr>
          <w:numId w:val="0"/>
        </w:numPr>
        <w:spacing w:line="560" w:lineRule="exact"/>
        <w:jc w:val="left"/>
        <w:rPr>
          <w:rFonts w:hint="eastAsia" w:ascii="仿宋_GB2312" w:eastAsia="仿宋_GB2312"/>
          <w:sz w:val="32"/>
          <w:szCs w:val="32"/>
          <w:lang w:eastAsia="zh-CN"/>
        </w:rPr>
      </w:pPr>
    </w:p>
    <w:tbl>
      <w:tblPr>
        <w:tblStyle w:val="7"/>
        <w:tblW w:w="9849" w:type="dxa"/>
        <w:tblInd w:w="-564" w:type="dxa"/>
        <w:shd w:val="clear" w:color="auto" w:fill="auto"/>
        <w:tblLayout w:type="autofit"/>
        <w:tblCellMar>
          <w:top w:w="0" w:type="dxa"/>
          <w:left w:w="0" w:type="dxa"/>
          <w:bottom w:w="0" w:type="dxa"/>
          <w:right w:w="0" w:type="dxa"/>
        </w:tblCellMar>
      </w:tblPr>
      <w:tblGrid>
        <w:gridCol w:w="810"/>
        <w:gridCol w:w="864"/>
        <w:gridCol w:w="1035"/>
        <w:gridCol w:w="1980"/>
        <w:gridCol w:w="1185"/>
        <w:gridCol w:w="1320"/>
        <w:gridCol w:w="1140"/>
        <w:gridCol w:w="1515"/>
      </w:tblGrid>
      <w:tr>
        <w:tblPrEx>
          <w:shd w:val="clear" w:color="auto" w:fill="auto"/>
          <w:tblCellMar>
            <w:top w:w="0" w:type="dxa"/>
            <w:left w:w="0" w:type="dxa"/>
            <w:bottom w:w="0" w:type="dxa"/>
            <w:right w:w="0" w:type="dxa"/>
          </w:tblCellMar>
        </w:tblPrEx>
        <w:trPr>
          <w:trHeight w:val="600" w:hRule="atLeast"/>
        </w:trPr>
        <w:tc>
          <w:tcPr>
            <w:tcW w:w="9849"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1928" w:firstLineChars="600"/>
              <w:jc w:val="both"/>
              <w:textAlignment w:val="center"/>
              <w:rPr>
                <w:rFonts w:hint="eastAsia" w:ascii="宋体" w:hAnsi="宋体" w:eastAsia="宋体" w:cs="宋体"/>
                <w:b/>
                <w:i w:val="0"/>
                <w:color w:val="000000"/>
                <w:sz w:val="32"/>
                <w:szCs w:val="32"/>
                <w:u w:val="none"/>
              </w:rPr>
            </w:pPr>
            <w:r>
              <w:rPr>
                <w:rStyle w:val="21"/>
                <w:rFonts w:hint="eastAsia"/>
                <w:lang w:val="en-US" w:eastAsia="zh-CN" w:bidi="ar"/>
              </w:rPr>
              <w:t>区</w:t>
            </w:r>
            <w:r>
              <w:rPr>
                <w:rStyle w:val="21"/>
                <w:lang w:val="en-US" w:eastAsia="zh-CN" w:bidi="ar"/>
              </w:rPr>
              <w:t>级预算（项目）绩效目标自评表</w:t>
            </w:r>
            <w:r>
              <w:rPr>
                <w:rStyle w:val="22"/>
                <w:lang w:val="en-US" w:eastAsia="zh-CN" w:bidi="ar"/>
              </w:rPr>
              <w:t xml:space="preserve"> </w:t>
            </w:r>
          </w:p>
        </w:tc>
      </w:tr>
      <w:tr>
        <w:tblPrEx>
          <w:tblCellMar>
            <w:top w:w="0" w:type="dxa"/>
            <w:left w:w="0" w:type="dxa"/>
            <w:bottom w:w="0" w:type="dxa"/>
            <w:right w:w="0" w:type="dxa"/>
          </w:tblCellMar>
        </w:tblPrEx>
        <w:trPr>
          <w:trHeight w:val="432" w:hRule="atLeast"/>
        </w:trPr>
        <w:tc>
          <w:tcPr>
            <w:tcW w:w="9849"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残疾人就业保障金区级配套</w:t>
            </w:r>
          </w:p>
        </w:tc>
      </w:tr>
      <w:tr>
        <w:tblPrEx>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西安市阎良区残疾人联合会</w:t>
            </w:r>
          </w:p>
        </w:tc>
      </w:tr>
      <w:tr>
        <w:tblPrEx>
          <w:tblCellMar>
            <w:top w:w="0" w:type="dxa"/>
            <w:left w:w="0" w:type="dxa"/>
            <w:bottom w:w="0" w:type="dxa"/>
            <w:right w:w="0" w:type="dxa"/>
          </w:tblCellMar>
        </w:tblPrEx>
        <w:trPr>
          <w:trHeight w:val="660" w:hRule="atLeast"/>
        </w:trPr>
        <w:tc>
          <w:tcPr>
            <w:tcW w:w="27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4</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4"/>
                <w:lang w:val="en-US" w:eastAsia="zh-CN" w:bidi="ar"/>
              </w:rPr>
              <w:t xml:space="preserve">      </w:t>
            </w:r>
            <w:r>
              <w:rPr>
                <w:rStyle w:val="13"/>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120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i w:val="0"/>
                <w:color w:val="000000"/>
                <w:sz w:val="20"/>
                <w:szCs w:val="20"/>
                <w:u w:val="none"/>
              </w:rPr>
            </w:pPr>
            <w:r>
              <w:rPr>
                <w:rStyle w:val="14"/>
                <w:rFonts w:hint="eastAsia"/>
                <w:lang w:val="en-US" w:eastAsia="zh-CN" w:bidi="ar"/>
              </w:rPr>
              <w:t>为残疾人保障金征收工作进行宣传，向企业发布残疾人用工信息，走访企业宣传残疾人用工政策，确保按比例安置残疾人工作顺利开展。</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tblCellMar>
            <w:top w:w="0" w:type="dxa"/>
            <w:left w:w="0" w:type="dxa"/>
            <w:bottom w:w="0" w:type="dxa"/>
            <w:right w:w="0" w:type="dxa"/>
          </w:tblCellMar>
        </w:tblPrEx>
        <w:trPr>
          <w:trHeight w:val="522"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指标1：印制宣传资料</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5000份</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指标2：按比例安置残疾人工作协调会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4场次</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指标1：宣传企业按比例安置残疾人就业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指标2：组织企业召开按比例安置残疾人工作协调会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指标1：发放时间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指标1：总成本</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4万元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指标2：印制宣传资料</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指标3：按比例安置残疾人工作协调会</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指标1：保障残保金征收和按比例安置残疾人工作顺利开展</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6"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指标1：企业和残疾人满意度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90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tbl>
      <w:tblPr>
        <w:tblStyle w:val="7"/>
        <w:tblpPr w:leftFromText="180" w:rightFromText="180" w:vertAnchor="text" w:horzAnchor="page" w:tblpX="1072" w:tblpY="140"/>
        <w:tblOverlap w:val="never"/>
        <w:tblW w:w="9975" w:type="dxa"/>
        <w:tblInd w:w="0" w:type="dxa"/>
        <w:shd w:val="clear" w:color="auto" w:fill="auto"/>
        <w:tblLayout w:type="fixed"/>
        <w:tblCellMar>
          <w:top w:w="0" w:type="dxa"/>
          <w:left w:w="0" w:type="dxa"/>
          <w:bottom w:w="0" w:type="dxa"/>
          <w:right w:w="0" w:type="dxa"/>
        </w:tblCellMar>
      </w:tblPr>
      <w:tblGrid>
        <w:gridCol w:w="810"/>
        <w:gridCol w:w="705"/>
        <w:gridCol w:w="1605"/>
        <w:gridCol w:w="1860"/>
        <w:gridCol w:w="1335"/>
        <w:gridCol w:w="1170"/>
        <w:gridCol w:w="1155"/>
        <w:gridCol w:w="1335"/>
      </w:tblGrid>
      <w:tr>
        <w:tblPrEx>
          <w:shd w:val="clear" w:color="auto" w:fill="auto"/>
          <w:tblCellMar>
            <w:top w:w="0" w:type="dxa"/>
            <w:left w:w="0" w:type="dxa"/>
            <w:bottom w:w="0" w:type="dxa"/>
            <w:right w:w="0" w:type="dxa"/>
          </w:tblCellMar>
        </w:tblPrEx>
        <w:trPr>
          <w:trHeight w:val="600" w:hRule="atLeast"/>
        </w:trPr>
        <w:tc>
          <w:tcPr>
            <w:tcW w:w="997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Style w:val="21"/>
                <w:rFonts w:hint="eastAsia"/>
                <w:lang w:val="en-US" w:eastAsia="zh-CN" w:bidi="ar"/>
              </w:rPr>
              <w:t>区</w:t>
            </w:r>
            <w:r>
              <w:rPr>
                <w:rStyle w:val="21"/>
                <w:lang w:val="en-US" w:eastAsia="zh-CN" w:bidi="ar"/>
              </w:rPr>
              <w:t>级预算（项目）绩效目标自评表</w:t>
            </w:r>
          </w:p>
        </w:tc>
      </w:tr>
      <w:tr>
        <w:tblPrEx>
          <w:tblCellMar>
            <w:top w:w="0" w:type="dxa"/>
            <w:left w:w="0" w:type="dxa"/>
            <w:bottom w:w="0" w:type="dxa"/>
            <w:right w:w="0" w:type="dxa"/>
          </w:tblCellMar>
        </w:tblPrEx>
        <w:trPr>
          <w:trHeight w:val="287" w:hRule="atLeast"/>
        </w:trPr>
        <w:tc>
          <w:tcPr>
            <w:tcW w:w="9975"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68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残疾人综合服务楼水、电、暖费用及综合维修费</w:t>
            </w:r>
          </w:p>
        </w:tc>
      </w:tr>
      <w:tr>
        <w:tblPrEx>
          <w:tblCellMar>
            <w:top w:w="0" w:type="dxa"/>
            <w:left w:w="0" w:type="dxa"/>
            <w:bottom w:w="0" w:type="dxa"/>
            <w:right w:w="0" w:type="dxa"/>
          </w:tblCellMar>
        </w:tblPrEx>
        <w:trPr>
          <w:trHeight w:val="319" w:hRule="atLeast"/>
        </w:trPr>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西安市阎良区残疾人联合会</w:t>
            </w:r>
          </w:p>
        </w:tc>
      </w:tr>
      <w:tr>
        <w:tblPrEx>
          <w:tblCellMar>
            <w:top w:w="0" w:type="dxa"/>
            <w:left w:w="0" w:type="dxa"/>
            <w:bottom w:w="0" w:type="dxa"/>
            <w:right w:w="0" w:type="dxa"/>
          </w:tblCellMar>
        </w:tblPrEx>
        <w:trPr>
          <w:trHeight w:val="660" w:hRule="atLeast"/>
        </w:trPr>
        <w:tc>
          <w:tcPr>
            <w:tcW w:w="3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3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7.3</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CellMar>
            <w:top w:w="0" w:type="dxa"/>
            <w:left w:w="0" w:type="dxa"/>
            <w:bottom w:w="0" w:type="dxa"/>
            <w:right w:w="0" w:type="dxa"/>
          </w:tblCellMar>
        </w:tblPrEx>
        <w:trPr>
          <w:trHeight w:val="319" w:hRule="atLeast"/>
        </w:trPr>
        <w:tc>
          <w:tcPr>
            <w:tcW w:w="3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3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区县财政资金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7.3</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7.3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r>
      <w:tr>
        <w:tblPrEx>
          <w:tblCellMar>
            <w:top w:w="0" w:type="dxa"/>
            <w:left w:w="0" w:type="dxa"/>
            <w:bottom w:w="0" w:type="dxa"/>
            <w:right w:w="0" w:type="dxa"/>
          </w:tblCellMar>
        </w:tblPrEx>
        <w:trPr>
          <w:trHeight w:val="319" w:hRule="atLeast"/>
        </w:trPr>
        <w:tc>
          <w:tcPr>
            <w:tcW w:w="3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4"/>
                <w:lang w:val="en-US" w:eastAsia="zh-CN" w:bidi="ar"/>
              </w:rPr>
              <w:t xml:space="preserve">      </w:t>
            </w:r>
            <w:r>
              <w:rPr>
                <w:rStyle w:val="13"/>
                <w:lang w:val="en-US" w:eastAsia="zh-CN" w:bidi="ar"/>
              </w:rPr>
              <w:t xml:space="preserve">  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5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110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20"/>
                <w:szCs w:val="20"/>
                <w:u w:val="none"/>
              </w:rPr>
            </w:pPr>
            <w:r>
              <w:rPr>
                <w:rStyle w:val="14"/>
                <w:rFonts w:hint="eastAsia"/>
                <w:lang w:val="en-US" w:eastAsia="zh-CN" w:bidi="ar"/>
              </w:rPr>
              <w:t>保障残疾人综合服务楼能够正常运行。</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tblCellMar>
            <w:top w:w="0" w:type="dxa"/>
            <w:left w:w="0" w:type="dxa"/>
            <w:bottom w:w="0" w:type="dxa"/>
            <w:right w:w="0" w:type="dxa"/>
          </w:tblCellMar>
        </w:tblPrEx>
        <w:trPr>
          <w:trHeight w:val="522"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指标1：综合楼维修</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918平方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指标2：用水量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310吨</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指标3：用电量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22500度</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指标4：办公楼取暖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918平方</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指标1：综合楼安全使用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指标2：办公用水正常使用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指标3：办公用电正常使用</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指标4：办公室取暖正常</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指标1：发放时间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指标1：总成本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7.3</w:t>
            </w:r>
            <w:r>
              <w:rPr>
                <w:rFonts w:hint="eastAsia" w:ascii="宋体" w:hAnsi="宋体" w:eastAsia="宋体" w:cs="宋体"/>
                <w:i w:val="0"/>
                <w:color w:val="000000"/>
                <w:sz w:val="20"/>
                <w:szCs w:val="20"/>
                <w:u w:val="none"/>
              </w:rPr>
              <w:t>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指标2：综合楼维修</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3.02万元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指标3：水费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0.18万元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指标4：电费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1.8万元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指标5：取暖费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2.3万元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2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指标1：保障单位各项业务工作正常运行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6"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1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指标1：单位满意度  </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91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tbl>
      <w:tblPr>
        <w:tblStyle w:val="7"/>
        <w:tblW w:w="9849" w:type="dxa"/>
        <w:tblInd w:w="-564" w:type="dxa"/>
        <w:shd w:val="clear" w:color="auto" w:fill="auto"/>
        <w:tblLayout w:type="autofit"/>
        <w:tblCellMar>
          <w:top w:w="0" w:type="dxa"/>
          <w:left w:w="0" w:type="dxa"/>
          <w:bottom w:w="0" w:type="dxa"/>
          <w:right w:w="0" w:type="dxa"/>
        </w:tblCellMar>
      </w:tblPr>
      <w:tblGrid>
        <w:gridCol w:w="810"/>
        <w:gridCol w:w="864"/>
        <w:gridCol w:w="1035"/>
        <w:gridCol w:w="1980"/>
        <w:gridCol w:w="1185"/>
        <w:gridCol w:w="1320"/>
        <w:gridCol w:w="1140"/>
        <w:gridCol w:w="1515"/>
      </w:tblGrid>
      <w:tr>
        <w:tblPrEx>
          <w:shd w:val="clear" w:color="auto" w:fill="auto"/>
          <w:tblCellMar>
            <w:top w:w="0" w:type="dxa"/>
            <w:left w:w="0" w:type="dxa"/>
            <w:bottom w:w="0" w:type="dxa"/>
            <w:right w:w="0" w:type="dxa"/>
          </w:tblCellMar>
        </w:tblPrEx>
        <w:trPr>
          <w:trHeight w:val="600" w:hRule="atLeast"/>
        </w:trPr>
        <w:tc>
          <w:tcPr>
            <w:tcW w:w="9849"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1928" w:firstLineChars="600"/>
              <w:jc w:val="both"/>
              <w:textAlignment w:val="center"/>
              <w:rPr>
                <w:rFonts w:hint="eastAsia" w:ascii="宋体" w:hAnsi="宋体" w:eastAsia="宋体" w:cs="宋体"/>
                <w:b/>
                <w:i w:val="0"/>
                <w:color w:val="000000"/>
                <w:sz w:val="32"/>
                <w:szCs w:val="32"/>
                <w:u w:val="none"/>
              </w:rPr>
            </w:pPr>
            <w:r>
              <w:rPr>
                <w:rStyle w:val="21"/>
                <w:rFonts w:hint="eastAsia"/>
                <w:lang w:val="en-US" w:eastAsia="zh-CN" w:bidi="ar"/>
              </w:rPr>
              <w:t>区</w:t>
            </w:r>
            <w:r>
              <w:rPr>
                <w:rStyle w:val="21"/>
                <w:lang w:val="en-US" w:eastAsia="zh-CN" w:bidi="ar"/>
              </w:rPr>
              <w:t>级预算（项目）绩效目标自评表</w:t>
            </w:r>
            <w:r>
              <w:rPr>
                <w:rStyle w:val="22"/>
                <w:lang w:val="en-US" w:eastAsia="zh-CN" w:bidi="ar"/>
              </w:rPr>
              <w:t xml:space="preserve"> </w:t>
            </w:r>
          </w:p>
        </w:tc>
      </w:tr>
      <w:tr>
        <w:tblPrEx>
          <w:tblCellMar>
            <w:top w:w="0" w:type="dxa"/>
            <w:left w:w="0" w:type="dxa"/>
            <w:bottom w:w="0" w:type="dxa"/>
            <w:right w:w="0" w:type="dxa"/>
          </w:tblCellMar>
        </w:tblPrEx>
        <w:trPr>
          <w:trHeight w:val="432" w:hRule="atLeast"/>
        </w:trPr>
        <w:tc>
          <w:tcPr>
            <w:tcW w:w="9849"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临聘人员工资、养老、医疗</w:t>
            </w:r>
          </w:p>
        </w:tc>
      </w:tr>
      <w:tr>
        <w:tblPrEx>
          <w:tblCellMar>
            <w:top w:w="0" w:type="dxa"/>
            <w:left w:w="0" w:type="dxa"/>
            <w:bottom w:w="0" w:type="dxa"/>
            <w:right w:w="0" w:type="dxa"/>
          </w:tblCellMar>
        </w:tblPrEx>
        <w:trPr>
          <w:trHeight w:val="319"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西安市阎良区残疾人联合会</w:t>
            </w:r>
          </w:p>
        </w:tc>
      </w:tr>
      <w:tr>
        <w:tblPrEx>
          <w:tblCellMar>
            <w:top w:w="0" w:type="dxa"/>
            <w:left w:w="0" w:type="dxa"/>
            <w:bottom w:w="0" w:type="dxa"/>
            <w:right w:w="0" w:type="dxa"/>
          </w:tblCellMar>
        </w:tblPrEx>
        <w:trPr>
          <w:trHeight w:val="660" w:hRule="atLeast"/>
        </w:trPr>
        <w:tc>
          <w:tcPr>
            <w:tcW w:w="27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10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val="en-US" w:eastAsia="zh-CN"/>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r>
      <w:tr>
        <w:tblPrEx>
          <w:tblCellMar>
            <w:top w:w="0" w:type="dxa"/>
            <w:left w:w="0" w:type="dxa"/>
            <w:bottom w:w="0" w:type="dxa"/>
            <w:right w:w="0" w:type="dxa"/>
          </w:tblCellMar>
        </w:tblPrEx>
        <w:trPr>
          <w:trHeight w:val="319" w:hRule="atLeast"/>
        </w:trPr>
        <w:tc>
          <w:tcPr>
            <w:tcW w:w="27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4"/>
                <w:lang w:val="en-US" w:eastAsia="zh-CN" w:bidi="ar"/>
              </w:rPr>
              <w:t xml:space="preserve">      </w:t>
            </w:r>
            <w:r>
              <w:rPr>
                <w:rStyle w:val="13"/>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120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color w:val="000000"/>
                <w:sz w:val="20"/>
                <w:szCs w:val="20"/>
                <w:u w:val="none"/>
              </w:rPr>
            </w:pPr>
            <w:r>
              <w:rPr>
                <w:rStyle w:val="14"/>
                <w:rFonts w:hint="eastAsia"/>
                <w:lang w:val="en-US" w:eastAsia="zh-CN" w:bidi="ar"/>
              </w:rPr>
              <w:t>保障我区残疾人各项工作能够正常运行。</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tblCellMar>
            <w:top w:w="0" w:type="dxa"/>
            <w:left w:w="0" w:type="dxa"/>
            <w:bottom w:w="0" w:type="dxa"/>
            <w:right w:w="0" w:type="dxa"/>
          </w:tblCellMar>
        </w:tblPrEx>
        <w:trPr>
          <w:trHeight w:val="522"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指标1：临聘人员</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val="en-US" w:eastAsia="zh-CN"/>
              </w:rPr>
              <w:t>4人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指标1：出勤率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指标1：发放时间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指标1：总成本</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w:t>
            </w:r>
            <w:r>
              <w:rPr>
                <w:rFonts w:hint="eastAsia" w:ascii="宋体" w:hAnsi="宋体" w:eastAsia="宋体" w:cs="宋体"/>
                <w:i w:val="0"/>
                <w:color w:val="000000"/>
                <w:sz w:val="20"/>
                <w:szCs w:val="20"/>
                <w:u w:val="none"/>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指标2：每人每月</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0.</w:t>
            </w:r>
            <w:r>
              <w:rPr>
                <w:rFonts w:hint="eastAsia" w:ascii="宋体" w:hAnsi="宋体" w:eastAsia="宋体" w:cs="宋体"/>
                <w:i w:val="0"/>
                <w:color w:val="000000"/>
                <w:sz w:val="20"/>
                <w:szCs w:val="20"/>
                <w:u w:val="none"/>
              </w:rPr>
              <w:t>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指标1：保障单位各项业务工作正常运行</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86"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 xml:space="preserve">指标1：临聘人员满意度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90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widowControl/>
        <w:numPr>
          <w:numId w:val="0"/>
        </w:numPr>
        <w:spacing w:line="560" w:lineRule="exact"/>
        <w:jc w:val="left"/>
        <w:rPr>
          <w:rFonts w:hint="eastAsia" w:ascii="仿宋_GB2312" w:eastAsia="仿宋_GB2312"/>
          <w:sz w:val="32"/>
          <w:szCs w:val="32"/>
          <w:lang w:val="en-US" w:eastAsia="zh-CN"/>
        </w:rPr>
      </w:pPr>
    </w:p>
    <w:p>
      <w:pPr>
        <w:widowControl/>
        <w:numPr>
          <w:numId w:val="0"/>
        </w:numPr>
        <w:spacing w:line="560" w:lineRule="exact"/>
        <w:jc w:val="left"/>
        <w:rPr>
          <w:rFonts w:hint="eastAsia" w:ascii="仿宋_GB2312" w:eastAsia="仿宋_GB2312"/>
          <w:sz w:val="32"/>
          <w:szCs w:val="32"/>
          <w:lang w:val="en-US" w:eastAsia="zh-CN"/>
        </w:rPr>
      </w:pPr>
    </w:p>
    <w:p>
      <w:pPr>
        <w:widowControl/>
        <w:numPr>
          <w:numId w:val="0"/>
        </w:numPr>
        <w:spacing w:line="560" w:lineRule="exact"/>
        <w:jc w:val="left"/>
        <w:rPr>
          <w:rFonts w:hint="eastAsia" w:ascii="仿宋_GB2312" w:eastAsia="仿宋_GB2312"/>
          <w:sz w:val="32"/>
          <w:szCs w:val="32"/>
          <w:lang w:val="en-US" w:eastAsia="zh-CN"/>
        </w:rPr>
      </w:pPr>
    </w:p>
    <w:p>
      <w:pPr>
        <w:widowControl/>
        <w:numPr>
          <w:numId w:val="0"/>
        </w:numPr>
        <w:spacing w:line="560" w:lineRule="exact"/>
        <w:jc w:val="left"/>
        <w:rPr>
          <w:rFonts w:hint="eastAsia" w:ascii="仿宋_GB2312" w:eastAsia="仿宋_GB2312"/>
          <w:sz w:val="32"/>
          <w:szCs w:val="32"/>
          <w:lang w:val="en-US" w:eastAsia="zh-CN"/>
        </w:rPr>
      </w:pPr>
    </w:p>
    <w:p>
      <w:pPr>
        <w:widowControl/>
        <w:numPr>
          <w:numId w:val="0"/>
        </w:numPr>
        <w:spacing w:line="560" w:lineRule="exact"/>
        <w:jc w:val="left"/>
        <w:rPr>
          <w:rFonts w:hint="eastAsia" w:ascii="仿宋_GB2312" w:eastAsia="仿宋_GB2312"/>
          <w:sz w:val="32"/>
          <w:szCs w:val="32"/>
          <w:lang w:val="en-US" w:eastAsia="zh-CN"/>
        </w:rPr>
        <w:sectPr>
          <w:pgSz w:w="11906" w:h="16838"/>
          <w:pgMar w:top="1440" w:right="1800" w:bottom="1440" w:left="1800" w:header="851" w:footer="992" w:gutter="0"/>
          <w:cols w:space="0" w:num="1"/>
          <w:rtlGutter w:val="0"/>
          <w:docGrid w:type="lines" w:linePitch="312" w:charSpace="0"/>
        </w:sectPr>
      </w:pPr>
    </w:p>
    <w:p>
      <w:pPr>
        <w:widowControl/>
        <w:numPr>
          <w:numId w:val="0"/>
        </w:numPr>
        <w:spacing w:line="560" w:lineRule="exact"/>
        <w:jc w:val="left"/>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部门整体支出绩效自评表</w:t>
      </w: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（2019年度）</w:t>
      </w:r>
    </w:p>
    <w:tbl>
      <w:tblPr>
        <w:tblStyle w:val="7"/>
        <w:tblW w:w="16863" w:type="dxa"/>
        <w:tblInd w:w="-918" w:type="dxa"/>
        <w:shd w:val="clear" w:color="auto" w:fill="auto"/>
        <w:tblLayout w:type="fixed"/>
        <w:tblCellMar>
          <w:top w:w="0" w:type="dxa"/>
          <w:left w:w="0" w:type="dxa"/>
          <w:bottom w:w="0" w:type="dxa"/>
          <w:right w:w="0" w:type="dxa"/>
        </w:tblCellMar>
      </w:tblPr>
      <w:tblGrid>
        <w:gridCol w:w="630"/>
        <w:gridCol w:w="705"/>
        <w:gridCol w:w="555"/>
        <w:gridCol w:w="585"/>
        <w:gridCol w:w="1785"/>
        <w:gridCol w:w="3030"/>
        <w:gridCol w:w="962"/>
        <w:gridCol w:w="710"/>
        <w:gridCol w:w="769"/>
        <w:gridCol w:w="412"/>
        <w:gridCol w:w="3552"/>
        <w:gridCol w:w="2055"/>
        <w:gridCol w:w="1113"/>
      </w:tblGrid>
      <w:tr>
        <w:tblPrEx>
          <w:shd w:val="clear" w:color="auto" w:fill="auto"/>
          <w:tblCellMar>
            <w:top w:w="0" w:type="dxa"/>
            <w:left w:w="0" w:type="dxa"/>
            <w:bottom w:w="0" w:type="dxa"/>
            <w:right w:w="0" w:type="dxa"/>
          </w:tblCellMar>
        </w:tblPrEx>
        <w:trPr>
          <w:gridAfter w:val="1"/>
          <w:wAfter w:w="1113" w:type="dxa"/>
          <w:trHeight w:val="450" w:hRule="atLeast"/>
        </w:trPr>
        <w:tc>
          <w:tcPr>
            <w:tcW w:w="8252" w:type="dxa"/>
            <w:gridSpan w:val="7"/>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填报单位:</w:t>
            </w:r>
            <w:r>
              <w:rPr>
                <w:rFonts w:hint="eastAsia" w:ascii="仿宋_GB2312" w:hAnsi="宋体" w:eastAsia="仿宋_GB2312" w:cs="仿宋_GB2312"/>
                <w:i w:val="0"/>
                <w:color w:val="000000"/>
                <w:kern w:val="0"/>
                <w:sz w:val="24"/>
                <w:szCs w:val="24"/>
                <w:u w:val="none"/>
                <w:lang w:val="en-US" w:eastAsia="zh-CN" w:bidi="ar"/>
              </w:rPr>
              <w:t xml:space="preserve">西安市阎良区残疾人联合会            </w:t>
            </w:r>
            <w:r>
              <w:rPr>
                <w:rFonts w:hint="default" w:ascii="仿宋_GB2312" w:hAnsi="宋体" w:eastAsia="仿宋_GB2312" w:cs="仿宋_GB2312"/>
                <w:i w:val="0"/>
                <w:color w:val="000000"/>
                <w:kern w:val="0"/>
                <w:sz w:val="24"/>
                <w:szCs w:val="24"/>
                <w:u w:val="none"/>
                <w:lang w:val="en-US" w:eastAsia="zh-CN" w:bidi="ar"/>
              </w:rPr>
              <w:t>自评得分：</w:t>
            </w:r>
            <w:r>
              <w:rPr>
                <w:rFonts w:hint="eastAsia" w:ascii="仿宋_GB2312" w:hAnsi="宋体" w:eastAsia="仿宋_GB2312" w:cs="仿宋_GB2312"/>
                <w:i w:val="0"/>
                <w:color w:val="000000"/>
                <w:kern w:val="0"/>
                <w:sz w:val="24"/>
                <w:szCs w:val="24"/>
                <w:u w:val="none"/>
                <w:lang w:val="en-US" w:eastAsia="zh-CN" w:bidi="ar"/>
              </w:rPr>
              <w:t>98分</w:t>
            </w:r>
          </w:p>
        </w:tc>
        <w:tc>
          <w:tcPr>
            <w:tcW w:w="71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769"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412"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35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0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1113" w:type="dxa"/>
          <w:trHeight w:val="450" w:hRule="atLeast"/>
        </w:trPr>
        <w:tc>
          <w:tcPr>
            <w:tcW w:w="42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（一）简要概述部门职能与职责。</w:t>
            </w:r>
          </w:p>
        </w:tc>
        <w:tc>
          <w:tcPr>
            <w:tcW w:w="114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充分发挥“代表、服务、管理”职能，即代表残疾人共同利益，维护残疾人合法权益；团结教育残疾人，为残疾人服务；履行政府赋予的职责，管理和发展残疾人事业。</w:t>
            </w:r>
          </w:p>
        </w:tc>
      </w:tr>
      <w:tr>
        <w:tblPrEx>
          <w:tblCellMar>
            <w:top w:w="0" w:type="dxa"/>
            <w:left w:w="0" w:type="dxa"/>
            <w:bottom w:w="0" w:type="dxa"/>
            <w:right w:w="0" w:type="dxa"/>
          </w:tblCellMar>
        </w:tblPrEx>
        <w:trPr>
          <w:gridAfter w:val="1"/>
          <w:wAfter w:w="1113" w:type="dxa"/>
          <w:trHeight w:val="450" w:hRule="atLeast"/>
        </w:trPr>
        <w:tc>
          <w:tcPr>
            <w:tcW w:w="42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（二）简要概述部门支出情况，按活动内容分类。</w:t>
            </w:r>
          </w:p>
        </w:tc>
        <w:tc>
          <w:tcPr>
            <w:tcW w:w="114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一般公共服务支出2.92万元、社会保障和就业支出624.37万元、卫生健康支出2.21万元。</w:t>
            </w:r>
          </w:p>
        </w:tc>
      </w:tr>
      <w:tr>
        <w:tblPrEx>
          <w:tblCellMar>
            <w:top w:w="0" w:type="dxa"/>
            <w:left w:w="0" w:type="dxa"/>
            <w:bottom w:w="0" w:type="dxa"/>
            <w:right w:w="0" w:type="dxa"/>
          </w:tblCellMar>
        </w:tblPrEx>
        <w:trPr>
          <w:gridAfter w:val="1"/>
          <w:wAfter w:w="1113" w:type="dxa"/>
          <w:trHeight w:val="450" w:hRule="atLeast"/>
        </w:trPr>
        <w:tc>
          <w:tcPr>
            <w:tcW w:w="42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114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1113" w:type="dxa"/>
          <w:trHeight w:val="145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gridAfter w:val="1"/>
          <w:wAfter w:w="1113" w:type="dxa"/>
          <w:trHeight w:val="6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投入</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预算执行（25分）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完成率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（10分）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320" w:leftChars="-100" w:firstLine="0" w:firstLineChars="0"/>
              <w:jc w:val="left"/>
              <w:textAlignment w:val="center"/>
              <w:rPr>
                <w:rFonts w:hint="default" w:ascii="楷体_GB2312" w:hAnsi="宋体" w:eastAsia="楷体_GB2312" w:cs="楷体_GB2312"/>
                <w:i w:val="0"/>
                <w:color w:val="000000"/>
                <w:kern w:val="0"/>
                <w:sz w:val="20"/>
                <w:szCs w:val="20"/>
                <w:u w:val="none"/>
                <w:lang w:val="en-US" w:eastAsia="zh-CN" w:bidi="ar"/>
              </w:rPr>
            </w:pPr>
            <w:r>
              <w:rPr>
                <w:rFonts w:hint="default" w:ascii="楷体_GB2312" w:hAnsi="宋体" w:eastAsia="楷体_GB2312" w:cs="楷体_GB2312"/>
                <w:i w:val="0"/>
                <w:color w:val="000000"/>
                <w:kern w:val="0"/>
                <w:sz w:val="20"/>
                <w:szCs w:val="20"/>
                <w:u w:val="none"/>
                <w:lang w:val="en-US" w:eastAsia="zh-CN" w:bidi="ar"/>
              </w:rPr>
              <w:t>预算完成率＝100%的，得10分。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预算完成率≥95%的，得9分。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预算完成率在90%（含）和95%之间，得8分。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预算完成率在85%（含）和90%之间，得7分。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预算完成率在80%（含）和85%之间，得6分。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预算完成率在70%（含）和80%之间，</w:t>
            </w:r>
          </w:p>
          <w:p>
            <w:pPr>
              <w:bidi w:val="0"/>
              <w:ind w:right="-214" w:rightChars="-67"/>
              <w:jc w:val="left"/>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得4分。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预算完成率＜70%的，得0分。</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682.7%</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1113" w:type="dxa"/>
          <w:trHeight w:val="227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预算包括一般公共预算与政府性基金预算。</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预算调整率绝对值≤5%，得5分。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682.7%</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lang w:val="en-US" w:eastAsia="zh-CN"/>
              </w:rPr>
            </w:pPr>
            <w:r>
              <w:rPr>
                <w:rFonts w:hint="eastAsia" w:ascii="楷体_GB2312" w:hAnsi="宋体" w:eastAsia="楷体_GB2312" w:cs="楷体_GB2312"/>
                <w:i w:val="0"/>
                <w:color w:val="000000"/>
                <w:kern w:val="0"/>
                <w:sz w:val="20"/>
                <w:szCs w:val="20"/>
                <w:u w:val="none"/>
                <w:lang w:val="en-US" w:eastAsia="zh-CN" w:bidi="ar"/>
              </w:rPr>
              <w:t>调整数均为</w:t>
            </w:r>
            <w:r>
              <w:rPr>
                <w:rFonts w:hint="default" w:ascii="楷体_GB2312" w:hAnsi="宋体" w:eastAsia="楷体_GB2312" w:cs="楷体_GB2312"/>
                <w:i w:val="0"/>
                <w:color w:val="000000"/>
                <w:kern w:val="0"/>
                <w:sz w:val="20"/>
                <w:szCs w:val="20"/>
                <w:u w:val="none"/>
                <w:lang w:val="en-US" w:eastAsia="zh-CN" w:bidi="ar"/>
              </w:rPr>
              <w:t>本年度内涉及预算的追加、追减或结构调整的资金</w:t>
            </w:r>
            <w:r>
              <w:rPr>
                <w:rFonts w:hint="eastAsia" w:ascii="楷体_GB2312" w:hAnsi="宋体" w:eastAsia="楷体_GB2312" w:cs="楷体_GB2312"/>
                <w:i w:val="0"/>
                <w:color w:val="000000"/>
                <w:kern w:val="0"/>
                <w:sz w:val="20"/>
                <w:szCs w:val="20"/>
                <w:u w:val="none"/>
                <w:lang w:val="en-US" w:eastAsia="zh-CN" w:bidi="ar"/>
              </w:rPr>
              <w:t>。</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1113" w:type="dxa"/>
          <w:trHeight w:val="127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gridAfter w:val="1"/>
          <w:wAfter w:w="1113" w:type="dxa"/>
          <w:trHeight w:val="90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投入</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预算执行（25分）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支出进度率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682.7%</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1113" w:type="dxa"/>
          <w:trHeight w:val="83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预算编制准确率（5分）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预算编制准确率≤20%，得5分。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预算编制准确率在20%和40%（含）之间，得3分。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预算编制准确率＞40%，得0分。</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部门预算中无除财政拨款其他收入</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1113" w:type="dxa"/>
          <w:trHeight w:val="1139"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过程</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预算管理（15分）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kern w:val="0"/>
                <w:sz w:val="20"/>
                <w:szCs w:val="20"/>
                <w:u w:val="none"/>
                <w:lang w:val="en-US" w:eastAsia="zh-CN" w:bidi="ar"/>
              </w:rPr>
              <w:t>100</w:t>
            </w:r>
            <w:r>
              <w:rPr>
                <w:rFonts w:hint="eastAsia" w:ascii="楷体_GB2312" w:hAnsi="宋体" w:eastAsia="楷体_GB2312" w:cs="楷体_GB2312"/>
                <w:i w:val="0"/>
                <w:color w:val="000000"/>
                <w:sz w:val="20"/>
                <w:szCs w:val="20"/>
                <w:u w:val="none"/>
                <w:lang w:val="en-US" w:eastAsia="zh-CN"/>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sz w:val="20"/>
                <w:szCs w:val="20"/>
                <w:u w:val="none"/>
                <w:lang w:val="en-US" w:eastAsia="zh-CN"/>
              </w:rPr>
              <w:t>539.1</w:t>
            </w:r>
            <w:r>
              <w:rPr>
                <w:rFonts w:hint="default" w:ascii="楷体_GB2312" w:hAnsi="宋体" w:eastAsia="楷体_GB2312" w:cs="楷体_GB2312"/>
                <w:i w:val="0"/>
                <w:color w:val="000000"/>
                <w:sz w:val="20"/>
                <w:szCs w:val="20"/>
                <w:u w:val="none"/>
              </w:rPr>
              <w:t>%</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1113" w:type="dxa"/>
          <w:trHeight w:val="178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资产管理规范性</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right="342" w:rightChars="107"/>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1.新增资产配置按预算执行。</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2.资产有偿使用、处置按规定程序审批。</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3.资产收益及时、足额上缴财政。</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全部符合5分，有1项不符扣2分,扣完为止。</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rPr>
            </w:pPr>
            <w:r>
              <w:rPr>
                <w:rFonts w:hint="eastAsia" w:ascii="楷体_GB2312" w:hAnsi="宋体" w:eastAsia="楷体_GB2312" w:cs="楷体_GB2312"/>
                <w:i w:val="0"/>
                <w:color w:val="000000"/>
                <w:sz w:val="20"/>
                <w:szCs w:val="20"/>
                <w:u w:val="none"/>
                <w:lang w:val="en-US" w:eastAsia="zh-CN"/>
              </w:rPr>
              <w:t>部门决算、2019年资产年报</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1113" w:type="dxa"/>
          <w:trHeight w:val="90" w:hRule="atLeast"/>
        </w:trPr>
        <w:tc>
          <w:tcPr>
            <w:tcW w:w="630" w:type="dxa"/>
            <w:tcBorders>
              <w:top w:val="nil"/>
              <w:left w:val="nil"/>
              <w:bottom w:val="nil"/>
              <w:right w:val="nil"/>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70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555" w:type="dxa"/>
            <w:tcBorders>
              <w:top w:val="nil"/>
              <w:left w:val="nil"/>
              <w:bottom w:val="nil"/>
              <w:right w:val="nil"/>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58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1785" w:type="dxa"/>
            <w:tcBorders>
              <w:top w:val="nil"/>
              <w:left w:val="nil"/>
              <w:bottom w:val="nil"/>
              <w:right w:val="nil"/>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3030"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962"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10"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69"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412" w:type="dxa"/>
            <w:tcBorders>
              <w:top w:val="nil"/>
              <w:left w:val="nil"/>
              <w:bottom w:val="nil"/>
              <w:right w:val="nil"/>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35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05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1113" w:type="dxa"/>
          <w:trHeight w:val="143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gridAfter w:val="1"/>
          <w:wAfter w:w="1113" w:type="dxa"/>
          <w:trHeight w:val="278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过程</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预算管理（15分）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资金使用合规性</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2.资金的拨付有完整的审批程序和手续；</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3.重大项目开支经过评估论证；</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4.符合部门预算批复的用途；</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5.不存在截留、挤占、挪用、虚列支出等情况。</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全部符合5分,有1项不符扣2分。</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内部控制报告</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4</w:t>
            </w: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部分财务制度未及时更新</w:t>
            </w:r>
          </w:p>
          <w:p>
            <w:pPr>
              <w:rPr>
                <w:rFonts w:hint="default" w:ascii="宋体" w:hAnsi="宋体" w:eastAsia="宋体" w:cs="宋体"/>
                <w:i w:val="0"/>
                <w:color w:val="000000"/>
                <w:sz w:val="24"/>
                <w:szCs w:val="24"/>
                <w:u w:val="none"/>
                <w:lang w:val="en-US" w:eastAsia="zh-CN"/>
              </w:rPr>
            </w:pPr>
            <w:r>
              <w:rPr>
                <w:rFonts w:hint="eastAsia" w:ascii="仿宋" w:hAnsi="仿宋" w:eastAsia="仿宋" w:cs="仿宋"/>
                <w:color w:val="000000"/>
                <w:sz w:val="21"/>
                <w:szCs w:val="21"/>
              </w:rPr>
              <w:t>完善相关管理制度，使制度与执行相统一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1113" w:type="dxa"/>
          <w:trHeight w:val="163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效果</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履职尽责（60分）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项目产出</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（40分）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40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18"/>
                <w:szCs w:val="18"/>
                <w:u w:val="none"/>
                <w:lang w:val="en-US" w:eastAsia="zh-CN"/>
              </w:rPr>
            </w:pPr>
            <w:r>
              <w:rPr>
                <w:rFonts w:hint="eastAsia" w:ascii="楷体_GB2312" w:hAnsi="宋体" w:eastAsia="楷体_GB2312" w:cs="楷体_GB2312"/>
                <w:i w:val="0"/>
                <w:color w:val="000000"/>
                <w:sz w:val="18"/>
                <w:szCs w:val="18"/>
                <w:u w:val="none"/>
                <w:lang w:val="en-US" w:eastAsia="zh-CN"/>
              </w:rPr>
              <w:t>38</w:t>
            </w: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18"/>
                <w:szCs w:val="18"/>
                <w:u w:val="none"/>
                <w:lang w:val="en-US" w:eastAsia="zh-CN"/>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1113" w:type="dxa"/>
          <w:trHeight w:val="71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项目效益</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（20分）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19</w:t>
            </w:r>
          </w:p>
        </w:tc>
        <w:tc>
          <w:tcPr>
            <w:tcW w:w="3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r>
              <w:rPr>
                <w:rFonts w:hint="eastAsia" w:ascii="仿宋" w:hAnsi="仿宋" w:eastAsia="仿宋" w:cs="仿宋"/>
                <w:color w:val="000000"/>
                <w:sz w:val="21"/>
                <w:szCs w:val="21"/>
                <w:lang w:val="en-US" w:eastAsia="zh-CN"/>
              </w:rPr>
              <w:t>公</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395" w:hRule="atLeast"/>
        </w:trPr>
        <w:tc>
          <w:tcPr>
            <w:tcW w:w="16863"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numPr>
          <w:numId w:val="0"/>
        </w:numPr>
        <w:spacing w:line="560" w:lineRule="exact"/>
        <w:jc w:val="left"/>
        <w:rPr>
          <w:rFonts w:hint="eastAsia" w:ascii="仿宋_GB2312" w:eastAsia="仿宋_GB2312"/>
          <w:sz w:val="32"/>
          <w:szCs w:val="32"/>
          <w:lang w:val="en-US" w:eastAsia="zh-CN"/>
        </w:rPr>
        <w:sectPr>
          <w:pgSz w:w="16838" w:h="11906" w:orient="landscape"/>
          <w:pgMar w:top="1803" w:right="1440" w:bottom="1803" w:left="1440" w:header="851" w:footer="992" w:gutter="0"/>
          <w:paperSrc/>
          <w:cols w:space="0" w:num="1"/>
          <w:rtlGutter w:val="0"/>
          <w:docGrid w:type="lines" w:linePitch="436" w:charSpace="0"/>
        </w:sect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3.46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9.86</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285</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w:t>
      </w:r>
      <w:r>
        <w:rPr>
          <w:rFonts w:hint="eastAsia" w:ascii="仿宋_GB2312" w:hAnsi="宋体" w:eastAsia="仿宋_GB2312" w:cs="仿宋_GB2312"/>
          <w:color w:val="000000"/>
          <w:kern w:val="0"/>
          <w:szCs w:val="32"/>
          <w:lang w:val="en-US" w:eastAsia="zh-CN"/>
        </w:rPr>
        <w:t>6.4</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lang w:eastAsia="zh-CN"/>
        </w:rPr>
        <w:t>临时因公出国</w:t>
      </w:r>
      <w:r>
        <w:rPr>
          <w:rFonts w:hint="eastAsia" w:ascii="仿宋_GB2312" w:hAnsi="宋体" w:eastAsia="仿宋_GB2312" w:cs="仿宋_GB2312"/>
          <w:color w:val="000000"/>
          <w:kern w:val="0"/>
          <w:szCs w:val="32"/>
          <w:lang w:val="en-US" w:eastAsia="zh-CN"/>
        </w:rPr>
        <w:t>1人，机关日常办公经费增加</w:t>
      </w:r>
      <w:r>
        <w:rPr>
          <w:rFonts w:hint="eastAsia" w:ascii="仿宋_GB2312" w:hAnsi="宋体" w:eastAsia="仿宋_GB2312" w:cs="仿宋_GB2312"/>
          <w:color w:val="000000"/>
          <w:kern w:val="0"/>
          <w:szCs w:val="32"/>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pPr>
        <w:widowControl/>
        <w:spacing w:line="560" w:lineRule="exact"/>
        <w:ind w:firstLine="640" w:firstLineChars="200"/>
        <w:jc w:val="left"/>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本部门201</w:t>
      </w:r>
      <w:r>
        <w:rPr>
          <w:rFonts w:ascii="仿宋_GB2312" w:hAnsi="仿宋_GB2312" w:eastAsia="仿宋_GB2312" w:cs="仿宋_GB2312"/>
          <w:szCs w:val="32"/>
        </w:rPr>
        <w:t>9</w:t>
      </w:r>
      <w:r>
        <w:rPr>
          <w:rFonts w:hint="eastAsia" w:ascii="仿宋_GB2312" w:hAnsi="仿宋_GB2312" w:eastAsia="仿宋_GB2312" w:cs="仿宋_GB2312"/>
          <w:szCs w:val="32"/>
        </w:rPr>
        <w:t>年度无政府采购支出</w:t>
      </w:r>
      <w:r>
        <w:rPr>
          <w:rFonts w:hint="eastAsia" w:ascii="仿宋_GB2312" w:hAnsi="仿宋_GB2312" w:eastAsia="仿宋_GB2312" w:cs="仿宋_GB2312"/>
          <w:szCs w:val="32"/>
          <w:lang w:eastAsia="zh-CN"/>
        </w:rPr>
        <w:t>。</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截至2019年末，本部门机关及所属单位共有车辆0辆；单价50万元以上的通用设备0台（套）；单价100万元以上的专用设备0台（套）。201</w:t>
      </w:r>
      <w:r>
        <w:rPr>
          <w:rFonts w:ascii="仿宋_GB2312" w:hAnsi="仿宋_GB2312" w:eastAsia="仿宋_GB2312" w:cs="仿宋_GB2312"/>
          <w:szCs w:val="32"/>
        </w:rPr>
        <w:t>9</w:t>
      </w:r>
      <w:r>
        <w:rPr>
          <w:rFonts w:hint="eastAsia" w:ascii="仿宋_GB2312" w:hAnsi="仿宋_GB2312" w:eastAsia="仿宋_GB2312" w:cs="仿宋_GB2312"/>
          <w:szCs w:val="32"/>
        </w:rPr>
        <w:t>年当年购置车辆0辆；购置单价50万元以上的通用设备0台（套）；购置单价100万元以上的专用设备0台（套）。</w:t>
      </w: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spacing w:line="560" w:lineRule="exact"/>
        <w:ind w:firstLine="640"/>
        <w:rPr>
          <w:rFonts w:ascii="仿宋_GB2312" w:hAnsi="仿宋_GB2312" w:eastAsia="仿宋_GB2312" w:cs="仿宋_GB2312"/>
          <w:szCs w:val="32"/>
        </w:rPr>
      </w:pPr>
    </w:p>
    <w:p>
      <w:pPr>
        <w:numPr>
          <w:ilvl w:val="0"/>
          <w:numId w:val="0"/>
        </w:numPr>
        <w:jc w:val="center"/>
        <w:rPr>
          <w:rFonts w:hint="eastAsia" w:ascii="黑体" w:hAnsi="宋体" w:eastAsia="黑体"/>
          <w:color w:val="000000"/>
          <w:kern w:val="0"/>
          <w:sz w:val="44"/>
          <w:szCs w:val="44"/>
          <w:lang w:eastAsia="zh-CN"/>
        </w:rPr>
      </w:pPr>
    </w:p>
    <w:p>
      <w:pPr>
        <w:numPr>
          <w:ilvl w:val="0"/>
          <w:numId w:val="0"/>
        </w:numPr>
        <w:jc w:val="center"/>
        <w:rPr>
          <w:rFonts w:hint="eastAsia" w:ascii="黑体" w:hAnsi="宋体" w:eastAsia="黑体"/>
          <w:color w:val="000000"/>
          <w:kern w:val="0"/>
          <w:sz w:val="44"/>
          <w:szCs w:val="44"/>
          <w:lang w:eastAsia="zh-CN"/>
        </w:rPr>
      </w:pPr>
    </w:p>
    <w:p>
      <w:pPr>
        <w:numPr>
          <w:ilvl w:val="0"/>
          <w:numId w:val="0"/>
        </w:numPr>
        <w:jc w:val="center"/>
        <w:rPr>
          <w:rFonts w:hint="eastAsia" w:ascii="黑体" w:hAnsi="宋体" w:eastAsia="黑体"/>
          <w:color w:val="000000"/>
          <w:kern w:val="0"/>
          <w:sz w:val="44"/>
          <w:szCs w:val="44"/>
          <w:lang w:eastAsia="zh-CN"/>
        </w:rPr>
      </w:pPr>
    </w:p>
    <w:p>
      <w:pPr>
        <w:numPr>
          <w:ilvl w:val="0"/>
          <w:numId w:val="0"/>
        </w:numPr>
        <w:jc w:val="both"/>
        <w:rPr>
          <w:rFonts w:hint="eastAsia" w:ascii="黑体" w:hAnsi="宋体" w:eastAsia="黑体"/>
          <w:color w:val="000000"/>
          <w:kern w:val="0"/>
          <w:sz w:val="44"/>
          <w:szCs w:val="44"/>
          <w:lang w:eastAsia="zh-CN"/>
        </w:rPr>
      </w:pPr>
    </w:p>
    <w:p>
      <w:pPr>
        <w:numPr>
          <w:ilvl w:val="0"/>
          <w:numId w:val="0"/>
        </w:numPr>
        <w:jc w:val="center"/>
        <w:rPr>
          <w:rFonts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lang w:val="en-US" w:eastAsia="zh-CN"/>
        </w:rPr>
        <w:t xml:space="preserve"> </w:t>
      </w: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sectPr>
      <w:pgSz w:w="11906" w:h="16838"/>
      <w:pgMar w:top="1440" w:right="1803" w:bottom="1440" w:left="1803" w:header="851" w:footer="992" w:gutter="0"/>
      <w:paperSrc/>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FAA6D622"/>
    <w:multiLevelType w:val="singleLevel"/>
    <w:tmpl w:val="FAA6D622"/>
    <w:lvl w:ilvl="0" w:tentative="0">
      <w:start w:val="1"/>
      <w:numFmt w:val="decimal"/>
      <w:suff w:val="nothing"/>
      <w:lvlText w:val="%1、"/>
      <w:lvlJc w:val="left"/>
    </w:lvl>
  </w:abstractNum>
  <w:abstractNum w:abstractNumId="2">
    <w:nsid w:val="0A592E07"/>
    <w:multiLevelType w:val="singleLevel"/>
    <w:tmpl w:val="0A592E07"/>
    <w:lvl w:ilvl="0" w:tentative="0">
      <w:start w:val="1"/>
      <w:numFmt w:val="decimal"/>
      <w:suff w:val="nothing"/>
      <w:lvlText w:val="%1、"/>
      <w:lvlJc w:val="left"/>
    </w:lvl>
  </w:abstractNum>
  <w:abstractNum w:abstractNumId="3">
    <w:nsid w:val="1836F372"/>
    <w:multiLevelType w:val="singleLevel"/>
    <w:tmpl w:val="1836F372"/>
    <w:lvl w:ilvl="0" w:tentative="0">
      <w:start w:val="2"/>
      <w:numFmt w:val="chineseCounting"/>
      <w:suff w:val="nothing"/>
      <w:lvlText w:val="（%1）"/>
      <w:lvlJc w:val="left"/>
      <w:rPr>
        <w:rFonts w:hint="eastAsia"/>
      </w:rPr>
    </w:lvl>
  </w:abstractNum>
  <w:abstractNum w:abstractNumId="4">
    <w:nsid w:val="39BEA4A8"/>
    <w:multiLevelType w:val="singleLevel"/>
    <w:tmpl w:val="39BEA4A8"/>
    <w:lvl w:ilvl="0" w:tentative="0">
      <w:start w:val="4"/>
      <w:numFmt w:val="chineseCounting"/>
      <w:suff w:val="space"/>
      <w:lvlText w:val="第%1部分"/>
      <w:lvlJc w:val="left"/>
      <w:rPr>
        <w:rFonts w:hint="eastAsia"/>
      </w:rPr>
    </w:lvl>
  </w:abstractNum>
  <w:abstractNum w:abstractNumId="5">
    <w:nsid w:val="449F61EA"/>
    <w:multiLevelType w:val="singleLevel"/>
    <w:tmpl w:val="449F61EA"/>
    <w:lvl w:ilvl="0" w:tentative="0">
      <w:start w:val="2"/>
      <w:numFmt w:val="decimal"/>
      <w:suff w:val="space"/>
      <w:lvlText w:val="%1."/>
      <w:lvlJc w:val="left"/>
    </w:lvl>
  </w:abstractNum>
  <w:abstractNum w:abstractNumId="6">
    <w:nsid w:val="4BCE98AA"/>
    <w:multiLevelType w:val="singleLevel"/>
    <w:tmpl w:val="4BCE98AA"/>
    <w:lvl w:ilvl="0" w:tentative="0">
      <w:start w:val="2"/>
      <w:numFmt w:val="decimal"/>
      <w:suff w:val="nothing"/>
      <w:lvlText w:val="%1、"/>
      <w:lvlJc w:val="left"/>
    </w:lvl>
  </w:abstractNum>
  <w:abstractNum w:abstractNumId="7">
    <w:nsid w:val="4E290741"/>
    <w:multiLevelType w:val="singleLevel"/>
    <w:tmpl w:val="4E290741"/>
    <w:lvl w:ilvl="0" w:tentative="0">
      <w:start w:val="3"/>
      <w:numFmt w:val="decimal"/>
      <w:suff w:val="nothing"/>
      <w:lvlText w:val="%1．"/>
      <w:lvlJc w:val="left"/>
    </w:lvl>
  </w:abstractNum>
  <w:num w:numId="1">
    <w:abstractNumId w:val="4"/>
  </w:num>
  <w:num w:numId="2">
    <w:abstractNumId w:val="0"/>
  </w:num>
  <w:num w:numId="3">
    <w:abstractNumId w:val="3"/>
  </w:num>
  <w:num w:numId="4">
    <w:abstractNumId w:val="5"/>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404D2A"/>
    <w:rsid w:val="006D77AC"/>
    <w:rsid w:val="00724DBC"/>
    <w:rsid w:val="00740869"/>
    <w:rsid w:val="007F3998"/>
    <w:rsid w:val="008461A8"/>
    <w:rsid w:val="00B33BF5"/>
    <w:rsid w:val="010A3935"/>
    <w:rsid w:val="010E3361"/>
    <w:rsid w:val="0237178D"/>
    <w:rsid w:val="03466797"/>
    <w:rsid w:val="036441AA"/>
    <w:rsid w:val="04106BD6"/>
    <w:rsid w:val="0419031A"/>
    <w:rsid w:val="048A432F"/>
    <w:rsid w:val="04E362DB"/>
    <w:rsid w:val="05E46202"/>
    <w:rsid w:val="068B7849"/>
    <w:rsid w:val="07C0011D"/>
    <w:rsid w:val="08535A38"/>
    <w:rsid w:val="085D12FF"/>
    <w:rsid w:val="086C1E64"/>
    <w:rsid w:val="087B3CB0"/>
    <w:rsid w:val="08CB73D7"/>
    <w:rsid w:val="09186F27"/>
    <w:rsid w:val="09F56D6B"/>
    <w:rsid w:val="0A567E88"/>
    <w:rsid w:val="0A755A79"/>
    <w:rsid w:val="0A791996"/>
    <w:rsid w:val="0ACA5C1A"/>
    <w:rsid w:val="0B3C4CF2"/>
    <w:rsid w:val="0BDC574D"/>
    <w:rsid w:val="0C0C730E"/>
    <w:rsid w:val="0C9262E8"/>
    <w:rsid w:val="0CBE2A55"/>
    <w:rsid w:val="0CF66DC5"/>
    <w:rsid w:val="0CFC3471"/>
    <w:rsid w:val="0D16480F"/>
    <w:rsid w:val="0DB90804"/>
    <w:rsid w:val="0DCE01F1"/>
    <w:rsid w:val="0E4D353E"/>
    <w:rsid w:val="0E630DDA"/>
    <w:rsid w:val="0ED843D4"/>
    <w:rsid w:val="0EEC508E"/>
    <w:rsid w:val="0EFD7DC4"/>
    <w:rsid w:val="11533D95"/>
    <w:rsid w:val="1174449F"/>
    <w:rsid w:val="127867A8"/>
    <w:rsid w:val="13285636"/>
    <w:rsid w:val="1331426E"/>
    <w:rsid w:val="13EA643E"/>
    <w:rsid w:val="14413DF1"/>
    <w:rsid w:val="15916C1F"/>
    <w:rsid w:val="1615050E"/>
    <w:rsid w:val="162B5976"/>
    <w:rsid w:val="16364CA6"/>
    <w:rsid w:val="175052FA"/>
    <w:rsid w:val="179E1CFE"/>
    <w:rsid w:val="18092D7C"/>
    <w:rsid w:val="1858769B"/>
    <w:rsid w:val="18634A0D"/>
    <w:rsid w:val="18691FE2"/>
    <w:rsid w:val="187B79D7"/>
    <w:rsid w:val="19436791"/>
    <w:rsid w:val="19A66F97"/>
    <w:rsid w:val="1A1B7BB6"/>
    <w:rsid w:val="1A2E15C3"/>
    <w:rsid w:val="1A72112C"/>
    <w:rsid w:val="1A930C65"/>
    <w:rsid w:val="1A9D151D"/>
    <w:rsid w:val="1ADF7FD2"/>
    <w:rsid w:val="1AE74748"/>
    <w:rsid w:val="1AF22409"/>
    <w:rsid w:val="1B304CA7"/>
    <w:rsid w:val="1C277CB0"/>
    <w:rsid w:val="1C4A3D04"/>
    <w:rsid w:val="1CAF796B"/>
    <w:rsid w:val="1D026F62"/>
    <w:rsid w:val="1D7A3ADC"/>
    <w:rsid w:val="1D8B0C78"/>
    <w:rsid w:val="1F0D6998"/>
    <w:rsid w:val="1F136FF3"/>
    <w:rsid w:val="1F8848CB"/>
    <w:rsid w:val="1FAB005B"/>
    <w:rsid w:val="1FC6121D"/>
    <w:rsid w:val="1FCF580A"/>
    <w:rsid w:val="205079A0"/>
    <w:rsid w:val="20B96E79"/>
    <w:rsid w:val="20E506C4"/>
    <w:rsid w:val="20F2528D"/>
    <w:rsid w:val="20FA642B"/>
    <w:rsid w:val="210130D0"/>
    <w:rsid w:val="215A0CFE"/>
    <w:rsid w:val="2256467C"/>
    <w:rsid w:val="22B06B62"/>
    <w:rsid w:val="22B357E2"/>
    <w:rsid w:val="230A4C63"/>
    <w:rsid w:val="23597FF6"/>
    <w:rsid w:val="24194019"/>
    <w:rsid w:val="24702E25"/>
    <w:rsid w:val="248E7B83"/>
    <w:rsid w:val="256264C3"/>
    <w:rsid w:val="25930932"/>
    <w:rsid w:val="25FD71C7"/>
    <w:rsid w:val="25FE3DF4"/>
    <w:rsid w:val="2660352B"/>
    <w:rsid w:val="268C645D"/>
    <w:rsid w:val="26D62142"/>
    <w:rsid w:val="281B4D0C"/>
    <w:rsid w:val="282A0DB7"/>
    <w:rsid w:val="282C273A"/>
    <w:rsid w:val="28452CDA"/>
    <w:rsid w:val="287C13F1"/>
    <w:rsid w:val="288521F7"/>
    <w:rsid w:val="288A188D"/>
    <w:rsid w:val="289004CD"/>
    <w:rsid w:val="28BE01D8"/>
    <w:rsid w:val="28DB4ABF"/>
    <w:rsid w:val="28FB2AB2"/>
    <w:rsid w:val="29F651A9"/>
    <w:rsid w:val="2A680840"/>
    <w:rsid w:val="2A7767B0"/>
    <w:rsid w:val="2AA02898"/>
    <w:rsid w:val="2AE86F80"/>
    <w:rsid w:val="2AEB4007"/>
    <w:rsid w:val="2AFE5136"/>
    <w:rsid w:val="2B0624C9"/>
    <w:rsid w:val="2B3D6F01"/>
    <w:rsid w:val="2BF13979"/>
    <w:rsid w:val="2C690238"/>
    <w:rsid w:val="2C8D5648"/>
    <w:rsid w:val="2D352FA1"/>
    <w:rsid w:val="2D8F61C2"/>
    <w:rsid w:val="2DEF5904"/>
    <w:rsid w:val="2E2E3C22"/>
    <w:rsid w:val="2E306A0B"/>
    <w:rsid w:val="2E8B41B0"/>
    <w:rsid w:val="2EE916B1"/>
    <w:rsid w:val="2F55792D"/>
    <w:rsid w:val="2FCF34A6"/>
    <w:rsid w:val="303F1D31"/>
    <w:rsid w:val="309E790F"/>
    <w:rsid w:val="30DF4759"/>
    <w:rsid w:val="30F116E9"/>
    <w:rsid w:val="31100F35"/>
    <w:rsid w:val="3110105F"/>
    <w:rsid w:val="31AC6936"/>
    <w:rsid w:val="321579CD"/>
    <w:rsid w:val="326D7A90"/>
    <w:rsid w:val="33461FD9"/>
    <w:rsid w:val="33A50B40"/>
    <w:rsid w:val="34FD1063"/>
    <w:rsid w:val="35065841"/>
    <w:rsid w:val="350A5D93"/>
    <w:rsid w:val="35B40250"/>
    <w:rsid w:val="363070E4"/>
    <w:rsid w:val="3669223E"/>
    <w:rsid w:val="366C12FC"/>
    <w:rsid w:val="36FD4B20"/>
    <w:rsid w:val="3730117A"/>
    <w:rsid w:val="38195B37"/>
    <w:rsid w:val="383840EC"/>
    <w:rsid w:val="386A7948"/>
    <w:rsid w:val="387A026A"/>
    <w:rsid w:val="38B96B1C"/>
    <w:rsid w:val="38C635DB"/>
    <w:rsid w:val="3934268D"/>
    <w:rsid w:val="39BF1903"/>
    <w:rsid w:val="39CA05F0"/>
    <w:rsid w:val="3A312C22"/>
    <w:rsid w:val="3A6E2757"/>
    <w:rsid w:val="3A940CAB"/>
    <w:rsid w:val="3AA50B98"/>
    <w:rsid w:val="3ACB1C66"/>
    <w:rsid w:val="3AD1348E"/>
    <w:rsid w:val="3AFA687D"/>
    <w:rsid w:val="3B27789C"/>
    <w:rsid w:val="3B8F1EA7"/>
    <w:rsid w:val="3B907F62"/>
    <w:rsid w:val="3B983A5A"/>
    <w:rsid w:val="3BC473B6"/>
    <w:rsid w:val="3BFC6DCC"/>
    <w:rsid w:val="3C086ED4"/>
    <w:rsid w:val="3C743FE8"/>
    <w:rsid w:val="3C7A6DAB"/>
    <w:rsid w:val="3C935489"/>
    <w:rsid w:val="3D173B4A"/>
    <w:rsid w:val="3D682337"/>
    <w:rsid w:val="3D6E448D"/>
    <w:rsid w:val="3D83166A"/>
    <w:rsid w:val="3D904069"/>
    <w:rsid w:val="3DE16767"/>
    <w:rsid w:val="3E3A6DC0"/>
    <w:rsid w:val="3E664C2C"/>
    <w:rsid w:val="3ED75237"/>
    <w:rsid w:val="3EF43B1B"/>
    <w:rsid w:val="3F6A7EEE"/>
    <w:rsid w:val="3F9C79A5"/>
    <w:rsid w:val="3FCA23EC"/>
    <w:rsid w:val="3FDE6BB5"/>
    <w:rsid w:val="40494A2A"/>
    <w:rsid w:val="408A6617"/>
    <w:rsid w:val="40EA67FA"/>
    <w:rsid w:val="417C2A7E"/>
    <w:rsid w:val="418002F5"/>
    <w:rsid w:val="41942E54"/>
    <w:rsid w:val="41F87719"/>
    <w:rsid w:val="424D60E4"/>
    <w:rsid w:val="42CB135F"/>
    <w:rsid w:val="42FA4769"/>
    <w:rsid w:val="430D7A11"/>
    <w:rsid w:val="4334671D"/>
    <w:rsid w:val="43BC1030"/>
    <w:rsid w:val="43FF65C5"/>
    <w:rsid w:val="440B3A80"/>
    <w:rsid w:val="442957F1"/>
    <w:rsid w:val="444D4E5A"/>
    <w:rsid w:val="458C4E8B"/>
    <w:rsid w:val="463B3E8E"/>
    <w:rsid w:val="46514E21"/>
    <w:rsid w:val="46671435"/>
    <w:rsid w:val="46B57010"/>
    <w:rsid w:val="471C5F60"/>
    <w:rsid w:val="478B351D"/>
    <w:rsid w:val="478F109E"/>
    <w:rsid w:val="47964FBE"/>
    <w:rsid w:val="47A64AE6"/>
    <w:rsid w:val="47D900F8"/>
    <w:rsid w:val="485D6AAB"/>
    <w:rsid w:val="48971A8A"/>
    <w:rsid w:val="493C3D1F"/>
    <w:rsid w:val="4942046C"/>
    <w:rsid w:val="4A1752A2"/>
    <w:rsid w:val="4A6B01CB"/>
    <w:rsid w:val="4AC15C6F"/>
    <w:rsid w:val="4B0C229D"/>
    <w:rsid w:val="4B18398F"/>
    <w:rsid w:val="4B8856B1"/>
    <w:rsid w:val="4BE2612A"/>
    <w:rsid w:val="4C4357F2"/>
    <w:rsid w:val="4C4B0378"/>
    <w:rsid w:val="4CBB01A0"/>
    <w:rsid w:val="4DDB00CE"/>
    <w:rsid w:val="4DDC443E"/>
    <w:rsid w:val="4E0D3E62"/>
    <w:rsid w:val="4E87175A"/>
    <w:rsid w:val="4E8B475D"/>
    <w:rsid w:val="4E9443CA"/>
    <w:rsid w:val="4F211E31"/>
    <w:rsid w:val="4F794A53"/>
    <w:rsid w:val="4F7A4D11"/>
    <w:rsid w:val="4FD0189F"/>
    <w:rsid w:val="4FEE2D6B"/>
    <w:rsid w:val="50833967"/>
    <w:rsid w:val="50C46A00"/>
    <w:rsid w:val="50E20649"/>
    <w:rsid w:val="5115267D"/>
    <w:rsid w:val="511F7FCD"/>
    <w:rsid w:val="51D00BAF"/>
    <w:rsid w:val="52294D5F"/>
    <w:rsid w:val="525E49F9"/>
    <w:rsid w:val="529A1FE3"/>
    <w:rsid w:val="52AC7AB3"/>
    <w:rsid w:val="52DF599D"/>
    <w:rsid w:val="533F3BD3"/>
    <w:rsid w:val="53937E6D"/>
    <w:rsid w:val="53D2464B"/>
    <w:rsid w:val="53E8500E"/>
    <w:rsid w:val="54207C4C"/>
    <w:rsid w:val="54412A12"/>
    <w:rsid w:val="5449567A"/>
    <w:rsid w:val="544D3043"/>
    <w:rsid w:val="547F0BC7"/>
    <w:rsid w:val="54D8722D"/>
    <w:rsid w:val="54F274DC"/>
    <w:rsid w:val="55631000"/>
    <w:rsid w:val="55AE51A9"/>
    <w:rsid w:val="55C61B24"/>
    <w:rsid w:val="561C0216"/>
    <w:rsid w:val="56364A30"/>
    <w:rsid w:val="572903D7"/>
    <w:rsid w:val="57485575"/>
    <w:rsid w:val="574C2AB7"/>
    <w:rsid w:val="578874AE"/>
    <w:rsid w:val="57CA5050"/>
    <w:rsid w:val="589F6E5E"/>
    <w:rsid w:val="596D661C"/>
    <w:rsid w:val="5988562B"/>
    <w:rsid w:val="59E337F6"/>
    <w:rsid w:val="5A23351A"/>
    <w:rsid w:val="5A5F4FA6"/>
    <w:rsid w:val="5B471750"/>
    <w:rsid w:val="5B9361AD"/>
    <w:rsid w:val="5C7D65B2"/>
    <w:rsid w:val="5D183979"/>
    <w:rsid w:val="5D503677"/>
    <w:rsid w:val="5DAA6E62"/>
    <w:rsid w:val="5DCC400C"/>
    <w:rsid w:val="5DFB7773"/>
    <w:rsid w:val="5E230DBD"/>
    <w:rsid w:val="5E3E7357"/>
    <w:rsid w:val="5E512370"/>
    <w:rsid w:val="5F2E355C"/>
    <w:rsid w:val="5F5027A5"/>
    <w:rsid w:val="5FDF4288"/>
    <w:rsid w:val="5FFB488A"/>
    <w:rsid w:val="60731AC0"/>
    <w:rsid w:val="609A514E"/>
    <w:rsid w:val="609B1DDD"/>
    <w:rsid w:val="60C4298F"/>
    <w:rsid w:val="612628D3"/>
    <w:rsid w:val="61840198"/>
    <w:rsid w:val="61AF14AE"/>
    <w:rsid w:val="61E21E9D"/>
    <w:rsid w:val="621E3ADB"/>
    <w:rsid w:val="62444C22"/>
    <w:rsid w:val="62776A80"/>
    <w:rsid w:val="62864240"/>
    <w:rsid w:val="62F2568C"/>
    <w:rsid w:val="631244C9"/>
    <w:rsid w:val="63972DB0"/>
    <w:rsid w:val="640F3AFC"/>
    <w:rsid w:val="64777BEF"/>
    <w:rsid w:val="64861C6D"/>
    <w:rsid w:val="64B47FDB"/>
    <w:rsid w:val="64D2703E"/>
    <w:rsid w:val="64DC22C3"/>
    <w:rsid w:val="65513003"/>
    <w:rsid w:val="655F4BA9"/>
    <w:rsid w:val="656219A2"/>
    <w:rsid w:val="65706DA4"/>
    <w:rsid w:val="65CE7A89"/>
    <w:rsid w:val="65F77F75"/>
    <w:rsid w:val="66160C90"/>
    <w:rsid w:val="66A70513"/>
    <w:rsid w:val="66F9558D"/>
    <w:rsid w:val="674E135D"/>
    <w:rsid w:val="67542382"/>
    <w:rsid w:val="67F87C0E"/>
    <w:rsid w:val="6840010B"/>
    <w:rsid w:val="686E4C40"/>
    <w:rsid w:val="687675B0"/>
    <w:rsid w:val="69031241"/>
    <w:rsid w:val="6915288C"/>
    <w:rsid w:val="69A157A9"/>
    <w:rsid w:val="69CE6801"/>
    <w:rsid w:val="6A7139B2"/>
    <w:rsid w:val="6B3B79EC"/>
    <w:rsid w:val="6B4D1D0B"/>
    <w:rsid w:val="6B805DDF"/>
    <w:rsid w:val="6B960F8A"/>
    <w:rsid w:val="6BA80F76"/>
    <w:rsid w:val="6BB5563B"/>
    <w:rsid w:val="6BBF2CF3"/>
    <w:rsid w:val="6CDE48B6"/>
    <w:rsid w:val="6CDF03A0"/>
    <w:rsid w:val="6D026966"/>
    <w:rsid w:val="6D075F62"/>
    <w:rsid w:val="6D3D3467"/>
    <w:rsid w:val="6DBA7796"/>
    <w:rsid w:val="6DCF61C6"/>
    <w:rsid w:val="6E1169A5"/>
    <w:rsid w:val="6EAC6681"/>
    <w:rsid w:val="6EAD1E40"/>
    <w:rsid w:val="6EB93162"/>
    <w:rsid w:val="6F094735"/>
    <w:rsid w:val="6FB8003D"/>
    <w:rsid w:val="6FCD717A"/>
    <w:rsid w:val="6FDC0E9D"/>
    <w:rsid w:val="6FED04DE"/>
    <w:rsid w:val="701C722B"/>
    <w:rsid w:val="70DE1182"/>
    <w:rsid w:val="716E52AB"/>
    <w:rsid w:val="71840673"/>
    <w:rsid w:val="719B3AFC"/>
    <w:rsid w:val="71BE32BA"/>
    <w:rsid w:val="724E711F"/>
    <w:rsid w:val="72C970EF"/>
    <w:rsid w:val="73431FE5"/>
    <w:rsid w:val="7393661F"/>
    <w:rsid w:val="73D97CC0"/>
    <w:rsid w:val="749D64DD"/>
    <w:rsid w:val="74C74087"/>
    <w:rsid w:val="74ED3142"/>
    <w:rsid w:val="752533C6"/>
    <w:rsid w:val="75B271A5"/>
    <w:rsid w:val="75D13FE1"/>
    <w:rsid w:val="76D91C5A"/>
    <w:rsid w:val="778B0394"/>
    <w:rsid w:val="78156BBE"/>
    <w:rsid w:val="783A39BB"/>
    <w:rsid w:val="785562E8"/>
    <w:rsid w:val="78B54634"/>
    <w:rsid w:val="791F0E86"/>
    <w:rsid w:val="796B0E83"/>
    <w:rsid w:val="79F1098E"/>
    <w:rsid w:val="79F76098"/>
    <w:rsid w:val="7A0D4677"/>
    <w:rsid w:val="7A904766"/>
    <w:rsid w:val="7B3B42FE"/>
    <w:rsid w:val="7B4507D7"/>
    <w:rsid w:val="7B59599C"/>
    <w:rsid w:val="7B6D5E4A"/>
    <w:rsid w:val="7B795480"/>
    <w:rsid w:val="7BA1046C"/>
    <w:rsid w:val="7BF641A8"/>
    <w:rsid w:val="7C030E69"/>
    <w:rsid w:val="7D933643"/>
    <w:rsid w:val="7DFF615F"/>
    <w:rsid w:val="7F2671A5"/>
    <w:rsid w:val="7F7C5698"/>
    <w:rsid w:val="7FA5263D"/>
    <w:rsid w:val="7FD7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批注框文本 Char"/>
    <w:basedOn w:val="9"/>
    <w:link w:val="3"/>
    <w:qFormat/>
    <w:uiPriority w:val="0"/>
    <w:rPr>
      <w:rFonts w:ascii="Calibri" w:hAnsi="Calibri" w:eastAsia="方正仿宋简体"/>
      <w:kern w:val="2"/>
      <w:sz w:val="18"/>
      <w:szCs w:val="18"/>
    </w:rPr>
  </w:style>
  <w:style w:type="character" w:customStyle="1" w:styleId="19">
    <w:name w:val="font01"/>
    <w:basedOn w:val="9"/>
    <w:uiPriority w:val="0"/>
    <w:rPr>
      <w:rFonts w:hint="default" w:ascii="Times New Roman" w:hAnsi="Times New Roman" w:cs="Times New Roman"/>
      <w:color w:val="000000"/>
      <w:sz w:val="24"/>
      <w:szCs w:val="24"/>
      <w:u w:val="none"/>
    </w:rPr>
  </w:style>
  <w:style w:type="character" w:customStyle="1" w:styleId="20">
    <w:name w:val="font31"/>
    <w:basedOn w:val="9"/>
    <w:uiPriority w:val="0"/>
    <w:rPr>
      <w:rFonts w:hint="eastAsia" w:ascii="宋体" w:hAnsi="宋体" w:eastAsia="宋体" w:cs="宋体"/>
      <w:color w:val="000000"/>
      <w:sz w:val="24"/>
      <w:szCs w:val="24"/>
      <w:u w:val="none"/>
    </w:rPr>
  </w:style>
  <w:style w:type="character" w:customStyle="1" w:styleId="21">
    <w:name w:val="font71"/>
    <w:basedOn w:val="9"/>
    <w:qFormat/>
    <w:uiPriority w:val="0"/>
    <w:rPr>
      <w:rFonts w:hint="eastAsia" w:ascii="宋体" w:hAnsi="宋体" w:eastAsia="宋体" w:cs="宋体"/>
      <w:b/>
      <w:color w:val="000000"/>
      <w:sz w:val="32"/>
      <w:szCs w:val="32"/>
      <w:u w:val="none"/>
    </w:rPr>
  </w:style>
  <w:style w:type="character" w:customStyle="1" w:styleId="22">
    <w:name w:val="font41"/>
    <w:basedOn w:val="9"/>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部门人员</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实有人员</c:v>
                </c:pt>
              </c:strCache>
            </c:strRef>
          </c:tx>
          <c:spPr>
            <a:solidFill>
              <a:schemeClr val="accent1"/>
            </a:solidFill>
            <a:ln>
              <a:noFill/>
            </a:ln>
            <a:effectLst/>
          </c:spPr>
          <c:invertIfNegative val="0"/>
          <c:dLbls>
            <c:delete val="1"/>
          </c:dLbls>
          <c:cat>
            <c:strRef>
              <c:f>Sheet1!$A$2:$A$4</c:f>
              <c:strCache>
                <c:ptCount val="3"/>
                <c:pt idx="0">
                  <c:v>实有人员</c:v>
                </c:pt>
                <c:pt idx="1">
                  <c:v>事业编制</c:v>
                </c:pt>
                <c:pt idx="2">
                  <c:v>离退休人员</c:v>
                </c:pt>
              </c:strCache>
            </c:strRef>
          </c:cat>
          <c:val>
            <c:numRef>
              <c:f>Sheet1!$B$2:$B$4</c:f>
              <c:numCache>
                <c:formatCode>General</c:formatCode>
                <c:ptCount val="3"/>
                <c:pt idx="0">
                  <c:v>5</c:v>
                </c:pt>
                <c:pt idx="1">
                  <c:v>5</c:v>
                </c:pt>
                <c:pt idx="2">
                  <c:v>5</c:v>
                </c:pt>
              </c:numCache>
            </c:numRef>
          </c:val>
        </c:ser>
        <c:ser>
          <c:idx val="1"/>
          <c:order val="1"/>
          <c:tx>
            <c:strRef>
              <c:f>Sheet1!$C$1</c:f>
              <c:strCache>
                <c:ptCount val="1"/>
                <c:pt idx="0">
                  <c:v>事业编制</c:v>
                </c:pt>
              </c:strCache>
            </c:strRef>
          </c:tx>
          <c:spPr>
            <a:solidFill>
              <a:schemeClr val="accent2"/>
            </a:solidFill>
            <a:ln>
              <a:noFill/>
            </a:ln>
            <a:effectLst/>
          </c:spPr>
          <c:invertIfNegative val="0"/>
          <c:dLbls>
            <c:delete val="1"/>
          </c:dLbls>
          <c:cat>
            <c:strRef>
              <c:f>Sheet1!$A$2:$A$4</c:f>
              <c:strCache>
                <c:ptCount val="3"/>
                <c:pt idx="0">
                  <c:v>实有人员</c:v>
                </c:pt>
                <c:pt idx="1">
                  <c:v>事业编制</c:v>
                </c:pt>
                <c:pt idx="2">
                  <c:v>离退休人员</c:v>
                </c:pt>
              </c:strCache>
            </c:strRef>
          </c:cat>
          <c:val>
            <c:numRef>
              <c:f>Sheet1!$C$2:$C$4</c:f>
              <c:numCache>
                <c:formatCode>General</c:formatCode>
                <c:ptCount val="3"/>
                <c:pt idx="0">
                  <c:v>5</c:v>
                </c:pt>
                <c:pt idx="1">
                  <c:v>5</c:v>
                </c:pt>
                <c:pt idx="2">
                  <c:v>5</c:v>
                </c:pt>
              </c:numCache>
            </c:numRef>
          </c:val>
        </c:ser>
        <c:ser>
          <c:idx val="2"/>
          <c:order val="2"/>
          <c:tx>
            <c:strRef>
              <c:f>Sheet1!$D$1</c:f>
              <c:strCache>
                <c:ptCount val="1"/>
                <c:pt idx="0">
                  <c:v>离退休人员</c:v>
                </c:pt>
              </c:strCache>
            </c:strRef>
          </c:tx>
          <c:spPr>
            <a:solidFill>
              <a:schemeClr val="accent3"/>
            </a:solidFill>
            <a:ln>
              <a:noFill/>
            </a:ln>
            <a:effectLst/>
          </c:spPr>
          <c:invertIfNegative val="0"/>
          <c:dLbls>
            <c:delete val="1"/>
          </c:dLbls>
          <c:cat>
            <c:strRef>
              <c:f>Sheet1!$A$2:$A$4</c:f>
              <c:strCache>
                <c:ptCount val="3"/>
                <c:pt idx="0">
                  <c:v>实有人员</c:v>
                </c:pt>
                <c:pt idx="1">
                  <c:v>事业编制</c:v>
                </c:pt>
                <c:pt idx="2">
                  <c:v>离退休人员</c:v>
                </c:pt>
              </c:strCache>
            </c:strRef>
          </c:cat>
          <c:val>
            <c:numRef>
              <c:f>Sheet1!$D$2:$D$4</c:f>
              <c:numCache>
                <c:formatCode>General</c:formatCode>
                <c:ptCount val="3"/>
                <c:pt idx="0">
                  <c:v>5</c:v>
                </c:pt>
                <c:pt idx="1">
                  <c:v>5</c:v>
                </c:pt>
                <c:pt idx="2">
                  <c:v>5</c:v>
                </c:pt>
              </c:numCache>
            </c:numRef>
          </c:val>
        </c:ser>
        <c:dLbls>
          <c:showLegendKey val="0"/>
          <c:showVal val="0"/>
          <c:showCatName val="0"/>
          <c:showSerName val="0"/>
          <c:showPercent val="0"/>
          <c:showBubbleSize val="0"/>
        </c:dLbls>
        <c:gapWidth val="219"/>
        <c:overlap val="-27"/>
        <c:axId val="754713309"/>
        <c:axId val="380260621"/>
      </c:barChart>
      <c:catAx>
        <c:axId val="754713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0260621"/>
        <c:crosses val="autoZero"/>
        <c:auto val="1"/>
        <c:lblAlgn val="ctr"/>
        <c:lblOffset val="100"/>
        <c:noMultiLvlLbl val="0"/>
      </c:catAx>
      <c:valAx>
        <c:axId val="3802606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7133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2019年收入</c:v>
                </c:pt>
              </c:strCache>
            </c:strRef>
          </c:tx>
          <c:spPr>
            <a:solidFill>
              <a:schemeClr val="accent1"/>
            </a:solidFill>
            <a:ln>
              <a:noFill/>
            </a:ln>
            <a:effectLst/>
          </c:spPr>
          <c:invertIfNegative val="0"/>
          <c:dLbls>
            <c:delete val="1"/>
          </c:dLbls>
          <c:cat>
            <c:strRef>
              <c:f>Sheet1!$A$2:$A$5</c:f>
              <c:strCache>
                <c:ptCount val="4"/>
                <c:pt idx="0">
                  <c:v>收入</c:v>
                </c:pt>
                <c:pt idx="1">
                  <c:v>支出</c:v>
                </c:pt>
              </c:strCache>
            </c:strRef>
          </c:cat>
          <c:val>
            <c:numRef>
              <c:f>Sheet1!$B$2:$B$5</c:f>
              <c:numCache>
                <c:formatCode>General</c:formatCode>
                <c:ptCount val="4"/>
                <c:pt idx="0">
                  <c:v>628.56</c:v>
                </c:pt>
              </c:numCache>
            </c:numRef>
          </c:val>
        </c:ser>
        <c:ser>
          <c:idx val="1"/>
          <c:order val="1"/>
          <c:tx>
            <c:strRef>
              <c:f>Sheet1!$C$1</c:f>
              <c:strCache>
                <c:ptCount val="1"/>
                <c:pt idx="0">
                  <c:v>2018年收入</c:v>
                </c:pt>
              </c:strCache>
            </c:strRef>
          </c:tx>
          <c:spPr>
            <a:solidFill>
              <a:schemeClr val="accent2"/>
            </a:solidFill>
            <a:ln>
              <a:noFill/>
            </a:ln>
            <a:effectLst/>
          </c:spPr>
          <c:invertIfNegative val="0"/>
          <c:dLbls>
            <c:delete val="1"/>
          </c:dLbls>
          <c:cat>
            <c:strRef>
              <c:f>Sheet1!$A$2:$A$5</c:f>
              <c:strCache>
                <c:ptCount val="4"/>
                <c:pt idx="0">
                  <c:v>收入</c:v>
                </c:pt>
                <c:pt idx="1">
                  <c:v>支出</c:v>
                </c:pt>
              </c:strCache>
            </c:strRef>
          </c:cat>
          <c:val>
            <c:numRef>
              <c:f>Sheet1!$C$2:$C$5</c:f>
              <c:numCache>
                <c:formatCode>#,##0.00</c:formatCode>
                <c:ptCount val="4"/>
                <c:pt idx="0">
                  <c:v>716.29</c:v>
                </c:pt>
              </c:numCache>
            </c:numRef>
          </c:val>
        </c:ser>
        <c:ser>
          <c:idx val="2"/>
          <c:order val="2"/>
          <c:tx>
            <c:strRef>
              <c:f>Sheet1!$D$1</c:f>
              <c:strCache>
                <c:ptCount val="1"/>
                <c:pt idx="0">
                  <c:v>2019年支出</c:v>
                </c:pt>
              </c:strCache>
            </c:strRef>
          </c:tx>
          <c:spPr>
            <a:solidFill>
              <a:schemeClr val="accent3"/>
            </a:solidFill>
            <a:ln>
              <a:noFill/>
            </a:ln>
            <a:effectLst/>
          </c:spPr>
          <c:invertIfNegative val="0"/>
          <c:dLbls>
            <c:delete val="1"/>
          </c:dLbls>
          <c:cat>
            <c:strRef>
              <c:f>Sheet1!$A$2:$A$5</c:f>
              <c:strCache>
                <c:ptCount val="4"/>
                <c:pt idx="0">
                  <c:v>收入</c:v>
                </c:pt>
                <c:pt idx="1">
                  <c:v>支出</c:v>
                </c:pt>
              </c:strCache>
            </c:strRef>
          </c:cat>
          <c:val>
            <c:numRef>
              <c:f>Sheet1!$D$2:$D$5</c:f>
              <c:numCache>
                <c:formatCode>General</c:formatCode>
                <c:ptCount val="4"/>
                <c:pt idx="1">
                  <c:v>629.5</c:v>
                </c:pt>
              </c:numCache>
            </c:numRef>
          </c:val>
        </c:ser>
        <c:ser>
          <c:idx val="3"/>
          <c:order val="3"/>
          <c:tx>
            <c:strRef>
              <c:f>Sheet1!$E$1</c:f>
              <c:strCache>
                <c:ptCount val="1"/>
                <c:pt idx="0">
                  <c:v>2018年支出</c:v>
                </c:pt>
              </c:strCache>
            </c:strRef>
          </c:tx>
          <c:spPr>
            <a:solidFill>
              <a:schemeClr val="accent4"/>
            </a:solidFill>
            <a:ln>
              <a:noFill/>
            </a:ln>
            <a:effectLst/>
          </c:spPr>
          <c:invertIfNegative val="0"/>
          <c:dLbls>
            <c:delete val="1"/>
          </c:dLbls>
          <c:cat>
            <c:strRef>
              <c:f>Sheet1!$A$2:$A$5</c:f>
              <c:strCache>
                <c:ptCount val="4"/>
                <c:pt idx="0">
                  <c:v>收入</c:v>
                </c:pt>
                <c:pt idx="1">
                  <c:v>支出</c:v>
                </c:pt>
              </c:strCache>
            </c:strRef>
          </c:cat>
          <c:val>
            <c:numRef>
              <c:f>Sheet1!$E$2:$E$5</c:f>
              <c:numCache>
                <c:formatCode>General</c:formatCode>
                <c:ptCount val="4"/>
                <c:pt idx="1">
                  <c:v>665.43</c:v>
                </c:pt>
              </c:numCache>
            </c:numRef>
          </c:val>
        </c:ser>
        <c:dLbls>
          <c:showLegendKey val="0"/>
          <c:showVal val="0"/>
          <c:showCatName val="0"/>
          <c:showSerName val="0"/>
          <c:showPercent val="0"/>
          <c:showBubbleSize val="0"/>
        </c:dLbls>
        <c:gapWidth val="219"/>
        <c:overlap val="-27"/>
        <c:axId val="714661107"/>
        <c:axId val="797370201"/>
      </c:barChart>
      <c:catAx>
        <c:axId val="7146611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7370201"/>
        <c:crosses val="autoZero"/>
        <c:auto val="1"/>
        <c:lblAlgn val="ctr"/>
        <c:lblOffset val="100"/>
        <c:noMultiLvlLbl val="0"/>
      </c:catAx>
      <c:valAx>
        <c:axId val="7973702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46611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收入情况</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财政拨款收入</c:v>
                </c:pt>
              </c:strCache>
            </c:strRef>
          </c:cat>
          <c:val>
            <c:numRef>
              <c:f>Sheet1!$B$2:$B$5</c:f>
              <c:numCache>
                <c:formatCode>General</c:formatCode>
                <c:ptCount val="4"/>
                <c:pt idx="0">
                  <c:v>628.56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支出情况</a:t>
            </a:r>
          </a:p>
        </c:rich>
      </c:tx>
      <c:layout/>
      <c:overlay val="0"/>
      <c:spPr>
        <a:noFill/>
        <a:ln>
          <a:noFill/>
        </a:ln>
        <a:effectLst/>
      </c:spPr>
    </c:title>
    <c:autoTitleDeleted val="0"/>
    <c:plotArea>
      <c:layout/>
      <c:pieChart>
        <c:varyColors val="1"/>
        <c:ser>
          <c:idx val="0"/>
          <c:order val="0"/>
          <c:tx>
            <c:strRef>
              <c:f>Sheet1!$B$1</c:f>
              <c:strCache>
                <c:ptCount val="1"/>
                <c:pt idx="0">
                  <c:v>一般公共服务支出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strCache>
            </c:strRef>
          </c:cat>
          <c:val>
            <c:numRef>
              <c:f>Sheet1!$B$2:$B$5</c:f>
              <c:numCache>
                <c:formatCode>General</c:formatCode>
                <c:ptCount val="4"/>
                <c:pt idx="0">
                  <c:v>2.92</c:v>
                </c:pt>
                <c:pt idx="1">
                  <c:v>624.37</c:v>
                </c:pt>
                <c:pt idx="2">
                  <c:v>2.21</c:v>
                </c:pt>
              </c:numCache>
            </c:numRef>
          </c:val>
        </c:ser>
        <c:ser>
          <c:idx val="1"/>
          <c:order val="1"/>
          <c:tx>
            <c:strRef>
              <c:f>Sheet1!$C$1</c:f>
              <c:strCache>
                <c:ptCount val="1"/>
                <c:pt idx="0">
                  <c:v>社会保障和就业支出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strCache>
            </c:strRef>
          </c:cat>
          <c:val>
            <c:numRef>
              <c:f>Sheet1!$C$2:$C$5</c:f>
              <c:numCache>
                <c:formatCode>General</c:formatCode>
                <c:ptCount val="4"/>
                <c:pt idx="0">
                  <c:v>2.92</c:v>
                </c:pt>
                <c:pt idx="1">
                  <c:v>624.37</c:v>
                </c:pt>
                <c:pt idx="2">
                  <c:v>2.21</c:v>
                </c:pt>
              </c:numCache>
            </c:numRef>
          </c:val>
        </c:ser>
        <c:ser>
          <c:idx val="2"/>
          <c:order val="2"/>
          <c:tx>
            <c:strRef>
              <c:f>Sheet1!$D$1</c:f>
              <c:strCache>
                <c:ptCount val="1"/>
                <c:pt idx="0">
                  <c:v>卫生健康支出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strCache>
            </c:strRef>
          </c:cat>
          <c:val>
            <c:numRef>
              <c:f>Sheet1!$D$2:$D$5</c:f>
              <c:numCache>
                <c:formatCode>General</c:formatCode>
                <c:ptCount val="4"/>
                <c:pt idx="0">
                  <c:v>2.92</c:v>
                </c:pt>
                <c:pt idx="1">
                  <c:v>624.37</c:v>
                </c:pt>
                <c:pt idx="2">
                  <c:v>2.21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2019年财政拨款收入</c:v>
                </c:pt>
              </c:strCache>
            </c:strRef>
          </c:tx>
          <c:spPr>
            <a:solidFill>
              <a:schemeClr val="accent1"/>
            </a:solidFill>
            <a:ln>
              <a:noFill/>
            </a:ln>
            <a:effectLst/>
          </c:spPr>
          <c:invertIfNegative val="0"/>
          <c:dLbls>
            <c:delete val="1"/>
          </c:dLbls>
          <c:cat>
            <c:strRef>
              <c:f>Sheet1!$A$2:$A$5</c:f>
              <c:strCache>
                <c:ptCount val="4"/>
                <c:pt idx="0">
                  <c:v>收入</c:v>
                </c:pt>
                <c:pt idx="1">
                  <c:v>支出</c:v>
                </c:pt>
              </c:strCache>
            </c:strRef>
          </c:cat>
          <c:val>
            <c:numRef>
              <c:f>Sheet1!$B$2:$B$5</c:f>
              <c:numCache>
                <c:formatCode>General</c:formatCode>
                <c:ptCount val="4"/>
                <c:pt idx="0">
                  <c:v>628.56</c:v>
                </c:pt>
              </c:numCache>
            </c:numRef>
          </c:val>
        </c:ser>
        <c:ser>
          <c:idx val="1"/>
          <c:order val="1"/>
          <c:tx>
            <c:strRef>
              <c:f>Sheet1!$C$1</c:f>
              <c:strCache>
                <c:ptCount val="1"/>
                <c:pt idx="0">
                  <c:v>2018年财政拨款收入</c:v>
                </c:pt>
              </c:strCache>
            </c:strRef>
          </c:tx>
          <c:spPr>
            <a:solidFill>
              <a:schemeClr val="accent2"/>
            </a:solidFill>
            <a:ln>
              <a:noFill/>
            </a:ln>
            <a:effectLst/>
          </c:spPr>
          <c:invertIfNegative val="0"/>
          <c:dLbls>
            <c:delete val="1"/>
          </c:dLbls>
          <c:cat>
            <c:strRef>
              <c:f>Sheet1!$A$2:$A$5</c:f>
              <c:strCache>
                <c:ptCount val="4"/>
                <c:pt idx="0">
                  <c:v>收入</c:v>
                </c:pt>
                <c:pt idx="1">
                  <c:v>支出</c:v>
                </c:pt>
              </c:strCache>
            </c:strRef>
          </c:cat>
          <c:val>
            <c:numRef>
              <c:f>Sheet1!$C$2:$C$5</c:f>
              <c:numCache>
                <c:formatCode>#,##0.00</c:formatCode>
                <c:ptCount val="4"/>
                <c:pt idx="0">
                  <c:v>716.29</c:v>
                </c:pt>
              </c:numCache>
            </c:numRef>
          </c:val>
        </c:ser>
        <c:ser>
          <c:idx val="2"/>
          <c:order val="2"/>
          <c:tx>
            <c:strRef>
              <c:f>Sheet1!$D$1</c:f>
              <c:strCache>
                <c:ptCount val="1"/>
                <c:pt idx="0">
                  <c:v>2019年财政拨款支出</c:v>
                </c:pt>
              </c:strCache>
            </c:strRef>
          </c:tx>
          <c:spPr>
            <a:solidFill>
              <a:schemeClr val="accent3"/>
            </a:solidFill>
            <a:ln>
              <a:noFill/>
            </a:ln>
            <a:effectLst/>
          </c:spPr>
          <c:invertIfNegative val="0"/>
          <c:dLbls>
            <c:delete val="1"/>
          </c:dLbls>
          <c:cat>
            <c:strRef>
              <c:f>Sheet1!$A$2:$A$5</c:f>
              <c:strCache>
                <c:ptCount val="4"/>
                <c:pt idx="0">
                  <c:v>收入</c:v>
                </c:pt>
                <c:pt idx="1">
                  <c:v>支出</c:v>
                </c:pt>
              </c:strCache>
            </c:strRef>
          </c:cat>
          <c:val>
            <c:numRef>
              <c:f>Sheet1!$D$2:$D$5</c:f>
              <c:numCache>
                <c:formatCode>General</c:formatCode>
                <c:ptCount val="4"/>
                <c:pt idx="1">
                  <c:v>629.5</c:v>
                </c:pt>
              </c:numCache>
            </c:numRef>
          </c:val>
        </c:ser>
        <c:ser>
          <c:idx val="3"/>
          <c:order val="3"/>
          <c:tx>
            <c:strRef>
              <c:f>Sheet1!$E$1</c:f>
              <c:strCache>
                <c:ptCount val="1"/>
                <c:pt idx="0">
                  <c:v>2018年财政拨款支出</c:v>
                </c:pt>
              </c:strCache>
            </c:strRef>
          </c:tx>
          <c:spPr>
            <a:solidFill>
              <a:schemeClr val="accent4"/>
            </a:solidFill>
            <a:ln>
              <a:noFill/>
            </a:ln>
            <a:effectLst/>
          </c:spPr>
          <c:invertIfNegative val="0"/>
          <c:dLbls>
            <c:delete val="1"/>
          </c:dLbls>
          <c:cat>
            <c:strRef>
              <c:f>Sheet1!$A$2:$A$5</c:f>
              <c:strCache>
                <c:ptCount val="4"/>
                <c:pt idx="0">
                  <c:v>收入</c:v>
                </c:pt>
                <c:pt idx="1">
                  <c:v>支出</c:v>
                </c:pt>
              </c:strCache>
            </c:strRef>
          </c:cat>
          <c:val>
            <c:numRef>
              <c:f>Sheet1!$E$2:$E$5</c:f>
              <c:numCache>
                <c:formatCode>General</c:formatCode>
                <c:ptCount val="4"/>
                <c:pt idx="1">
                  <c:v>665.43</c:v>
                </c:pt>
              </c:numCache>
            </c:numRef>
          </c:val>
        </c:ser>
        <c:dLbls>
          <c:showLegendKey val="0"/>
          <c:showVal val="0"/>
          <c:showCatName val="0"/>
          <c:showSerName val="0"/>
          <c:showPercent val="0"/>
          <c:showBubbleSize val="0"/>
        </c:dLbls>
        <c:gapWidth val="219"/>
        <c:overlap val="-27"/>
        <c:axId val="714661107"/>
        <c:axId val="797370201"/>
      </c:barChart>
      <c:catAx>
        <c:axId val="7146611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7370201"/>
        <c:crosses val="autoZero"/>
        <c:auto val="1"/>
        <c:lblAlgn val="ctr"/>
        <c:lblOffset val="100"/>
        <c:noMultiLvlLbl val="0"/>
      </c:catAx>
      <c:valAx>
        <c:axId val="7973702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46611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财政拨款支出决算总体情况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Sheet1!$A$2:$A$5</c:f>
              <c:strCache>
                <c:ptCount val="4"/>
                <c:pt idx="1">
                  <c:v>支出</c:v>
                </c:pt>
              </c:strCache>
            </c:strRef>
          </c:cat>
          <c:val>
            <c:numRef>
              <c:f>Sheet1!$B$2:$B$5</c:f>
              <c:numCache>
                <c:formatCode>General</c:formatCode>
                <c:ptCount val="4"/>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1">
                  <c:v>支出</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1">
                  <c:v>支出</c:v>
                </c:pt>
              </c:strCache>
            </c:strRef>
          </c:cat>
          <c:val>
            <c:numRef>
              <c:f>Sheet1!$D$2:$D$5</c:f>
              <c:numCache>
                <c:formatCode>General</c:formatCode>
                <c:ptCount val="4"/>
              </c:numCache>
            </c:numRef>
          </c:val>
        </c:ser>
        <c:ser>
          <c:idx val="3"/>
          <c:order val="3"/>
          <c:tx>
            <c:strRef>
              <c:f>Sheet1!$E$1</c:f>
              <c:strCache>
                <c:ptCount val="1"/>
                <c:pt idx="0">
                  <c:v>2018年财政拨款支出</c:v>
                </c:pt>
              </c:strCache>
            </c:strRef>
          </c:tx>
          <c:spPr>
            <a:solidFill>
              <a:schemeClr val="accent4"/>
            </a:solidFill>
            <a:ln>
              <a:noFill/>
            </a:ln>
            <a:effectLst/>
          </c:spPr>
          <c:invertIfNegative val="0"/>
          <c:dLbls>
            <c:delete val="1"/>
          </c:dLbls>
          <c:cat>
            <c:strRef>
              <c:f>Sheet1!$A$2:$A$5</c:f>
              <c:strCache>
                <c:ptCount val="4"/>
                <c:pt idx="1">
                  <c:v>支出</c:v>
                </c:pt>
              </c:strCache>
            </c:strRef>
          </c:cat>
          <c:val>
            <c:numRef>
              <c:f>Sheet1!$E$2:$E$5</c:f>
              <c:numCache>
                <c:formatCode>General</c:formatCode>
                <c:ptCount val="4"/>
                <c:pt idx="1">
                  <c:v>665.43</c:v>
                </c:pt>
              </c:numCache>
            </c:numRef>
          </c:val>
        </c:ser>
        <c:dLbls>
          <c:showLegendKey val="0"/>
          <c:showVal val="0"/>
          <c:showCatName val="0"/>
          <c:showSerName val="0"/>
          <c:showPercent val="0"/>
          <c:showBubbleSize val="0"/>
        </c:dLbls>
        <c:gapWidth val="219"/>
        <c:overlap val="-27"/>
        <c:axId val="714661107"/>
        <c:axId val="797370201"/>
      </c:barChart>
      <c:catAx>
        <c:axId val="7146611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7370201"/>
        <c:crosses val="autoZero"/>
        <c:auto val="1"/>
        <c:lblAlgn val="ctr"/>
        <c:lblOffset val="100"/>
        <c:noMultiLvlLbl val="0"/>
      </c:catAx>
      <c:valAx>
        <c:axId val="7973702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4661107"/>
        <c:crosses val="autoZero"/>
        <c:crossBetween val="between"/>
      </c:valAx>
      <c:spPr>
        <a:noFill/>
        <a:ln>
          <a:noFill/>
        </a:ln>
        <a:effectLst/>
      </c:spPr>
    </c:plotArea>
    <c:legend>
      <c:legendPos val="b"/>
      <c:legendEntry>
        <c:idx val="0"/>
        <c:delete val="1"/>
      </c:legendEntry>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a:t>
            </a:r>
            <a:r>
              <a:t>情况</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因公出国（境）费支出</c:v>
                </c:pt>
              </c:strCache>
            </c:strRef>
          </c:cat>
          <c:val>
            <c:numRef>
              <c:f>Sheet1!$B$2:$B$5</c:f>
              <c:numCache>
                <c:formatCode>General</c:formatCode>
                <c:ptCount val="4"/>
                <c:pt idx="0">
                  <c:v>2.48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5831</Words>
  <Characters>2925</Characters>
  <Lines>24</Lines>
  <Paragraphs>17</Paragraphs>
  <TotalTime>17</TotalTime>
  <ScaleCrop>false</ScaleCrop>
  <LinksUpToDate>false</LinksUpToDate>
  <CharactersWithSpaces>8739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星瞳baby全球购</cp:lastModifiedBy>
  <cp:lastPrinted>2020-10-26T09:44:34Z</cp:lastPrinted>
  <dcterms:modified xsi:type="dcterms:W3CDTF">2020-10-26T09:52:34Z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