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eastAsia="宋体" w:cs="宋体"/>
          <w:b/>
          <w:bCs/>
          <w:sz w:val="44"/>
          <w:szCs w:val="44"/>
        </w:rPr>
      </w:pPr>
    </w:p>
    <w:p>
      <w:pPr>
        <w:pStyle w:val="5"/>
        <w:shd w:val="clear" w:color="auto" w:fill="FFFFFF"/>
        <w:spacing w:before="0" w:beforeAutospacing="0" w:after="0" w:afterAutospacing="0" w:line="520" w:lineRule="exact"/>
        <w:jc w:val="center"/>
        <w:rPr>
          <w:rStyle w:val="9"/>
          <w:rFonts w:hint="eastAsia" w:ascii="方正小标宋简体" w:hAnsi="方正小标宋简体" w:eastAsia="方正小标宋简体" w:cs="方正小标宋简体"/>
          <w:sz w:val="44"/>
          <w:szCs w:val="44"/>
          <w:lang w:eastAsia="zh-CN"/>
        </w:rPr>
      </w:pPr>
      <w:r>
        <w:rPr>
          <w:rStyle w:val="9"/>
          <w:rFonts w:hint="eastAsia" w:ascii="方正小标宋简体" w:hAnsi="方正小标宋简体" w:eastAsia="方正小标宋简体" w:cs="方正小标宋简体"/>
          <w:sz w:val="44"/>
          <w:szCs w:val="44"/>
          <w:lang w:eastAsia="zh-CN"/>
        </w:rPr>
        <w:t>西安市阎良区社区卫生服务指导中心</w:t>
      </w: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rPr>
      </w:pPr>
      <w:r>
        <w:rPr>
          <w:rStyle w:val="9"/>
          <w:rFonts w:ascii="方正小标宋简体" w:hAnsi="方正小标宋简体" w:eastAsia="方正小标宋简体" w:cs="方正小标宋简体"/>
          <w:color w:val="000000"/>
          <w:sz w:val="44"/>
          <w:szCs w:val="44"/>
        </w:rPr>
        <w:t>2019</w:t>
      </w:r>
      <w:r>
        <w:rPr>
          <w:rStyle w:val="9"/>
          <w:rFonts w:hint="eastAsia" w:ascii="方正小标宋简体" w:hAnsi="方正小标宋简体" w:eastAsia="方正小标宋简体" w:cs="方正小标宋简体"/>
          <w:color w:val="000000"/>
          <w:sz w:val="44"/>
          <w:szCs w:val="44"/>
        </w:rPr>
        <w:t>年度部门决算</w:t>
      </w: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400" w:lineRule="exact"/>
        <w:ind w:firstLine="2570" w:firstLineChars="800"/>
        <w:rPr>
          <w:rFonts w:ascii="宋体" w:hAnsi="宋体" w:eastAsia="宋体" w:cs="宋体"/>
          <w:b/>
          <w:bCs/>
          <w:szCs w:val="32"/>
        </w:rPr>
      </w:pPr>
    </w:p>
    <w:p>
      <w:pPr>
        <w:spacing w:line="400" w:lineRule="exact"/>
        <w:ind w:firstLine="2570" w:firstLineChars="800"/>
        <w:rPr>
          <w:rFonts w:ascii="宋体" w:hAnsi="宋体" w:eastAsia="宋体" w:cs="宋体"/>
          <w:b/>
          <w:bCs/>
          <w:szCs w:val="32"/>
        </w:rPr>
      </w:pPr>
    </w:p>
    <w:p>
      <w:pPr>
        <w:spacing w:line="400" w:lineRule="exact"/>
        <w:ind w:firstLine="2088" w:firstLineChars="650"/>
        <w:rPr>
          <w:rFonts w:hint="eastAsia" w:ascii="宋体" w:hAnsi="宋体" w:eastAsia="宋体" w:cs="宋体"/>
          <w:b/>
          <w:bCs/>
          <w:szCs w:val="32"/>
        </w:rPr>
      </w:pPr>
    </w:p>
    <w:p>
      <w:pPr>
        <w:spacing w:line="400" w:lineRule="exact"/>
        <w:ind w:firstLine="2088" w:firstLineChars="650"/>
        <w:rPr>
          <w:rFonts w:hint="eastAsia" w:ascii="宋体" w:hAnsi="宋体" w:eastAsia="宋体" w:cs="宋体"/>
          <w:b/>
          <w:bCs/>
          <w:szCs w:val="32"/>
        </w:rPr>
      </w:pPr>
    </w:p>
    <w:p>
      <w:pPr>
        <w:spacing w:line="400" w:lineRule="exact"/>
        <w:ind w:firstLine="2088" w:firstLineChars="650"/>
        <w:rPr>
          <w:rFonts w:hint="eastAsia" w:ascii="宋体" w:hAnsi="宋体" w:eastAsia="宋体" w:cs="宋体"/>
          <w:b/>
          <w:bCs/>
          <w:szCs w:val="32"/>
        </w:rPr>
      </w:pPr>
    </w:p>
    <w:p>
      <w:pPr>
        <w:spacing w:line="400" w:lineRule="exact"/>
        <w:ind w:firstLine="2088" w:firstLineChars="650"/>
        <w:rPr>
          <w:rFonts w:hint="eastAsia" w:ascii="宋体" w:hAnsi="宋体" w:eastAsia="宋体" w:cs="宋体"/>
          <w:b/>
          <w:bCs/>
          <w:szCs w:val="32"/>
        </w:rPr>
      </w:pPr>
    </w:p>
    <w:p>
      <w:pPr>
        <w:spacing w:line="400" w:lineRule="exact"/>
        <w:ind w:firstLine="2088" w:firstLineChars="650"/>
        <w:rPr>
          <w:rFonts w:hint="eastAsia" w:ascii="宋体" w:hAnsi="宋体" w:eastAsia="宋体" w:cs="宋体"/>
          <w:b/>
          <w:bCs/>
          <w:szCs w:val="32"/>
        </w:rPr>
      </w:pPr>
    </w:p>
    <w:p>
      <w:pPr>
        <w:spacing w:line="400" w:lineRule="exact"/>
        <w:ind w:firstLine="2088" w:firstLineChars="650"/>
        <w:rPr>
          <w:rFonts w:hint="eastAsia" w:ascii="宋体" w:hAnsi="宋体" w:eastAsia="宋体" w:cs="宋体"/>
          <w:b/>
          <w:bCs/>
          <w:szCs w:val="32"/>
        </w:rPr>
      </w:pPr>
    </w:p>
    <w:p>
      <w:pPr>
        <w:spacing w:line="400" w:lineRule="exact"/>
        <w:ind w:firstLine="2088" w:firstLineChars="650"/>
        <w:rPr>
          <w:rFonts w:ascii="宋体" w:hAnsi="宋体" w:eastAsia="宋体" w:cs="宋体"/>
          <w:b/>
          <w:bCs/>
          <w:szCs w:val="32"/>
        </w:rPr>
      </w:pPr>
      <w:r>
        <w:rPr>
          <w:rFonts w:hint="eastAsia" w:ascii="宋体" w:hAnsi="宋体" w:eastAsia="宋体" w:cs="宋体"/>
          <w:b/>
          <w:bCs/>
          <w:szCs w:val="32"/>
        </w:rPr>
        <w:t>保密审查情况：</w:t>
      </w:r>
    </w:p>
    <w:p>
      <w:pPr>
        <w:spacing w:line="400" w:lineRule="exact"/>
        <w:jc w:val="center"/>
        <w:rPr>
          <w:rFonts w:ascii="宋体" w:hAnsi="宋体" w:eastAsia="宋体" w:cs="宋体"/>
          <w:b/>
          <w:bCs/>
          <w:szCs w:val="32"/>
        </w:rPr>
      </w:pPr>
    </w:p>
    <w:p>
      <w:pPr>
        <w:spacing w:line="400" w:lineRule="exact"/>
        <w:ind w:firstLine="2088" w:firstLineChars="650"/>
        <w:rPr>
          <w:rFonts w:ascii="宋体" w:eastAsia="宋体" w:cs="宋体"/>
          <w:b/>
          <w:bCs/>
          <w:szCs w:val="32"/>
        </w:rPr>
      </w:pPr>
      <w:r>
        <w:rPr>
          <w:rFonts w:hint="eastAsia" w:ascii="宋体" w:hAnsi="宋体" w:eastAsia="宋体" w:cs="宋体"/>
          <w:b/>
          <w:bCs/>
          <w:szCs w:val="32"/>
        </w:rPr>
        <w:t>部门主要负责人审签情况：</w:t>
      </w:r>
    </w:p>
    <w:p>
      <w:pPr>
        <w:jc w:val="center"/>
        <w:rPr>
          <w:rFonts w:ascii="黑体" w:hAnsi="宋体" w:eastAsia="黑体"/>
          <w:b/>
          <w:color w:val="000000"/>
          <w:kern w:val="0"/>
          <w:sz w:val="56"/>
          <w:szCs w:val="56"/>
        </w:rPr>
      </w:pPr>
    </w:p>
    <w:p>
      <w:pPr>
        <w:jc w:val="center"/>
        <w:rPr>
          <w:rFonts w:hint="eastAsia" w:ascii="黑体" w:hAnsi="宋体" w:eastAsia="黑体"/>
          <w:bCs/>
          <w:color w:val="000000"/>
          <w:kern w:val="0"/>
          <w:sz w:val="36"/>
          <w:szCs w:val="36"/>
        </w:rPr>
      </w:pPr>
    </w:p>
    <w:p>
      <w:pPr>
        <w:jc w:val="center"/>
        <w:rPr>
          <w:rFonts w:ascii="黑体" w:hAnsi="宋体" w:eastAsia="黑体"/>
          <w:bCs/>
          <w:color w:val="000000"/>
          <w:kern w:val="0"/>
          <w:sz w:val="36"/>
          <w:szCs w:val="36"/>
        </w:rPr>
      </w:pPr>
      <w:r>
        <w:rPr>
          <w:rFonts w:hint="eastAsia" w:ascii="黑体" w:hAnsi="宋体" w:eastAsia="黑体"/>
          <w:bCs/>
          <w:color w:val="000000"/>
          <w:kern w:val="0"/>
          <w:sz w:val="36"/>
          <w:szCs w:val="36"/>
        </w:rPr>
        <w:t>目录</w:t>
      </w:r>
    </w:p>
    <w:p>
      <w:pPr>
        <w:jc w:val="center"/>
        <w:rPr>
          <w:rFonts w:ascii="黑体" w:hAnsi="宋体" w:eastAsia="黑体"/>
          <w:bCs/>
          <w:color w:val="000000"/>
          <w:kern w:val="0"/>
          <w:sz w:val="36"/>
          <w:szCs w:val="36"/>
        </w:rPr>
      </w:pPr>
    </w:p>
    <w:p>
      <w:pPr>
        <w:widowControl/>
        <w:jc w:val="center"/>
      </w:pPr>
      <w:r>
        <w:rPr>
          <w:rFonts w:hint="eastAsia" w:ascii="黑体" w:hAnsi="宋体" w:eastAsia="黑体"/>
          <w:color w:val="000000"/>
          <w:kern w:val="0"/>
          <w:szCs w:val="32"/>
        </w:rPr>
        <w:t>第一部分</w:t>
      </w:r>
      <w:r>
        <w:rPr>
          <w:rFonts w:ascii="黑体" w:hAnsi="宋体" w:eastAsia="黑体"/>
          <w:color w:val="000000"/>
          <w:kern w:val="0"/>
          <w:szCs w:val="32"/>
        </w:rPr>
        <w:t xml:space="preserve"> </w:t>
      </w:r>
      <w:r>
        <w:rPr>
          <w:rFonts w:hint="eastAsia" w:ascii="黑体" w:hAnsi="宋体" w:eastAsia="黑体"/>
          <w:color w:val="000000"/>
          <w:kern w:val="0"/>
          <w:szCs w:val="32"/>
        </w:rPr>
        <w:t>部门概况</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jc w:val="center"/>
      </w:pPr>
      <w:r>
        <w:rPr>
          <w:rFonts w:hint="eastAsia" w:ascii="黑体" w:hAnsi="宋体" w:eastAsia="黑体"/>
          <w:color w:val="000000"/>
          <w:kern w:val="0"/>
          <w:szCs w:val="32"/>
        </w:rPr>
        <w:t>第二部分</w:t>
      </w:r>
      <w:r>
        <w:rPr>
          <w:rFonts w:ascii="黑体" w:hAnsi="宋体" w:eastAsia="黑体"/>
          <w:color w:val="000000"/>
          <w:kern w:val="0"/>
          <w:szCs w:val="32"/>
        </w:rPr>
        <w:t xml:space="preserve">  2019</w:t>
      </w:r>
      <w:r>
        <w:rPr>
          <w:rFonts w:hint="eastAsia" w:ascii="黑体" w:hAnsi="宋体" w:eastAsia="黑体"/>
          <w:color w:val="000000"/>
          <w:kern w:val="0"/>
          <w:szCs w:val="32"/>
        </w:rPr>
        <w:t>年度部门决算表</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二、收入决算总表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三、支出决算总表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四、财政拨款收入支出决算总表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六、一般公共预算财政拨款基本支出决算表</w:t>
      </w:r>
      <w:r>
        <w:rPr>
          <w:rFonts w:ascii="仿宋" w:hAnsi="仿宋" w:eastAsia="仿宋" w:cs="楷体"/>
          <w:color w:val="000000"/>
          <w:kern w:val="0"/>
          <w:szCs w:val="32"/>
        </w:rPr>
        <w:t xml:space="preserve">    </w:t>
      </w:r>
    </w:p>
    <w:p>
      <w:pPr>
        <w:widowControl/>
        <w:ind w:left="640" w:hanging="640" w:hangingChars="200"/>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widowControl/>
        <w:jc w:val="center"/>
      </w:pPr>
      <w:r>
        <w:rPr>
          <w:rFonts w:hint="eastAsia" w:ascii="黑体" w:hAnsi="宋体" w:eastAsia="黑体"/>
          <w:color w:val="000000"/>
          <w:kern w:val="0"/>
          <w:szCs w:val="32"/>
        </w:rPr>
        <w:t>第三部分</w:t>
      </w:r>
      <w:r>
        <w:rPr>
          <w:rFonts w:ascii="黑体" w:hAnsi="宋体" w:eastAsia="黑体"/>
          <w:color w:val="000000"/>
          <w:kern w:val="0"/>
          <w:szCs w:val="32"/>
        </w:rPr>
        <w:t xml:space="preserve"> 2019</w:t>
      </w:r>
      <w:r>
        <w:rPr>
          <w:rFonts w:hint="eastAsia" w:ascii="黑体" w:hAnsi="宋体" w:eastAsia="黑体"/>
          <w:color w:val="000000"/>
          <w:kern w:val="0"/>
          <w:szCs w:val="32"/>
        </w:rPr>
        <w:t>年度部门决算情况说明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widowControl/>
        <w:jc w:val="left"/>
        <w:rPr>
          <w:rFonts w:ascii="楷体" w:hAnsi="楷体" w:eastAsia="楷体" w:cs="楷体"/>
        </w:rPr>
      </w:pPr>
      <w:r>
        <w:rPr>
          <w:rFonts w:hint="eastAsia" w:ascii="仿宋" w:hAnsi="仿宋" w:eastAsia="仿宋" w:cs="楷体"/>
          <w:color w:val="000000"/>
          <w:kern w:val="0"/>
          <w:szCs w:val="32"/>
        </w:rPr>
        <w:t>四、财政拨款收入支出决算总体情况说明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（一）“三公”经费财政拨款支出决算总体情况说明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（二）“三公”经费财政拨款支出决算具体情况说明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（三）培训费支出情况说明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（四）会议费支出情况说明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十、预算绩效情况说明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（一）预算绩效管理工作开展情况说明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（二）部门决算中项目绩效自评结果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（三）部门决算中整体支出绩效自评结果</w:t>
      </w:r>
    </w:p>
    <w:p>
      <w:pPr>
        <w:widowControl/>
        <w:jc w:val="left"/>
        <w:rPr>
          <w:rFonts w:ascii="仿宋" w:hAnsi="仿宋" w:eastAsia="仿宋" w:cs="楷体"/>
          <w:color w:val="000000"/>
          <w:kern w:val="0"/>
          <w:szCs w:val="32"/>
        </w:rPr>
      </w:pPr>
      <w:r>
        <w:rPr>
          <w:rFonts w:ascii="仿宋" w:hAnsi="仿宋" w:eastAsia="仿宋" w:cs="楷体"/>
          <w:color w:val="000000"/>
          <w:kern w:val="0"/>
          <w:szCs w:val="32"/>
        </w:rPr>
        <w:t xml:space="preserve"> </w:t>
      </w:r>
      <w:r>
        <w:rPr>
          <w:rFonts w:hint="eastAsia" w:ascii="仿宋" w:hAnsi="仿宋" w:eastAsia="仿宋" w:cs="楷体"/>
          <w:color w:val="000000"/>
          <w:kern w:val="0"/>
          <w:szCs w:val="32"/>
        </w:rPr>
        <w:t>十一、其他重要事项说明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（一）机关运行经费支出情况说明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（二）政府采购支出情况说明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（三）国有资产占用及购置情况说明</w:t>
      </w:r>
    </w:p>
    <w:p>
      <w:pPr>
        <w:jc w:val="center"/>
        <w:rPr>
          <w:rFonts w:ascii="黑体" w:hAnsi="宋体" w:eastAsia="黑体"/>
          <w:color w:val="000000"/>
          <w:kern w:val="0"/>
          <w:szCs w:val="32"/>
        </w:rPr>
      </w:pPr>
      <w:r>
        <w:rPr>
          <w:rFonts w:hint="eastAsia" w:ascii="黑体" w:hAnsi="宋体" w:eastAsia="黑体"/>
          <w:color w:val="000000"/>
          <w:kern w:val="0"/>
          <w:szCs w:val="32"/>
        </w:rPr>
        <w:t>第四部分</w:t>
      </w:r>
      <w:r>
        <w:rPr>
          <w:rFonts w:ascii="黑体" w:hAnsi="宋体" w:eastAsia="黑体"/>
          <w:color w:val="000000"/>
          <w:kern w:val="0"/>
          <w:szCs w:val="32"/>
        </w:rPr>
        <w:t xml:space="preserve"> </w:t>
      </w:r>
      <w:r>
        <w:rPr>
          <w:rFonts w:hint="eastAsia" w:ascii="黑体" w:hAnsi="宋体" w:eastAsia="黑体"/>
          <w:color w:val="000000"/>
          <w:kern w:val="0"/>
          <w:szCs w:val="32"/>
        </w:rPr>
        <w:t>专业名词解释</w:t>
      </w:r>
    </w:p>
    <w:p>
      <w:pPr>
        <w:rPr>
          <w:rFonts w:ascii="黑体" w:hAnsi="宋体" w:eastAsia="黑体"/>
          <w:color w:val="000000"/>
          <w:kern w:val="0"/>
          <w:szCs w:val="32"/>
        </w:rPr>
      </w:pPr>
    </w:p>
    <w:p>
      <w:pPr>
        <w:rPr>
          <w:rFonts w:ascii="黑体" w:hAnsi="宋体" w:eastAsia="黑体"/>
          <w:color w:val="000000"/>
          <w:kern w:val="0"/>
          <w:szCs w:val="32"/>
        </w:rPr>
      </w:pPr>
    </w:p>
    <w:p>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rPr>
        <w:t>部门概况</w:t>
      </w:r>
    </w:p>
    <w:p>
      <w:pPr>
        <w:spacing w:line="560" w:lineRule="exact"/>
        <w:ind w:firstLine="723" w:firstLineChars="200"/>
        <w:jc w:val="center"/>
        <w:rPr>
          <w:rFonts w:ascii="宋体" w:hAnsi="宋体" w:eastAsia="宋体" w:cs="宋体"/>
          <w:b/>
          <w:color w:val="000000"/>
          <w:kern w:val="0"/>
          <w:sz w:val="36"/>
          <w:szCs w:val="36"/>
        </w:rPr>
      </w:pPr>
      <w:r>
        <w:rPr>
          <w:rFonts w:hint="eastAsia" w:ascii="宋体" w:hAnsi="宋体" w:eastAsia="宋体" w:cs="宋体"/>
          <w:b/>
          <w:color w:val="000000"/>
          <w:kern w:val="0"/>
          <w:sz w:val="36"/>
          <w:szCs w:val="36"/>
        </w:rPr>
        <w:t>西安市阎良区社区卫生服务指导中心</w:t>
      </w:r>
    </w:p>
    <w:p>
      <w:pPr>
        <w:spacing w:line="560" w:lineRule="exact"/>
        <w:ind w:firstLine="723" w:firstLineChars="200"/>
        <w:jc w:val="center"/>
        <w:rPr>
          <w:rFonts w:ascii="宋体" w:hAnsi="宋体" w:eastAsia="宋体"/>
          <w:b/>
          <w:color w:val="000000"/>
          <w:kern w:val="0"/>
          <w:sz w:val="36"/>
          <w:szCs w:val="36"/>
        </w:rPr>
      </w:pPr>
      <w:r>
        <w:rPr>
          <w:rFonts w:ascii="宋体" w:hAnsi="宋体" w:eastAsia="宋体" w:cs="宋体"/>
          <w:b/>
          <w:color w:val="000000"/>
          <w:kern w:val="0"/>
          <w:sz w:val="36"/>
          <w:szCs w:val="36"/>
        </w:rPr>
        <w:t>2019</w:t>
      </w:r>
      <w:r>
        <w:rPr>
          <w:rFonts w:hint="eastAsia" w:ascii="宋体" w:hAnsi="宋体" w:eastAsia="宋体" w:cs="宋体"/>
          <w:b/>
          <w:color w:val="000000"/>
          <w:kern w:val="0"/>
          <w:sz w:val="36"/>
          <w:szCs w:val="36"/>
        </w:rPr>
        <w:t>年度部门决算公开说明</w:t>
      </w:r>
    </w:p>
    <w:p>
      <w:pPr>
        <w:pStyle w:val="5"/>
        <w:spacing w:before="0" w:beforeAutospacing="0" w:after="0" w:afterAutospacing="0" w:line="560" w:lineRule="exact"/>
        <w:ind w:firstLine="640" w:firstLineChars="200"/>
        <w:rPr>
          <w:rFonts w:ascii="黑体" w:hAnsi="Times New Roman" w:eastAsia="黑体" w:cs="楷体"/>
          <w:bCs/>
          <w:color w:val="000000"/>
          <w:sz w:val="32"/>
          <w:szCs w:val="32"/>
        </w:rPr>
      </w:pPr>
      <w:r>
        <w:rPr>
          <w:rFonts w:hint="eastAsia" w:ascii="黑体" w:hAnsi="Times New Roman" w:eastAsia="黑体" w:cs="楷体"/>
          <w:bCs/>
          <w:color w:val="000000"/>
          <w:sz w:val="32"/>
          <w:szCs w:val="32"/>
        </w:rPr>
        <w:t>一、部门主要职责及内设机构</w:t>
      </w:r>
    </w:p>
    <w:p>
      <w:pPr>
        <w:widowControl/>
        <w:spacing w:line="560" w:lineRule="exact"/>
        <w:ind w:firstLine="643" w:firstLineChars="200"/>
        <w:jc w:val="left"/>
        <w:rPr>
          <w:rFonts w:ascii="楷体" w:hAnsi="楷体" w:eastAsia="楷体" w:cs="楷体"/>
          <w:b/>
          <w:bCs/>
          <w:color w:val="000000"/>
          <w:kern w:val="0"/>
          <w:szCs w:val="32"/>
        </w:rPr>
      </w:pPr>
      <w:r>
        <w:rPr>
          <w:rFonts w:hint="eastAsia" w:ascii="楷体" w:hAnsi="楷体" w:eastAsia="楷体" w:cs="楷体"/>
          <w:b/>
          <w:bCs/>
          <w:color w:val="000000"/>
          <w:kern w:val="0"/>
          <w:szCs w:val="32"/>
        </w:rPr>
        <w:t>（一）主要职责</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西安市阎良区</w:t>
      </w:r>
      <w:r>
        <w:rPr>
          <w:rFonts w:ascii="仿宋_GB2312" w:hAnsi="仿宋" w:eastAsia="仿宋_GB2312"/>
          <w:sz w:val="32"/>
          <w:szCs w:val="32"/>
        </w:rPr>
        <w:t>社区卫生服务指导中心在市、区卫生行政部门的领导下，按照本区社区卫生服务发展规划，对社区卫生服务机构统一进行考核、审验登记和监督，提供政策咨询宣传和技术指导服务，指导全区社区卫生服务</w:t>
      </w:r>
      <w:r>
        <w:rPr>
          <w:rFonts w:hint="eastAsia" w:ascii="仿宋_GB2312" w:hAnsi="仿宋" w:eastAsia="仿宋_GB2312"/>
          <w:sz w:val="32"/>
          <w:szCs w:val="32"/>
        </w:rPr>
        <w:t>机构</w:t>
      </w:r>
      <w:r>
        <w:rPr>
          <w:rFonts w:ascii="仿宋_GB2312" w:hAnsi="仿宋" w:eastAsia="仿宋_GB2312"/>
          <w:sz w:val="32"/>
          <w:szCs w:val="32"/>
        </w:rPr>
        <w:t>开展社区卫生服务工作。</w:t>
      </w:r>
    </w:p>
    <w:p>
      <w:pPr>
        <w:widowControl/>
        <w:spacing w:line="560" w:lineRule="exact"/>
        <w:jc w:val="left"/>
        <w:rPr>
          <w:rFonts w:ascii="楷体" w:hAnsi="楷体" w:eastAsia="楷体" w:cs="楷体"/>
          <w:b/>
          <w:bCs/>
          <w:color w:val="000000"/>
          <w:kern w:val="0"/>
          <w:szCs w:val="32"/>
        </w:rPr>
      </w:pPr>
      <w:r>
        <w:rPr>
          <w:rFonts w:hint="eastAsia" w:ascii="楷体" w:hAnsi="楷体" w:eastAsia="楷体" w:cs="楷体"/>
          <w:b/>
          <w:bCs/>
          <w:color w:val="000000"/>
          <w:kern w:val="0"/>
          <w:szCs w:val="32"/>
        </w:rPr>
        <w:t>（二）内设机构</w:t>
      </w:r>
    </w:p>
    <w:p>
      <w:pPr>
        <w:autoSpaceDE w:val="0"/>
        <w:autoSpaceDN w:val="0"/>
        <w:spacing w:line="520" w:lineRule="exact"/>
        <w:ind w:firstLine="562"/>
        <w:jc w:val="left"/>
        <w:rPr>
          <w:rFonts w:hint="eastAsia" w:ascii="仿宋_GB2312" w:hAnsi="仿宋_GB2312" w:eastAsia="仿宋_GB2312" w:cs="仿宋_GB2312"/>
          <w:bCs/>
          <w:kern w:val="0"/>
          <w:szCs w:val="32"/>
        </w:rPr>
      </w:pPr>
      <w:r>
        <w:rPr>
          <w:rFonts w:hint="eastAsia" w:ascii="仿宋_GB2312" w:hAnsi="仿宋_GB2312" w:eastAsia="仿宋_GB2312" w:cs="仿宋_GB2312"/>
          <w:bCs/>
          <w:kern w:val="0"/>
          <w:szCs w:val="32"/>
          <w:lang w:val="zh-CN"/>
        </w:rPr>
        <w:t>本部门共有机构数</w:t>
      </w:r>
      <w:r>
        <w:rPr>
          <w:rFonts w:hint="eastAsia" w:ascii="仿宋_GB2312" w:hAnsi="仿宋_GB2312" w:eastAsia="仿宋_GB2312" w:cs="仿宋_GB2312"/>
          <w:bCs/>
          <w:szCs w:val="32"/>
        </w:rPr>
        <w:t>1</w:t>
      </w:r>
      <w:r>
        <w:rPr>
          <w:rFonts w:hint="eastAsia" w:ascii="仿宋_GB2312" w:hAnsi="仿宋_GB2312" w:eastAsia="仿宋_GB2312" w:cs="仿宋_GB2312"/>
          <w:bCs/>
          <w:kern w:val="0"/>
          <w:szCs w:val="32"/>
          <w:lang w:val="zh-CN"/>
        </w:rPr>
        <w:t>个，属于全额预算单位。</w:t>
      </w:r>
    </w:p>
    <w:p>
      <w:pPr>
        <w:widowControl/>
        <w:spacing w:line="560" w:lineRule="exact"/>
        <w:jc w:val="left"/>
      </w:pPr>
      <w:r>
        <w:rPr>
          <w:rFonts w:hint="eastAsia" w:ascii="黑体" w:hAnsi="宋体" w:eastAsia="黑体"/>
          <w:color w:val="000000"/>
          <w:kern w:val="0"/>
          <w:szCs w:val="32"/>
        </w:rPr>
        <w:t>二、部门决算单位构成</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示例：纳入</w:t>
      </w:r>
      <w:r>
        <w:rPr>
          <w:rFonts w:ascii="仿宋_GB2312" w:hAnsi="仿宋_GB2312" w:eastAsia="仿宋_GB2312" w:cs="仿宋_GB2312"/>
          <w:szCs w:val="32"/>
        </w:rPr>
        <w:t>2019</w:t>
      </w:r>
      <w:r>
        <w:rPr>
          <w:rFonts w:hint="eastAsia" w:ascii="仿宋_GB2312" w:hAnsi="仿宋_GB2312" w:eastAsia="仿宋_GB2312" w:cs="仿宋_GB2312"/>
          <w:szCs w:val="32"/>
        </w:rPr>
        <w:t>年度本部门决算编制范围的单位共</w:t>
      </w:r>
      <w:r>
        <w:rPr>
          <w:rFonts w:ascii="仿宋_GB2312" w:hAnsi="仿宋_GB2312" w:eastAsia="仿宋_GB2312" w:cs="仿宋_GB2312"/>
          <w:szCs w:val="32"/>
        </w:rPr>
        <w:t>1</w:t>
      </w:r>
      <w:r>
        <w:rPr>
          <w:rFonts w:hint="eastAsia" w:ascii="仿宋_GB2312" w:hAnsi="仿宋_GB2312" w:eastAsia="仿宋_GB2312" w:cs="仿宋_GB2312"/>
          <w:szCs w:val="32"/>
        </w:rPr>
        <w:t>个：</w:t>
      </w:r>
    </w:p>
    <w:tbl>
      <w:tblPr>
        <w:tblStyle w:val="6"/>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黑体" w:hAnsi="黑体" w:eastAsia="黑体"/>
                <w:szCs w:val="32"/>
              </w:rPr>
            </w:pPr>
            <w:r>
              <w:rPr>
                <w:rFonts w:hint="eastAsia" w:ascii="黑体" w:hAnsi="黑体" w:eastAsia="黑体"/>
                <w:szCs w:val="32"/>
              </w:rPr>
              <w:t>序号</w:t>
            </w:r>
          </w:p>
        </w:tc>
        <w:tc>
          <w:tcPr>
            <w:tcW w:w="7278" w:type="dxa"/>
            <w:vAlign w:val="center"/>
          </w:tcPr>
          <w:p>
            <w:pPr>
              <w:jc w:val="center"/>
              <w:rPr>
                <w:rFonts w:ascii="黑体" w:hAnsi="黑体" w:eastAsia="黑体"/>
                <w:szCs w:val="32"/>
              </w:rPr>
            </w:pPr>
            <w:r>
              <w:rPr>
                <w:rFonts w:hint="eastAsia" w:ascii="黑体" w:hAnsi="黑体" w:eastAsia="黑体"/>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Cs w:val="32"/>
              </w:rPr>
            </w:pPr>
            <w:r>
              <w:rPr>
                <w:rFonts w:ascii="仿宋_GB2312" w:hAnsi="仿宋_GB2312" w:eastAsia="仿宋_GB2312" w:cs="仿宋_GB2312"/>
                <w:szCs w:val="32"/>
              </w:rPr>
              <w:t>1</w:t>
            </w:r>
          </w:p>
        </w:tc>
        <w:tc>
          <w:tcPr>
            <w:tcW w:w="7278" w:type="dxa"/>
            <w:vAlign w:val="center"/>
          </w:tcPr>
          <w:p>
            <w:pPr>
              <w:jc w:val="center"/>
              <w:rPr>
                <w:rFonts w:ascii="仿宋_GB2312" w:hAnsi="仿宋_GB2312" w:eastAsia="仿宋_GB2312" w:cs="仿宋_GB2312"/>
                <w:szCs w:val="32"/>
              </w:rPr>
            </w:pPr>
            <w:r>
              <w:rPr>
                <w:rFonts w:hint="eastAsia" w:ascii="宋体" w:hAnsi="宋体" w:eastAsia="宋体" w:cs="宋体"/>
                <w:b/>
                <w:color w:val="000000"/>
                <w:kern w:val="0"/>
                <w:sz w:val="36"/>
                <w:szCs w:val="36"/>
              </w:rPr>
              <w:t>西安市阎良区社区卫生服务指导中心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Cs w:val="32"/>
              </w:rPr>
            </w:pPr>
            <w:r>
              <w:rPr>
                <w:rFonts w:ascii="仿宋_GB2312" w:hAnsi="仿宋_GB2312" w:eastAsia="仿宋_GB2312" w:cs="仿宋_GB2312"/>
                <w:szCs w:val="32"/>
              </w:rPr>
              <w:t>2</w:t>
            </w:r>
          </w:p>
        </w:tc>
        <w:tc>
          <w:tcPr>
            <w:tcW w:w="7278"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Cs w:val="32"/>
              </w:rPr>
            </w:pPr>
            <w:r>
              <w:rPr>
                <w:rFonts w:ascii="仿宋_GB2312" w:hAnsi="仿宋_GB2312" w:eastAsia="仿宋_GB2312" w:cs="仿宋_GB2312"/>
                <w:szCs w:val="32"/>
              </w:rPr>
              <w:t>3</w:t>
            </w:r>
          </w:p>
        </w:tc>
        <w:tc>
          <w:tcPr>
            <w:tcW w:w="7278"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681"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w:t>
            </w:r>
          </w:p>
        </w:tc>
        <w:tc>
          <w:tcPr>
            <w:tcW w:w="7278"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w:t>
            </w:r>
          </w:p>
        </w:tc>
      </w:tr>
    </w:tbl>
    <w:p>
      <w:pPr>
        <w:ind w:firstLine="640"/>
        <w:rPr>
          <w:rFonts w:hint="eastAsia" w:ascii="黑体" w:hAnsi="黑体" w:eastAsia="黑体"/>
          <w:b/>
          <w:bCs/>
          <w:szCs w:val="32"/>
        </w:rPr>
      </w:pPr>
    </w:p>
    <w:p>
      <w:pPr>
        <w:ind w:firstLine="640"/>
        <w:rPr>
          <w:rFonts w:ascii="黑体" w:hAnsi="黑体" w:eastAsia="黑体"/>
          <w:b/>
          <w:bCs/>
          <w:szCs w:val="32"/>
        </w:rPr>
      </w:pPr>
      <w:r>
        <w:rPr>
          <w:rFonts w:hint="eastAsia" w:ascii="黑体" w:hAnsi="黑体" w:eastAsia="黑体"/>
          <w:b/>
          <w:bCs/>
          <w:szCs w:val="32"/>
        </w:rPr>
        <w:t>三、部门人员情况</w:t>
      </w:r>
    </w:p>
    <w:p>
      <w:pPr>
        <w:snapToGrid w:val="0"/>
        <w:spacing w:line="588" w:lineRule="exact"/>
        <w:ind w:firstLine="640" w:firstLineChars="200"/>
        <w:rPr>
          <w:rFonts w:hint="eastAsia" w:ascii="仿宋_GB2312" w:hAnsi="仿宋" w:eastAsia="仿宋_GB2312"/>
          <w:sz w:val="32"/>
          <w:szCs w:val="32"/>
        </w:rPr>
      </w:pPr>
      <w:r>
        <w:rPr>
          <w:rFonts w:hint="eastAsia" w:ascii="仿宋_GB2312" w:hAnsi="仿宋_GB2312" w:eastAsia="仿宋_GB2312" w:cs="仿宋_GB2312"/>
          <w:szCs w:val="32"/>
        </w:rPr>
        <w:t>截止</w:t>
      </w:r>
      <w:r>
        <w:rPr>
          <w:rFonts w:ascii="仿宋_GB2312" w:hAnsi="仿宋_GB2312" w:eastAsia="仿宋_GB2312" w:cs="仿宋_GB2312"/>
          <w:szCs w:val="32"/>
        </w:rPr>
        <w:t>2019</w:t>
      </w:r>
      <w:r>
        <w:rPr>
          <w:rFonts w:hint="eastAsia" w:ascii="仿宋_GB2312" w:hAnsi="仿宋_GB2312" w:eastAsia="仿宋_GB2312" w:cs="仿宋_GB2312"/>
          <w:szCs w:val="32"/>
        </w:rPr>
        <w:t>年底，</w:t>
      </w:r>
      <w:r>
        <w:rPr>
          <w:rFonts w:hint="eastAsia" w:ascii="仿宋_GB2312" w:hAnsi="仿宋" w:eastAsia="仿宋_GB2312"/>
          <w:sz w:val="32"/>
          <w:szCs w:val="32"/>
        </w:rPr>
        <w:t>我中心全额事业单位，编制</w:t>
      </w:r>
      <w:r>
        <w:rPr>
          <w:rFonts w:hint="eastAsia" w:ascii="仿宋_GB2312" w:hAnsi="仿宋" w:eastAsia="仿宋_GB2312"/>
          <w:sz w:val="32"/>
          <w:szCs w:val="32"/>
          <w:lang w:val="en-US" w:eastAsia="zh-CN"/>
        </w:rPr>
        <w:t>7</w:t>
      </w:r>
      <w:r>
        <w:rPr>
          <w:rFonts w:hint="eastAsia" w:ascii="仿宋_GB2312" w:hAnsi="仿宋" w:eastAsia="仿宋_GB2312"/>
          <w:sz w:val="32"/>
          <w:szCs w:val="32"/>
        </w:rPr>
        <w:t>人，年末在编在职</w:t>
      </w:r>
      <w:r>
        <w:rPr>
          <w:rFonts w:hint="eastAsia" w:ascii="仿宋_GB2312" w:hAnsi="仿宋" w:eastAsia="仿宋_GB2312"/>
          <w:sz w:val="32"/>
          <w:szCs w:val="32"/>
          <w:lang w:val="en-US" w:eastAsia="zh-CN"/>
        </w:rPr>
        <w:t>3，</w:t>
      </w:r>
      <w:r>
        <w:rPr>
          <w:rFonts w:hint="eastAsia" w:ascii="仿宋_GB2312" w:hAnsi="仿宋" w:eastAsia="仿宋_GB2312"/>
          <w:sz w:val="32"/>
          <w:szCs w:val="32"/>
        </w:rPr>
        <w:t>决算报表中201</w:t>
      </w:r>
      <w:r>
        <w:rPr>
          <w:rFonts w:hint="eastAsia" w:ascii="仿宋_GB2312" w:hAnsi="仿宋" w:eastAsia="仿宋_GB2312"/>
          <w:sz w:val="32"/>
          <w:szCs w:val="32"/>
          <w:lang w:val="en-US" w:eastAsia="zh-CN"/>
        </w:rPr>
        <w:t>9</w:t>
      </w:r>
      <w:r>
        <w:rPr>
          <w:rFonts w:hint="eastAsia" w:ascii="仿宋_GB2312" w:hAnsi="仿宋" w:eastAsia="仿宋_GB2312"/>
          <w:sz w:val="32"/>
          <w:szCs w:val="32"/>
        </w:rPr>
        <w:t>年年末实有人数为</w:t>
      </w:r>
      <w:r>
        <w:rPr>
          <w:rFonts w:hint="eastAsia" w:ascii="仿宋_GB2312" w:hAnsi="仿宋" w:eastAsia="仿宋_GB2312"/>
          <w:sz w:val="32"/>
          <w:szCs w:val="32"/>
          <w:lang w:val="en-US" w:eastAsia="zh-CN"/>
        </w:rPr>
        <w:t>3</w:t>
      </w:r>
      <w:r>
        <w:rPr>
          <w:rFonts w:hint="eastAsia" w:ascii="仿宋_GB2312" w:hAnsi="仿宋" w:eastAsia="仿宋_GB2312"/>
          <w:sz w:val="32"/>
          <w:szCs w:val="32"/>
        </w:rPr>
        <w:t>人，</w:t>
      </w:r>
      <w:r>
        <w:rPr>
          <w:rFonts w:hint="eastAsia" w:ascii="仿宋_GB2312" w:hAnsi="仿宋" w:eastAsia="仿宋_GB2312"/>
          <w:sz w:val="32"/>
          <w:szCs w:val="32"/>
          <w:lang w:val="en-US" w:eastAsia="zh-CN"/>
        </w:rPr>
        <w:t>2019年决算报表编制人数比2018年增加3人，根据区编办文件2019年决算报表编制人数增加3人。</w:t>
      </w:r>
    </w:p>
    <w:p>
      <w:pPr>
        <w:widowControl/>
        <w:jc w:val="center"/>
        <w:rPr>
          <w:sz w:val="44"/>
          <w:szCs w:val="44"/>
        </w:rPr>
      </w:pPr>
      <w:r>
        <w:rPr>
          <w:rFonts w:hint="eastAsia" w:ascii="黑体" w:hAnsi="宋体" w:eastAsia="黑体"/>
          <w:color w:val="000000"/>
          <w:kern w:val="0"/>
          <w:sz w:val="44"/>
          <w:szCs w:val="44"/>
        </w:rPr>
        <w:t>第二部分</w:t>
      </w:r>
      <w:r>
        <w:rPr>
          <w:rFonts w:ascii="黑体" w:hAnsi="宋体" w:eastAsia="黑体"/>
          <w:color w:val="000000"/>
          <w:kern w:val="0"/>
          <w:sz w:val="44"/>
          <w:szCs w:val="44"/>
        </w:rPr>
        <w:t xml:space="preserve"> 2019</w:t>
      </w:r>
      <w:r>
        <w:rPr>
          <w:rFonts w:hint="eastAsia" w:ascii="黑体" w:hAnsi="宋体" w:eastAsia="黑体"/>
          <w:color w:val="000000"/>
          <w:kern w:val="0"/>
          <w:sz w:val="44"/>
          <w:szCs w:val="44"/>
        </w:rPr>
        <w:t>年度部门决算表</w:t>
      </w:r>
    </w:p>
    <w:tbl>
      <w:tblPr>
        <w:tblStyle w:val="6"/>
        <w:tblpPr w:leftFromText="180" w:rightFromText="180" w:vertAnchor="text" w:horzAnchor="page" w:tblpX="1508" w:tblpY="1123"/>
        <w:tblOverlap w:val="never"/>
        <w:tblW w:w="9210" w:type="dxa"/>
        <w:tblInd w:w="0" w:type="dxa"/>
        <w:tblLayout w:type="fixed"/>
        <w:tblCellMar>
          <w:top w:w="0" w:type="dxa"/>
          <w:left w:w="0" w:type="dxa"/>
          <w:bottom w:w="0" w:type="dxa"/>
          <w:right w:w="0" w:type="dxa"/>
        </w:tblCellMar>
      </w:tblPr>
      <w:tblGrid>
        <w:gridCol w:w="570"/>
        <w:gridCol w:w="6240"/>
        <w:gridCol w:w="660"/>
        <w:gridCol w:w="1740"/>
      </w:tblGrid>
      <w:tr>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1</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收入支出决算总表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2</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收入决算表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3</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支出决算表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4</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5</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rPr>
                <w:rFonts w:ascii="宋体" w:eastAsia="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6</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一般公共预算财政拨款基本支出决算表</w:t>
            </w:r>
            <w:r>
              <w:rPr>
                <w:rFonts w:ascii="宋体" w:hAnsi="宋体" w:cs="宋体"/>
                <w:color w:val="000000"/>
                <w:kern w:val="0"/>
                <w:sz w:val="21"/>
                <w:szCs w:val="21"/>
              </w:rPr>
              <w:t xml:space="preserve"> </w:t>
            </w:r>
            <w:r>
              <w:rPr>
                <w:rFonts w:hint="eastAsia" w:ascii="宋体" w:hAnsi="宋体" w:cs="宋体"/>
                <w:color w:val="000000"/>
                <w:kern w:val="0"/>
                <w:sz w:val="21"/>
                <w:szCs w:val="21"/>
              </w:rPr>
              <w:t>（按经济分类科目）</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1043" w:hRule="exact"/>
        </w:trPr>
        <w:tc>
          <w:tcPr>
            <w:tcW w:w="57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7</w:t>
            </w:r>
          </w:p>
        </w:tc>
        <w:tc>
          <w:tcPr>
            <w:tcW w:w="624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left"/>
              <w:textAlignment w:val="center"/>
              <w:rPr>
                <w:rFonts w:ascii="宋体" w:eastAsia="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宋体" w:eastAsia="宋体" w:cs="宋体"/>
                <w:color w:val="000000"/>
                <w:sz w:val="24"/>
                <w:lang w:eastAsia="zh-CN"/>
              </w:rPr>
            </w:pPr>
            <w:r>
              <w:rPr>
                <w:rFonts w:hint="eastAsia" w:ascii="宋体" w:eastAsia="宋体" w:cs="宋体"/>
                <w:color w:val="000000"/>
                <w:sz w:val="24"/>
                <w:lang w:eastAsia="zh-CN"/>
              </w:rPr>
              <w:t>否</w:t>
            </w:r>
          </w:p>
        </w:tc>
        <w:tc>
          <w:tcPr>
            <w:tcW w:w="174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1209"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8</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政府性基金预算财政拨款收入支出</w:t>
            </w:r>
          </w:p>
          <w:p>
            <w:pPr>
              <w:widowControl/>
              <w:jc w:val="left"/>
              <w:rPr>
                <w:rFonts w:ascii="宋体" w:eastAsia="宋体" w:cs="宋体"/>
                <w:color w:val="000000"/>
                <w:sz w:val="21"/>
                <w:szCs w:val="21"/>
              </w:rPr>
            </w:pPr>
            <w:r>
              <w:rPr>
                <w:rFonts w:hint="eastAsia" w:ascii="宋体" w:hAnsi="宋体" w:cs="宋体"/>
                <w:color w:val="000000"/>
                <w:kern w:val="0"/>
                <w:sz w:val="21"/>
                <w:szCs w:val="21"/>
              </w:rPr>
              <w:t>决算表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是</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本部门无政府性基金预算财政拨款</w:t>
            </w:r>
          </w:p>
        </w:tc>
      </w:tr>
    </w:tbl>
    <w:p>
      <w:pPr>
        <w:widowControl/>
        <w:rPr>
          <w:rFonts w:ascii="黑体" w:hAnsi="宋体" w:eastAsia="黑体"/>
          <w:color w:val="000000"/>
          <w:kern w:val="0"/>
          <w:sz w:val="44"/>
          <w:szCs w:val="44"/>
        </w:rPr>
      </w:pPr>
    </w:p>
    <w:p>
      <w:pPr>
        <w:widowControl/>
        <w:rPr>
          <w:rFonts w:ascii="黑体" w:hAnsi="宋体" w:eastAsia="黑体"/>
          <w:color w:val="000000"/>
          <w:kern w:val="0"/>
          <w:sz w:val="44"/>
          <w:szCs w:val="44"/>
        </w:rPr>
      </w:pPr>
    </w:p>
    <w:p>
      <w:pPr>
        <w:widowControl/>
        <w:jc w:val="center"/>
        <w:textAlignment w:val="center"/>
        <w:rPr>
          <w:rFonts w:ascii="宋体" w:eastAsia="宋体" w:cs="宋体"/>
          <w:b/>
          <w:color w:val="000000"/>
          <w:kern w:val="0"/>
          <w:sz w:val="40"/>
          <w:szCs w:val="40"/>
        </w:rPr>
      </w:pPr>
      <w:r>
        <w:rPr>
          <w:rFonts w:ascii="宋体" w:eastAsia="宋体" w:cs="宋体"/>
          <w:b/>
          <w:color w:val="000000"/>
          <w:kern w:val="0"/>
          <w:sz w:val="40"/>
          <w:szCs w:val="40"/>
        </w:rPr>
        <w:br w:type="page"/>
      </w:r>
    </w:p>
    <w:p>
      <w:pPr>
        <w:jc w:val="center"/>
        <w:rPr>
          <w:rFonts w:ascii="宋体" w:hAnsi="宋体" w:eastAsia="宋体" w:cs="宋体"/>
          <w:b/>
          <w:bCs/>
          <w:szCs w:val="32"/>
        </w:rPr>
      </w:pPr>
      <w:r>
        <w:rPr>
          <w:rFonts w:hint="eastAsia" w:ascii="宋体" w:hAnsi="宋体" w:eastAsia="宋体" w:cs="宋体"/>
          <w:b/>
          <w:bCs/>
          <w:szCs w:val="32"/>
        </w:rPr>
        <w:t>收入支出决算总表</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01</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ascii="宋体" w:hAnsi="宋体" w:eastAsia="宋体" w:cs="宋体"/>
          <w:b/>
          <w:bCs/>
          <w:sz w:val="21"/>
          <w:szCs w:val="21"/>
        </w:rPr>
        <w:t xml:space="preserve"> </w:t>
      </w:r>
      <w:r>
        <w:rPr>
          <w:rFonts w:hint="eastAsia" w:ascii="宋体" w:hAnsi="宋体" w:eastAsia="宋体" w:cs="宋体"/>
          <w:b/>
          <w:bCs/>
          <w:sz w:val="21"/>
          <w:szCs w:val="21"/>
        </w:rPr>
        <w:t>西安市阎良区</w:t>
      </w:r>
      <w:r>
        <w:rPr>
          <w:rFonts w:hint="eastAsia" w:ascii="宋体" w:hAnsi="宋体" w:eastAsia="宋体" w:cs="宋体"/>
          <w:b/>
          <w:bCs/>
          <w:sz w:val="21"/>
          <w:szCs w:val="21"/>
          <w:lang w:eastAsia="zh-CN"/>
        </w:rPr>
        <w:t>社区卫生服务指导中心</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1</w:t>
            </w:r>
            <w:r>
              <w:rPr>
                <w:rFonts w:hint="eastAsia" w:ascii="宋体" w:hAnsi="宋体" w:eastAsia="宋体" w:cs="宋体"/>
                <w:color w:val="000000"/>
                <w:kern w:val="0"/>
                <w:sz w:val="20"/>
              </w:rPr>
              <w:t>、一般公共预算财政拨款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54.16</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w:t>
            </w:r>
            <w:r>
              <w:rPr>
                <w:rFonts w:hint="eastAsia" w:ascii="宋体" w:hAnsi="宋体" w:eastAsia="宋体" w:cs="宋体"/>
                <w:color w:val="000000"/>
                <w:kern w:val="0"/>
                <w:sz w:val="21"/>
                <w:szCs w:val="21"/>
              </w:rPr>
              <w:t>、一般公共服务支出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2</w:t>
            </w:r>
            <w:r>
              <w:rPr>
                <w:rFonts w:hint="eastAsia" w:ascii="宋体" w:hAnsi="宋体" w:eastAsia="宋体" w:cs="宋体"/>
                <w:color w:val="000000"/>
                <w:kern w:val="0"/>
                <w:sz w:val="20"/>
              </w:rPr>
              <w:t>、政府性基金预算财政拨款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2</w:t>
            </w:r>
            <w:r>
              <w:rPr>
                <w:rFonts w:hint="eastAsia" w:ascii="宋体" w:hAnsi="宋体" w:eastAsia="宋体" w:cs="宋体"/>
                <w:color w:val="000000"/>
                <w:kern w:val="0"/>
                <w:sz w:val="21"/>
                <w:szCs w:val="21"/>
              </w:rPr>
              <w:t>、外交支出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3</w:t>
            </w:r>
            <w:r>
              <w:rPr>
                <w:rFonts w:hint="eastAsia" w:ascii="宋体" w:hAnsi="宋体" w:eastAsia="宋体" w:cs="宋体"/>
                <w:color w:val="000000"/>
                <w:kern w:val="0"/>
                <w:sz w:val="20"/>
              </w:rPr>
              <w:t>、国有资本经营预算财政拨款</w:t>
            </w:r>
            <w:r>
              <w:rPr>
                <w:rFonts w:ascii="宋体" w:hAnsi="宋体" w:eastAsia="宋体" w:cs="宋体"/>
                <w:color w:val="000000"/>
                <w:kern w:val="0"/>
                <w:sz w:val="20"/>
              </w:rPr>
              <w:t xml:space="preserve"> </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3</w:t>
            </w:r>
            <w:r>
              <w:rPr>
                <w:rFonts w:hint="eastAsia" w:ascii="宋体" w:hAnsi="宋体" w:eastAsia="宋体" w:cs="宋体"/>
                <w:color w:val="000000"/>
                <w:kern w:val="0"/>
                <w:sz w:val="21"/>
                <w:szCs w:val="21"/>
              </w:rPr>
              <w:t>、国防支出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4</w:t>
            </w:r>
            <w:r>
              <w:rPr>
                <w:rFonts w:hint="eastAsia" w:ascii="宋体" w:hAnsi="宋体" w:eastAsia="宋体" w:cs="宋体"/>
                <w:color w:val="000000"/>
                <w:kern w:val="0"/>
                <w:sz w:val="20"/>
              </w:rPr>
              <w:t>、上级补助收入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4</w:t>
            </w:r>
            <w:r>
              <w:rPr>
                <w:rFonts w:hint="eastAsia" w:ascii="宋体" w:hAnsi="宋体" w:eastAsia="宋体" w:cs="宋体"/>
                <w:color w:val="000000"/>
                <w:kern w:val="0"/>
                <w:sz w:val="21"/>
                <w:szCs w:val="21"/>
              </w:rPr>
              <w:t>、公共安全支出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5</w:t>
            </w:r>
            <w:r>
              <w:rPr>
                <w:rFonts w:hint="eastAsia" w:ascii="宋体" w:hAnsi="宋体" w:eastAsia="宋体" w:cs="宋体"/>
                <w:color w:val="000000"/>
                <w:kern w:val="0"/>
                <w:sz w:val="20"/>
              </w:rPr>
              <w:t>、事业收入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5</w:t>
            </w:r>
            <w:r>
              <w:rPr>
                <w:rFonts w:hint="eastAsia" w:ascii="宋体" w:hAnsi="宋体" w:eastAsia="宋体" w:cs="宋体"/>
                <w:color w:val="000000"/>
                <w:kern w:val="0"/>
                <w:sz w:val="21"/>
                <w:szCs w:val="21"/>
              </w:rPr>
              <w:t>、教育支出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6</w:t>
            </w:r>
            <w:r>
              <w:rPr>
                <w:rFonts w:hint="eastAsia" w:ascii="宋体" w:hAnsi="宋体" w:eastAsia="宋体" w:cs="宋体"/>
                <w:color w:val="000000"/>
                <w:kern w:val="0"/>
                <w:sz w:val="20"/>
              </w:rPr>
              <w:t>、经营收入</w:t>
            </w: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6</w:t>
            </w:r>
            <w:r>
              <w:rPr>
                <w:rFonts w:hint="eastAsia" w:ascii="宋体" w:hAnsi="宋体" w:eastAsia="宋体" w:cs="宋体"/>
                <w:color w:val="000000"/>
                <w:kern w:val="0"/>
                <w:sz w:val="21"/>
                <w:szCs w:val="21"/>
              </w:rPr>
              <w:t>、科学技术支出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7</w:t>
            </w:r>
            <w:r>
              <w:rPr>
                <w:rFonts w:hint="eastAsia" w:ascii="宋体" w:hAnsi="宋体" w:eastAsia="宋体" w:cs="宋体"/>
                <w:color w:val="000000"/>
                <w:kern w:val="0"/>
                <w:sz w:val="20"/>
              </w:rPr>
              <w:t>、附属单位上缴收入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7</w:t>
            </w:r>
            <w:r>
              <w:rPr>
                <w:rFonts w:hint="eastAsia" w:ascii="宋体" w:hAnsi="宋体" w:eastAsia="宋体" w:cs="宋体"/>
                <w:color w:val="000000"/>
                <w:kern w:val="0"/>
                <w:sz w:val="21"/>
                <w:szCs w:val="21"/>
              </w:rPr>
              <w:t>、文化旅游体育与传媒支出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8</w:t>
            </w:r>
            <w:r>
              <w:rPr>
                <w:rFonts w:hint="eastAsia" w:ascii="宋体" w:hAnsi="宋体" w:eastAsia="宋体" w:cs="宋体"/>
                <w:color w:val="000000"/>
                <w:kern w:val="0"/>
                <w:sz w:val="20"/>
              </w:rPr>
              <w:t>、其他收入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8</w:t>
            </w:r>
            <w:r>
              <w:rPr>
                <w:rFonts w:hint="eastAsia" w:ascii="宋体" w:hAnsi="宋体" w:eastAsia="宋体" w:cs="宋体"/>
                <w:color w:val="000000"/>
                <w:kern w:val="0"/>
                <w:sz w:val="21"/>
                <w:szCs w:val="21"/>
              </w:rPr>
              <w:t>、社会保障和就业支出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3.85</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9</w:t>
            </w:r>
            <w:r>
              <w:rPr>
                <w:rFonts w:hint="eastAsia" w:ascii="宋体" w:hAnsi="宋体" w:eastAsia="宋体" w:cs="宋体"/>
                <w:color w:val="000000"/>
                <w:kern w:val="0"/>
                <w:sz w:val="21"/>
                <w:szCs w:val="21"/>
              </w:rPr>
              <w:t>、卫生健康支出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50.3</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10</w:t>
            </w:r>
            <w:r>
              <w:rPr>
                <w:rFonts w:hint="eastAsia" w:ascii="宋体" w:hAnsi="宋体" w:eastAsia="宋体" w:cs="宋体"/>
                <w:color w:val="000000"/>
                <w:kern w:val="0"/>
                <w:sz w:val="21"/>
                <w:szCs w:val="21"/>
              </w:rPr>
              <w:t>、节能环保支出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11</w:t>
            </w:r>
            <w:r>
              <w:rPr>
                <w:rFonts w:hint="eastAsia" w:ascii="宋体" w:hAnsi="宋体" w:eastAsia="宋体" w:cs="宋体"/>
                <w:color w:val="000000"/>
                <w:kern w:val="0"/>
                <w:sz w:val="21"/>
                <w:szCs w:val="21"/>
              </w:rPr>
              <w:t>、城乡社区支出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12</w:t>
            </w:r>
            <w:r>
              <w:rPr>
                <w:rFonts w:hint="eastAsia" w:ascii="宋体" w:hAnsi="宋体" w:eastAsia="宋体" w:cs="宋体"/>
                <w:color w:val="000000"/>
                <w:kern w:val="0"/>
                <w:sz w:val="21"/>
                <w:szCs w:val="21"/>
              </w:rPr>
              <w:t>、农林水支出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13</w:t>
            </w:r>
            <w:r>
              <w:rPr>
                <w:rFonts w:hint="eastAsia" w:ascii="宋体" w:hAnsi="宋体" w:eastAsia="宋体" w:cs="宋体"/>
                <w:color w:val="000000"/>
                <w:kern w:val="0"/>
                <w:sz w:val="21"/>
                <w:szCs w:val="21"/>
              </w:rPr>
              <w:t>、交通运输支出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14</w:t>
            </w:r>
            <w:r>
              <w:rPr>
                <w:rFonts w:hint="eastAsia" w:ascii="宋体" w:hAnsi="宋体" w:eastAsia="宋体" w:cs="宋体"/>
                <w:color w:val="000000"/>
                <w:kern w:val="0"/>
                <w:sz w:val="21"/>
                <w:szCs w:val="21"/>
              </w:rPr>
              <w:t>、资源勘探信息等支出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15</w:t>
            </w:r>
            <w:r>
              <w:rPr>
                <w:rFonts w:hint="eastAsia" w:ascii="宋体" w:hAnsi="宋体" w:eastAsia="宋体" w:cs="宋体"/>
                <w:color w:val="000000"/>
                <w:kern w:val="0"/>
                <w:sz w:val="21"/>
                <w:szCs w:val="21"/>
              </w:rPr>
              <w:t>、商业服务业等支出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16</w:t>
            </w:r>
            <w:r>
              <w:rPr>
                <w:rFonts w:hint="eastAsia" w:ascii="宋体" w:hAnsi="宋体" w:eastAsia="宋体" w:cs="宋体"/>
                <w:color w:val="000000"/>
                <w:kern w:val="0"/>
                <w:sz w:val="21"/>
                <w:szCs w:val="21"/>
              </w:rPr>
              <w:t>、金融支出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17</w:t>
            </w:r>
            <w:r>
              <w:rPr>
                <w:rFonts w:hint="eastAsia" w:ascii="宋体" w:hAnsi="宋体" w:eastAsia="宋体" w:cs="宋体"/>
                <w:color w:val="000000"/>
                <w:kern w:val="0"/>
                <w:sz w:val="21"/>
                <w:szCs w:val="21"/>
              </w:rPr>
              <w:t>、援助其他地区支出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18</w:t>
            </w:r>
            <w:r>
              <w:rPr>
                <w:rFonts w:hint="eastAsia" w:ascii="宋体" w:hAnsi="宋体" w:eastAsia="宋体" w:cs="宋体"/>
                <w:color w:val="000000"/>
                <w:kern w:val="0"/>
                <w:sz w:val="21"/>
                <w:szCs w:val="21"/>
              </w:rPr>
              <w:t>、自然资源海洋气象等支出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19</w:t>
            </w:r>
            <w:r>
              <w:rPr>
                <w:rFonts w:hint="eastAsia" w:ascii="宋体" w:hAnsi="宋体" w:eastAsia="宋体" w:cs="宋体"/>
                <w:color w:val="000000"/>
                <w:kern w:val="0"/>
                <w:sz w:val="21"/>
                <w:szCs w:val="21"/>
              </w:rPr>
              <w:t>、住房保障支出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20</w:t>
            </w:r>
            <w:r>
              <w:rPr>
                <w:rFonts w:hint="eastAsia" w:ascii="宋体" w:hAnsi="宋体" w:eastAsia="宋体" w:cs="宋体"/>
                <w:color w:val="000000"/>
                <w:kern w:val="0"/>
                <w:sz w:val="21"/>
                <w:szCs w:val="21"/>
              </w:rPr>
              <w:t>、粮油物资储备支出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21</w:t>
            </w:r>
            <w:r>
              <w:rPr>
                <w:rFonts w:hint="eastAsia" w:ascii="宋体" w:hAnsi="宋体" w:eastAsia="宋体" w:cs="宋体"/>
                <w:color w:val="000000"/>
                <w:kern w:val="0"/>
                <w:sz w:val="21"/>
                <w:szCs w:val="21"/>
              </w:rPr>
              <w:t>、灾害防治及应急管理支出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ascii="宋体" w:hAnsi="宋体" w:eastAsia="宋体" w:cs="宋体"/>
                <w:color w:val="000000"/>
                <w:kern w:val="0"/>
                <w:sz w:val="21"/>
                <w:szCs w:val="21"/>
              </w:rPr>
              <w:t>22</w:t>
            </w:r>
            <w:r>
              <w:rPr>
                <w:rFonts w:hint="eastAsia" w:ascii="宋体" w:hAnsi="宋体" w:eastAsia="宋体" w:cs="宋体"/>
                <w:color w:val="000000"/>
                <w:kern w:val="0"/>
                <w:sz w:val="21"/>
                <w:szCs w:val="21"/>
              </w:rPr>
              <w:t>、其他支出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54.16</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54.16</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用事业基金弥补收支差额</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结余分配</w:t>
            </w:r>
            <w:r>
              <w:rPr>
                <w:rFonts w:ascii="宋体" w:hAnsi="宋体" w:eastAsia="宋体" w:cs="宋体"/>
                <w:bCs/>
                <w:color w:val="000000"/>
                <w:kern w:val="0"/>
                <w:sz w:val="21"/>
                <w:szCs w:val="21"/>
              </w:rPr>
              <w:t xml:space="preserve"> </w:t>
            </w:r>
          </w:p>
        </w:tc>
        <w:tc>
          <w:tcPr>
            <w:tcW w:w="1326" w:type="dxa"/>
            <w:tcBorders>
              <w:top w:val="single" w:color="000000" w:sz="4" w:space="0"/>
              <w:left w:val="single" w:color="000000" w:sz="4" w:space="0"/>
              <w:bottom w:val="single" w:color="000000" w:sz="4" w:space="0"/>
              <w:right w:val="single" w:color="000000" w:sz="4" w:space="0"/>
            </w:tcBorders>
            <w:vAlign w:val="bottom"/>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54.16</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54.16</w:t>
            </w:r>
          </w:p>
        </w:tc>
      </w:tr>
    </w:tbl>
    <w:p>
      <w:pPr>
        <w:widowControl/>
        <w:ind w:left="42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收入决算表</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02</w:t>
      </w:r>
      <w:r>
        <w:rPr>
          <w:rFonts w:hint="eastAsia" w:ascii="宋体" w:hAnsi="宋体" w:eastAsia="宋体" w:cs="宋体"/>
          <w:b/>
          <w:bCs/>
          <w:sz w:val="21"/>
          <w:szCs w:val="21"/>
        </w:rPr>
        <w:t>表</w:t>
      </w:r>
    </w:p>
    <w:p>
      <w:pPr>
        <w:rPr>
          <w:rFonts w:ascii="宋体" w:hAnsi="宋体" w:eastAsia="宋体" w:cs="宋体"/>
          <w:b/>
          <w:bCs/>
          <w:sz w:val="48"/>
          <w:szCs w:val="48"/>
        </w:rPr>
      </w:pPr>
      <w:r>
        <w:rPr>
          <w:rFonts w:hint="eastAsia" w:ascii="宋体" w:hAnsi="宋体" w:eastAsia="宋体" w:cs="宋体"/>
          <w:b/>
          <w:bCs/>
          <w:sz w:val="21"/>
          <w:szCs w:val="21"/>
        </w:rPr>
        <w:t>编制部门：</w:t>
      </w:r>
      <w:r>
        <w:rPr>
          <w:rFonts w:ascii="宋体" w:hAnsi="宋体" w:eastAsia="宋体" w:cs="宋体"/>
          <w:b/>
          <w:bCs/>
          <w:sz w:val="21"/>
          <w:szCs w:val="21"/>
        </w:rPr>
        <w:t xml:space="preserve"> </w:t>
      </w:r>
      <w:r>
        <w:rPr>
          <w:rFonts w:hint="eastAsia" w:ascii="宋体" w:hAnsi="宋体" w:eastAsia="宋体" w:cs="宋体"/>
          <w:b/>
          <w:bCs/>
          <w:sz w:val="21"/>
          <w:szCs w:val="21"/>
        </w:rPr>
        <w:t>西安市阎良区</w:t>
      </w:r>
      <w:r>
        <w:rPr>
          <w:rFonts w:hint="eastAsia" w:ascii="宋体" w:hAnsi="宋体" w:eastAsia="宋体" w:cs="宋体"/>
          <w:b/>
          <w:bCs/>
          <w:sz w:val="21"/>
          <w:szCs w:val="21"/>
          <w:lang w:eastAsia="zh-CN"/>
        </w:rPr>
        <w:t>社区卫生服务指导中心</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9752" w:type="dxa"/>
        <w:tblInd w:w="15" w:type="dxa"/>
        <w:tblLayout w:type="fixed"/>
        <w:tblCellMar>
          <w:top w:w="15" w:type="dxa"/>
          <w:left w:w="15" w:type="dxa"/>
          <w:bottom w:w="15" w:type="dxa"/>
          <w:right w:w="15" w:type="dxa"/>
        </w:tblCellMar>
      </w:tblPr>
      <w:tblGrid>
        <w:gridCol w:w="912"/>
        <w:gridCol w:w="1248"/>
        <w:gridCol w:w="720"/>
        <w:gridCol w:w="720"/>
        <w:gridCol w:w="900"/>
        <w:gridCol w:w="900"/>
        <w:gridCol w:w="900"/>
        <w:gridCol w:w="720"/>
        <w:gridCol w:w="932"/>
        <w:gridCol w:w="990"/>
        <w:gridCol w:w="810"/>
      </w:tblGrid>
      <w:tr>
        <w:tblPrEx>
          <w:tblCellMar>
            <w:top w:w="15" w:type="dxa"/>
            <w:left w:w="15" w:type="dxa"/>
            <w:bottom w:w="15" w:type="dxa"/>
            <w:right w:w="15" w:type="dxa"/>
          </w:tblCellMar>
        </w:tblPrEx>
        <w:trPr>
          <w:trHeight w:val="439" w:hRule="atLeast"/>
        </w:trPr>
        <w:tc>
          <w:tcPr>
            <w:tcW w:w="21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21"/>
                <w:szCs w:val="21"/>
              </w:rPr>
            </w:pPr>
          </w:p>
        </w:tc>
        <w:tc>
          <w:tcPr>
            <w:tcW w:w="9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1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93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CellMar>
            <w:top w:w="15" w:type="dxa"/>
            <w:left w:w="15" w:type="dxa"/>
            <w:bottom w:w="15" w:type="dxa"/>
            <w:right w:w="15" w:type="dxa"/>
          </w:tblCellMar>
        </w:tblPrEx>
        <w:trPr>
          <w:trHeight w:val="1125" w:hRule="atLeast"/>
        </w:trPr>
        <w:tc>
          <w:tcPr>
            <w:tcW w:w="912"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24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其中：教育</w:t>
            </w:r>
          </w:p>
          <w:p>
            <w:pPr>
              <w:rPr>
                <w:rFonts w:ascii="宋体" w:hAnsi="宋体" w:eastAsia="宋体" w:cs="宋体"/>
                <w:b/>
                <w:color w:val="000000"/>
                <w:sz w:val="21"/>
                <w:szCs w:val="21"/>
              </w:rPr>
            </w:pPr>
            <w:r>
              <w:rPr>
                <w:rFonts w:hint="eastAsia" w:ascii="宋体" w:hAnsi="宋体" w:eastAsia="宋体" w:cs="宋体"/>
                <w:b/>
                <w:color w:val="000000"/>
                <w:sz w:val="21"/>
                <w:szCs w:val="21"/>
              </w:rPr>
              <w:t>收费</w:t>
            </w:r>
          </w:p>
        </w:tc>
        <w:tc>
          <w:tcPr>
            <w:tcW w:w="9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609" w:hRule="atLeast"/>
        </w:trPr>
        <w:tc>
          <w:tcPr>
            <w:tcW w:w="21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54.16</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54.16</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12"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w:t>
            </w:r>
          </w:p>
        </w:tc>
        <w:tc>
          <w:tcPr>
            <w:tcW w:w="124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社会保障和就业支出</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3.85</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3.85</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12"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20805</w:t>
            </w:r>
          </w:p>
        </w:tc>
        <w:tc>
          <w:tcPr>
            <w:tcW w:w="124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行政事业单位离退休</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3.85</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3.85</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12"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2080505</w:t>
            </w:r>
          </w:p>
        </w:tc>
        <w:tc>
          <w:tcPr>
            <w:tcW w:w="124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机关事业单位基本养老保险缴费支出</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3.85</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3.85</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12"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w:t>
            </w:r>
          </w:p>
        </w:tc>
        <w:tc>
          <w:tcPr>
            <w:tcW w:w="124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卫生健康支出</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50.31</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50.31</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12"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21001</w:t>
            </w:r>
          </w:p>
        </w:tc>
        <w:tc>
          <w:tcPr>
            <w:tcW w:w="124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卫生健康管理事务</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2.03</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2.03</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12"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2100199</w:t>
            </w:r>
          </w:p>
        </w:tc>
        <w:tc>
          <w:tcPr>
            <w:tcW w:w="124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其他卫生健康管理事务支出</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2.03</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2.03</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12"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21003</w:t>
            </w:r>
          </w:p>
        </w:tc>
        <w:tc>
          <w:tcPr>
            <w:tcW w:w="124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基层医疗卫生机构</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45.37</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45.37</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12"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2100301</w:t>
            </w:r>
          </w:p>
        </w:tc>
        <w:tc>
          <w:tcPr>
            <w:tcW w:w="124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城市社区卫生机构</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45.37</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45.37</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12"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21004</w:t>
            </w:r>
          </w:p>
        </w:tc>
        <w:tc>
          <w:tcPr>
            <w:tcW w:w="124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公共卫生</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1.9</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1.9</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12"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2100404</w:t>
            </w:r>
          </w:p>
        </w:tc>
        <w:tc>
          <w:tcPr>
            <w:tcW w:w="124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精神卫生机构</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1.9</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1.9</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12"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21011</w:t>
            </w:r>
          </w:p>
        </w:tc>
        <w:tc>
          <w:tcPr>
            <w:tcW w:w="124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行政事业单位医疗</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1.01</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1.01</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12"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2101102</w:t>
            </w:r>
          </w:p>
        </w:tc>
        <w:tc>
          <w:tcPr>
            <w:tcW w:w="124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事业单位医疗</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1.01</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1.01</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1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
      <w:pPr>
        <w:jc w:val="center"/>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03</w:t>
      </w:r>
      <w:r>
        <w:rPr>
          <w:rFonts w:hint="eastAsia" w:ascii="宋体" w:hAnsi="宋体" w:eastAsia="宋体" w:cs="宋体"/>
          <w:b/>
          <w:bCs/>
          <w:sz w:val="21"/>
          <w:szCs w:val="21"/>
        </w:rPr>
        <w:t>表</w:t>
      </w:r>
    </w:p>
    <w:p>
      <w:pPr>
        <w:rPr>
          <w:rFonts w:ascii="宋体" w:hAnsi="宋体" w:eastAsia="宋体" w:cs="宋体"/>
          <w:b/>
          <w:bCs/>
          <w:sz w:val="48"/>
          <w:szCs w:val="48"/>
        </w:rPr>
      </w:pPr>
      <w:r>
        <w:rPr>
          <w:rFonts w:hint="eastAsia" w:ascii="宋体" w:hAnsi="宋体" w:eastAsia="宋体" w:cs="宋体"/>
          <w:b/>
          <w:bCs/>
          <w:sz w:val="21"/>
          <w:szCs w:val="21"/>
        </w:rPr>
        <w:t>编制部门：西安市阎良区</w:t>
      </w:r>
      <w:r>
        <w:rPr>
          <w:rFonts w:hint="eastAsia" w:ascii="宋体" w:hAnsi="宋体" w:eastAsia="宋体" w:cs="宋体"/>
          <w:b/>
          <w:bCs/>
          <w:sz w:val="21"/>
          <w:szCs w:val="21"/>
          <w:lang w:eastAsia="zh-CN"/>
        </w:rPr>
        <w:t>社区卫生服务指导中心</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96" w:type="dxa"/>
        <w:tblInd w:w="0" w:type="dxa"/>
        <w:tblLayout w:type="fixed"/>
        <w:tblCellMar>
          <w:top w:w="15" w:type="dxa"/>
          <w:left w:w="15" w:type="dxa"/>
          <w:bottom w:w="15" w:type="dxa"/>
          <w:right w:w="15" w:type="dxa"/>
        </w:tblCellMar>
      </w:tblPr>
      <w:tblGrid>
        <w:gridCol w:w="914"/>
        <w:gridCol w:w="83"/>
        <w:gridCol w:w="1538"/>
        <w:gridCol w:w="936"/>
        <w:gridCol w:w="986"/>
        <w:gridCol w:w="1077"/>
        <w:gridCol w:w="1109"/>
        <w:gridCol w:w="908"/>
        <w:gridCol w:w="1345"/>
      </w:tblGrid>
      <w:tr>
        <w:tblPrEx>
          <w:tblCellMar>
            <w:top w:w="15" w:type="dxa"/>
            <w:left w:w="15" w:type="dxa"/>
            <w:bottom w:w="15" w:type="dxa"/>
            <w:right w:w="15" w:type="dxa"/>
          </w:tblCellMar>
        </w:tblPrEx>
        <w:trPr>
          <w:trHeight w:val="372" w:hRule="atLeast"/>
        </w:trPr>
        <w:tc>
          <w:tcPr>
            <w:tcW w:w="253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93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7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9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13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9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2" w:hRule="atLeast"/>
        </w:trPr>
        <w:tc>
          <w:tcPr>
            <w:tcW w:w="253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54.16</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49.41</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4.74</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w:t>
            </w:r>
          </w:p>
        </w:tc>
        <w:tc>
          <w:tcPr>
            <w:tcW w:w="1621"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社会保障和就业支出</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3.85</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3.85</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20805</w:t>
            </w:r>
          </w:p>
        </w:tc>
        <w:tc>
          <w:tcPr>
            <w:tcW w:w="1621"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行政事业单位离退休</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3.85</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3.85</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2080505</w:t>
            </w:r>
          </w:p>
        </w:tc>
        <w:tc>
          <w:tcPr>
            <w:tcW w:w="1621"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机关事业单位基本养老保险缴费支出</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3.85</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3.85</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w:t>
            </w:r>
          </w:p>
        </w:tc>
        <w:tc>
          <w:tcPr>
            <w:tcW w:w="1621"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卫生健康支出</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50.31</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45.56</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4.75</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21001</w:t>
            </w:r>
          </w:p>
        </w:tc>
        <w:tc>
          <w:tcPr>
            <w:tcW w:w="1621"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卫生健康管理事务</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2.03</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2.03</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2100199</w:t>
            </w:r>
          </w:p>
        </w:tc>
        <w:tc>
          <w:tcPr>
            <w:tcW w:w="1621"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其他卫生健康管理事务支出</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2.03</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2.03</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21003</w:t>
            </w:r>
          </w:p>
        </w:tc>
        <w:tc>
          <w:tcPr>
            <w:tcW w:w="1621"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基层医疗卫生机构</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45.37</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42.52</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2.85</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2100301</w:t>
            </w:r>
          </w:p>
        </w:tc>
        <w:tc>
          <w:tcPr>
            <w:tcW w:w="1621"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城市社区卫生机构</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45.37</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42.52</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2.85</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21004</w:t>
            </w:r>
          </w:p>
        </w:tc>
        <w:tc>
          <w:tcPr>
            <w:tcW w:w="1621"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公共卫生</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1.9</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1.9</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2100404</w:t>
            </w:r>
          </w:p>
        </w:tc>
        <w:tc>
          <w:tcPr>
            <w:tcW w:w="1621"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精神卫生机构</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1.9</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1.9</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21011</w:t>
            </w:r>
          </w:p>
        </w:tc>
        <w:tc>
          <w:tcPr>
            <w:tcW w:w="1621"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行政事业单位医疗</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1.01</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1.01</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2101102</w:t>
            </w:r>
          </w:p>
        </w:tc>
        <w:tc>
          <w:tcPr>
            <w:tcW w:w="1621"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事业单位医疗</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1.01</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1.01</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21"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21"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jc w:val="left"/>
        <w:rPr>
          <w:rFonts w:eastAsia="宋体" w:cs="黑体"/>
          <w:sz w:val="21"/>
          <w:szCs w:val="24"/>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04</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编制部门：西安市阎良区</w:t>
      </w:r>
      <w:r>
        <w:rPr>
          <w:rFonts w:hint="eastAsia" w:ascii="宋体" w:hAnsi="宋体" w:eastAsia="宋体" w:cs="宋体"/>
          <w:b/>
          <w:bCs/>
          <w:sz w:val="21"/>
          <w:szCs w:val="21"/>
          <w:lang w:eastAsia="zh-CN"/>
        </w:rPr>
        <w:t>社区卫生服务指导中心</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700" w:type="dxa"/>
        <w:tblInd w:w="0" w:type="dxa"/>
        <w:tblLayout w:type="fixed"/>
        <w:tblCellMar>
          <w:top w:w="15" w:type="dxa"/>
          <w:left w:w="15" w:type="dxa"/>
          <w:bottom w:w="15" w:type="dxa"/>
          <w:right w:w="15" w:type="dxa"/>
        </w:tblCellMar>
      </w:tblPr>
      <w:tblGrid>
        <w:gridCol w:w="1705"/>
        <w:gridCol w:w="1072"/>
        <w:gridCol w:w="2703"/>
        <w:gridCol w:w="1134"/>
        <w:gridCol w:w="1102"/>
        <w:gridCol w:w="984"/>
      </w:tblGrid>
      <w:tr>
        <w:tblPrEx>
          <w:tblCellMar>
            <w:top w:w="15" w:type="dxa"/>
            <w:left w:w="15" w:type="dxa"/>
            <w:bottom w:w="15" w:type="dxa"/>
            <w:right w:w="15" w:type="dxa"/>
          </w:tblCellMar>
        </w:tblPrEx>
        <w:trPr>
          <w:trHeight w:val="367" w:hRule="atLeast"/>
        </w:trPr>
        <w:tc>
          <w:tcPr>
            <w:tcW w:w="27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92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102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1</w:t>
            </w:r>
            <w:r>
              <w:rPr>
                <w:rFonts w:hint="eastAsia" w:ascii="宋体" w:hAnsi="宋体" w:eastAsia="宋体" w:cs="宋体"/>
                <w:color w:val="000000"/>
                <w:kern w:val="0"/>
                <w:sz w:val="21"/>
                <w:szCs w:val="21"/>
              </w:rPr>
              <w:t>、一般公共预算财政拨款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54.1</w:t>
            </w:r>
            <w:r>
              <w:rPr>
                <w:rFonts w:ascii="宋体" w:hAnsi="宋体" w:eastAsia="宋体" w:cs="宋体"/>
                <w:color w:val="000000"/>
                <w:sz w:val="21"/>
                <w:szCs w:val="21"/>
              </w:rPr>
              <w:t>6</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w:t>
            </w:r>
            <w:r>
              <w:rPr>
                <w:rFonts w:hint="eastAsia" w:ascii="宋体" w:hAnsi="宋体" w:eastAsia="宋体" w:cs="宋体"/>
                <w:color w:val="000000"/>
                <w:kern w:val="0"/>
                <w:sz w:val="21"/>
                <w:szCs w:val="21"/>
              </w:rPr>
              <w:t>、一般公共服务支出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2</w:t>
            </w:r>
            <w:r>
              <w:rPr>
                <w:rFonts w:hint="eastAsia" w:ascii="宋体" w:hAnsi="宋体" w:eastAsia="宋体" w:cs="宋体"/>
                <w:color w:val="000000"/>
                <w:kern w:val="0"/>
                <w:sz w:val="21"/>
                <w:szCs w:val="21"/>
              </w:rPr>
              <w:t>、政府性基金预算财政拨款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0.00</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2</w:t>
            </w:r>
            <w:r>
              <w:rPr>
                <w:rFonts w:hint="eastAsia" w:ascii="宋体" w:hAnsi="宋体" w:eastAsia="宋体" w:cs="宋体"/>
                <w:color w:val="000000"/>
                <w:kern w:val="0"/>
                <w:sz w:val="21"/>
                <w:szCs w:val="21"/>
              </w:rPr>
              <w:t>、外交支出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sz w:val="21"/>
                <w:szCs w:val="21"/>
              </w:rPr>
              <w:t>3</w:t>
            </w:r>
            <w:r>
              <w:rPr>
                <w:rFonts w:hint="eastAsia" w:ascii="宋体" w:hAnsi="宋体" w:eastAsia="宋体" w:cs="宋体"/>
                <w:color w:val="000000"/>
                <w:sz w:val="21"/>
                <w:szCs w:val="21"/>
              </w:rPr>
              <w:t>、国有资本经营预算收入</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0.00</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3</w:t>
            </w:r>
            <w:r>
              <w:rPr>
                <w:rFonts w:hint="eastAsia" w:ascii="宋体" w:hAnsi="宋体" w:eastAsia="宋体" w:cs="宋体"/>
                <w:color w:val="000000"/>
                <w:kern w:val="0"/>
                <w:sz w:val="21"/>
                <w:szCs w:val="21"/>
              </w:rPr>
              <w:t>、国防支出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4</w:t>
            </w:r>
            <w:r>
              <w:rPr>
                <w:rFonts w:hint="eastAsia" w:ascii="宋体" w:hAnsi="宋体" w:eastAsia="宋体" w:cs="宋体"/>
                <w:color w:val="000000"/>
                <w:kern w:val="0"/>
                <w:sz w:val="21"/>
                <w:szCs w:val="21"/>
              </w:rPr>
              <w:t>、公共安全支出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5</w:t>
            </w:r>
            <w:r>
              <w:rPr>
                <w:rFonts w:hint="eastAsia" w:ascii="宋体" w:hAnsi="宋体" w:eastAsia="宋体" w:cs="宋体"/>
                <w:color w:val="000000"/>
                <w:kern w:val="0"/>
                <w:sz w:val="21"/>
                <w:szCs w:val="21"/>
              </w:rPr>
              <w:t>、教育支出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6</w:t>
            </w:r>
            <w:r>
              <w:rPr>
                <w:rFonts w:hint="eastAsia" w:ascii="宋体" w:hAnsi="宋体" w:eastAsia="宋体" w:cs="宋体"/>
                <w:color w:val="000000"/>
                <w:kern w:val="0"/>
                <w:sz w:val="21"/>
                <w:szCs w:val="21"/>
              </w:rPr>
              <w:t>、科学技术支出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7</w:t>
            </w:r>
            <w:r>
              <w:rPr>
                <w:rFonts w:hint="eastAsia" w:ascii="宋体" w:hAnsi="宋体" w:eastAsia="宋体" w:cs="宋体"/>
                <w:color w:val="000000"/>
                <w:kern w:val="0"/>
                <w:sz w:val="21"/>
                <w:szCs w:val="21"/>
              </w:rPr>
              <w:t>、</w:t>
            </w:r>
            <w:r>
              <w:rPr>
                <w:rFonts w:hint="eastAsia" w:ascii="宋体" w:hAnsi="宋体" w:eastAsia="宋体" w:cs="宋体"/>
                <w:color w:val="000000"/>
                <w:spacing w:val="-11"/>
                <w:w w:val="98"/>
                <w:kern w:val="0"/>
                <w:sz w:val="21"/>
                <w:szCs w:val="21"/>
              </w:rPr>
              <w:t>文化旅游体育与传媒支出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8</w:t>
            </w:r>
            <w:r>
              <w:rPr>
                <w:rFonts w:hint="eastAsia" w:ascii="宋体" w:hAnsi="宋体" w:eastAsia="宋体" w:cs="宋体"/>
                <w:color w:val="000000"/>
                <w:kern w:val="0"/>
                <w:sz w:val="21"/>
                <w:szCs w:val="21"/>
              </w:rPr>
              <w:t>、社会保障和就业支出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3.85</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3.85</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9</w:t>
            </w:r>
            <w:r>
              <w:rPr>
                <w:rFonts w:hint="eastAsia" w:ascii="宋体" w:hAnsi="宋体" w:eastAsia="宋体" w:cs="宋体"/>
                <w:color w:val="000000"/>
                <w:kern w:val="0"/>
                <w:sz w:val="21"/>
                <w:szCs w:val="21"/>
              </w:rPr>
              <w:t>、卫生健康支出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50.3</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50.3</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10</w:t>
            </w:r>
            <w:r>
              <w:rPr>
                <w:rFonts w:hint="eastAsia" w:ascii="宋体" w:hAnsi="宋体" w:eastAsia="宋体" w:cs="宋体"/>
                <w:color w:val="000000"/>
                <w:kern w:val="0"/>
                <w:sz w:val="21"/>
                <w:szCs w:val="21"/>
              </w:rPr>
              <w:t>、节能环保支出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11</w:t>
            </w:r>
            <w:r>
              <w:rPr>
                <w:rFonts w:hint="eastAsia" w:ascii="宋体" w:hAnsi="宋体" w:eastAsia="宋体" w:cs="宋体"/>
                <w:color w:val="000000"/>
                <w:kern w:val="0"/>
                <w:sz w:val="21"/>
                <w:szCs w:val="21"/>
              </w:rPr>
              <w:t>、城乡社区支出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12</w:t>
            </w:r>
            <w:r>
              <w:rPr>
                <w:rFonts w:hint="eastAsia" w:ascii="宋体" w:hAnsi="宋体" w:eastAsia="宋体" w:cs="宋体"/>
                <w:color w:val="000000"/>
                <w:kern w:val="0"/>
                <w:sz w:val="21"/>
                <w:szCs w:val="21"/>
              </w:rPr>
              <w:t>、农林水支出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13</w:t>
            </w:r>
            <w:r>
              <w:rPr>
                <w:rFonts w:hint="eastAsia" w:ascii="宋体" w:hAnsi="宋体" w:eastAsia="宋体" w:cs="宋体"/>
                <w:color w:val="000000"/>
                <w:kern w:val="0"/>
                <w:sz w:val="21"/>
                <w:szCs w:val="21"/>
              </w:rPr>
              <w:t>、交通运输支出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14</w:t>
            </w:r>
            <w:r>
              <w:rPr>
                <w:rFonts w:hint="eastAsia" w:ascii="宋体" w:hAnsi="宋体" w:eastAsia="宋体" w:cs="宋体"/>
                <w:color w:val="000000"/>
                <w:kern w:val="0"/>
                <w:sz w:val="21"/>
                <w:szCs w:val="21"/>
              </w:rPr>
              <w:t>、资源勘探信息等支出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15</w:t>
            </w:r>
            <w:r>
              <w:rPr>
                <w:rFonts w:hint="eastAsia" w:ascii="宋体" w:hAnsi="宋体" w:eastAsia="宋体" w:cs="宋体"/>
                <w:color w:val="000000"/>
                <w:kern w:val="0"/>
                <w:sz w:val="21"/>
                <w:szCs w:val="21"/>
              </w:rPr>
              <w:t>、商业服务业等支出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16</w:t>
            </w:r>
            <w:r>
              <w:rPr>
                <w:rFonts w:hint="eastAsia" w:ascii="宋体" w:hAnsi="宋体" w:eastAsia="宋体" w:cs="宋体"/>
                <w:color w:val="000000"/>
                <w:kern w:val="0"/>
                <w:sz w:val="21"/>
                <w:szCs w:val="21"/>
              </w:rPr>
              <w:t>、金融支出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17</w:t>
            </w:r>
            <w:r>
              <w:rPr>
                <w:rFonts w:hint="eastAsia" w:ascii="宋体" w:hAnsi="宋体" w:eastAsia="宋体" w:cs="宋体"/>
                <w:color w:val="000000"/>
                <w:kern w:val="0"/>
                <w:sz w:val="21"/>
                <w:szCs w:val="21"/>
              </w:rPr>
              <w:t>、援助其他地区支出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18</w:t>
            </w:r>
            <w:r>
              <w:rPr>
                <w:rFonts w:hint="eastAsia" w:ascii="宋体" w:hAnsi="宋体" w:eastAsia="宋体" w:cs="宋体"/>
                <w:color w:val="000000"/>
                <w:kern w:val="0"/>
                <w:sz w:val="21"/>
                <w:szCs w:val="21"/>
              </w:rPr>
              <w:t>、</w:t>
            </w:r>
            <w:r>
              <w:rPr>
                <w:rFonts w:hint="eastAsia" w:ascii="宋体" w:hAnsi="宋体" w:eastAsia="宋体" w:cs="宋体"/>
                <w:color w:val="000000"/>
                <w:spacing w:val="-11"/>
                <w:w w:val="98"/>
                <w:kern w:val="0"/>
                <w:sz w:val="21"/>
                <w:szCs w:val="21"/>
              </w:rPr>
              <w:t>自然资源海洋气象等支出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19</w:t>
            </w:r>
            <w:r>
              <w:rPr>
                <w:rFonts w:hint="eastAsia" w:ascii="宋体" w:hAnsi="宋体" w:eastAsia="宋体" w:cs="宋体"/>
                <w:color w:val="000000"/>
                <w:kern w:val="0"/>
                <w:sz w:val="21"/>
                <w:szCs w:val="21"/>
              </w:rPr>
              <w:t>、住房保障支出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20</w:t>
            </w:r>
            <w:r>
              <w:rPr>
                <w:rFonts w:hint="eastAsia" w:ascii="宋体" w:hAnsi="宋体" w:eastAsia="宋体" w:cs="宋体"/>
                <w:color w:val="000000"/>
                <w:kern w:val="0"/>
                <w:sz w:val="21"/>
                <w:szCs w:val="21"/>
              </w:rPr>
              <w:t>、粮油物资储备支出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21</w:t>
            </w:r>
            <w:r>
              <w:rPr>
                <w:rFonts w:hint="eastAsia" w:ascii="宋体" w:hAnsi="宋体" w:eastAsia="宋体" w:cs="宋体"/>
                <w:color w:val="000000"/>
                <w:kern w:val="0"/>
                <w:sz w:val="21"/>
                <w:szCs w:val="21"/>
              </w:rPr>
              <w:t>、灾害防治及应急管理支出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ascii="宋体" w:hAnsi="宋体" w:eastAsia="宋体" w:cs="宋体"/>
                <w:color w:val="000000"/>
                <w:kern w:val="0"/>
                <w:sz w:val="21"/>
                <w:szCs w:val="21"/>
              </w:rPr>
              <w:t>22</w:t>
            </w:r>
            <w:r>
              <w:rPr>
                <w:rFonts w:hint="eastAsia" w:ascii="宋体" w:hAnsi="宋体" w:eastAsia="宋体" w:cs="宋体"/>
                <w:color w:val="000000"/>
                <w:kern w:val="0"/>
                <w:sz w:val="21"/>
                <w:szCs w:val="21"/>
              </w:rPr>
              <w:t>、其他支出</w:t>
            </w:r>
          </w:p>
        </w:tc>
        <w:tc>
          <w:tcPr>
            <w:tcW w:w="1134"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1102"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4"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bl>
    <w:p/>
    <w:p/>
    <w:p>
      <w:pPr>
        <w:jc w:val="center"/>
        <w:rPr>
          <w:rFonts w:ascii="宋体" w:hAnsi="宋体" w:eastAsia="宋体" w:cs="宋体"/>
          <w:b/>
          <w:bCs/>
          <w:szCs w:val="32"/>
        </w:rPr>
      </w:pPr>
      <w:r>
        <w:rPr>
          <w:rFonts w:hint="eastAsia" w:ascii="宋体" w:hAnsi="宋体" w:eastAsia="宋体" w:cs="宋体"/>
          <w:b/>
          <w:bCs/>
          <w:szCs w:val="32"/>
        </w:rPr>
        <w:t>财政拨款收入支出决算总表</w:t>
      </w:r>
      <w:r>
        <w:rPr>
          <w:rFonts w:ascii="宋体" w:hAnsi="宋体" w:eastAsia="宋体" w:cs="宋体"/>
          <w:b/>
          <w:bCs/>
          <w:szCs w:val="32"/>
        </w:rPr>
        <w:t xml:space="preserve"> </w:t>
      </w:r>
    </w:p>
    <w:p>
      <w:pPr>
        <w:rPr>
          <w:rFonts w:ascii="宋体" w:hAnsi="宋体" w:eastAsia="宋体" w:cs="宋体"/>
          <w:b/>
          <w:bCs/>
          <w:sz w:val="21"/>
          <w:szCs w:val="21"/>
        </w:rPr>
      </w:pPr>
      <w:r>
        <w:rPr>
          <w:rFonts w:ascii="宋体" w:hAnsi="宋体" w:eastAsia="宋体" w:cs="宋体"/>
          <w:b/>
          <w:bCs/>
          <w:sz w:val="21"/>
          <w:szCs w:val="21"/>
        </w:rPr>
        <w:t xml:space="preserve"> </w:t>
      </w:r>
      <w:r>
        <w:rPr>
          <w:rFonts w:hint="eastAsia" w:ascii="宋体" w:hAnsi="宋体" w:eastAsia="宋体" w:cs="宋体"/>
          <w:b/>
          <w:bCs/>
          <w:sz w:val="21"/>
          <w:szCs w:val="21"/>
        </w:rPr>
        <w:t>公开</w:t>
      </w:r>
      <w:r>
        <w:rPr>
          <w:rFonts w:ascii="宋体" w:hAnsi="宋体" w:eastAsia="宋体" w:cs="宋体"/>
          <w:b/>
          <w:bCs/>
          <w:sz w:val="21"/>
          <w:szCs w:val="21"/>
        </w:rPr>
        <w:t>04</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编制部门：西安市阎良区</w:t>
      </w:r>
      <w:r>
        <w:rPr>
          <w:rFonts w:hint="eastAsia" w:ascii="宋体" w:hAnsi="宋体" w:eastAsia="宋体" w:cs="宋体"/>
          <w:b/>
          <w:bCs/>
          <w:sz w:val="21"/>
          <w:szCs w:val="21"/>
          <w:lang w:eastAsia="zh-CN"/>
        </w:rPr>
        <w:t>社区卫生服务指导中心</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60" w:type="dxa"/>
        <w:tblInd w:w="0" w:type="dxa"/>
        <w:tblLayout w:type="fixed"/>
        <w:tblCellMar>
          <w:top w:w="15" w:type="dxa"/>
          <w:left w:w="15" w:type="dxa"/>
          <w:bottom w:w="15" w:type="dxa"/>
          <w:right w:w="15" w:type="dxa"/>
        </w:tblCellMar>
      </w:tblPr>
      <w:tblGrid>
        <w:gridCol w:w="2003"/>
        <w:gridCol w:w="1554"/>
        <w:gridCol w:w="1815"/>
        <w:gridCol w:w="1230"/>
        <w:gridCol w:w="1061"/>
        <w:gridCol w:w="1197"/>
      </w:tblGrid>
      <w:tr>
        <w:tblPrEx>
          <w:tblCellMar>
            <w:top w:w="15" w:type="dxa"/>
            <w:left w:w="15" w:type="dxa"/>
            <w:bottom w:w="15" w:type="dxa"/>
            <w:right w:w="15" w:type="dxa"/>
          </w:tblCellMar>
        </w:tblPrEx>
        <w:trPr>
          <w:trHeight w:val="578" w:hRule="atLeast"/>
        </w:trPr>
        <w:tc>
          <w:tcPr>
            <w:tcW w:w="35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30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999"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54.16</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54.16</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54.16</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1"/>
                <w:szCs w:val="21"/>
              </w:rPr>
            </w:pPr>
            <w:r>
              <w:rPr>
                <w:rFonts w:ascii="宋体" w:hAnsi="宋体" w:eastAsia="宋体" w:cs="宋体"/>
                <w:color w:val="000000"/>
                <w:kern w:val="0"/>
                <w:sz w:val="21"/>
                <w:szCs w:val="21"/>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一、一般公共预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ascii="宋体" w:hAnsi="宋体" w:eastAsia="宋体" w:cs="宋体"/>
                <w:color w:val="000000"/>
                <w:kern w:val="0"/>
                <w:sz w:val="21"/>
                <w:szCs w:val="21"/>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二、政府性基金预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ascii="宋体" w:hAnsi="宋体" w:eastAsia="宋体" w:cs="宋体"/>
                <w:color w:val="000000"/>
                <w:kern w:val="0"/>
                <w:sz w:val="21"/>
                <w:szCs w:val="21"/>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收入总计</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54.16</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支出总计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54.16</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54.16</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bl>
    <w:p>
      <w:pPr>
        <w:rPr>
          <w:rFonts w:ascii="宋体" w:hAnsi="宋体" w:eastAsia="宋体" w:cs="宋体"/>
          <w:sz w:val="21"/>
          <w:szCs w:val="21"/>
        </w:rPr>
      </w:pPr>
    </w:p>
    <w:p>
      <w:pPr>
        <w:widowControl/>
        <w:ind w:left="21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Pr>
        <w:rPr>
          <w:rFonts w:ascii="仿宋_GB2312" w:hAnsi="仿宋_GB2312" w:eastAsia="仿宋_GB2312" w:cs="仿宋_GB2312"/>
          <w:szCs w:val="32"/>
        </w:rPr>
      </w:pPr>
    </w:p>
    <w:p/>
    <w:p/>
    <w:p/>
    <w:p/>
    <w:p/>
    <w:p/>
    <w:p/>
    <w:p/>
    <w:p/>
    <w:p>
      <w:pPr>
        <w:jc w:val="center"/>
        <w:rPr>
          <w:rFonts w:ascii="宋体" w:hAnsi="宋体" w:eastAsia="宋体" w:cs="宋体"/>
          <w:b/>
          <w:bCs/>
          <w:szCs w:val="32"/>
        </w:rPr>
      </w:pPr>
      <w:r>
        <w:rPr>
          <w:rFonts w:hint="eastAsia" w:ascii="宋体" w:hAnsi="宋体" w:eastAsia="宋体" w:cs="宋体"/>
          <w:b/>
          <w:bCs/>
          <w:szCs w:val="32"/>
        </w:rPr>
        <w:t>一般公共预算财政拨款支出决算表（按功能分类科目）</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05</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编制部门：西安市阎良区</w:t>
      </w:r>
      <w:r>
        <w:rPr>
          <w:rFonts w:hint="eastAsia" w:ascii="宋体" w:hAnsi="宋体" w:eastAsia="宋体" w:cs="宋体"/>
          <w:b/>
          <w:bCs/>
          <w:sz w:val="21"/>
          <w:szCs w:val="21"/>
          <w:lang w:eastAsia="zh-CN"/>
        </w:rPr>
        <w:t>社区卫生服务指导中心</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777" w:type="dxa"/>
        <w:tblInd w:w="0" w:type="dxa"/>
        <w:tblLayout w:type="fixed"/>
        <w:tblCellMar>
          <w:top w:w="15" w:type="dxa"/>
          <w:left w:w="15" w:type="dxa"/>
          <w:bottom w:w="15" w:type="dxa"/>
          <w:right w:w="15" w:type="dxa"/>
        </w:tblCellMar>
      </w:tblPr>
      <w:tblGrid>
        <w:gridCol w:w="1170"/>
        <w:gridCol w:w="1537"/>
        <w:gridCol w:w="1006"/>
        <w:gridCol w:w="1020"/>
        <w:gridCol w:w="935"/>
        <w:gridCol w:w="1039"/>
        <w:gridCol w:w="1020"/>
        <w:gridCol w:w="1050"/>
      </w:tblGrid>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0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994"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54.16</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49.41</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47.38</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4.75</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73"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社会保障和就业支出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3.85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3.85</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3.85</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70"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20805</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行政事业单位离退休</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3.85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3.85</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3.85</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89"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2080505</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机关事业单位基本养老保险缴费支出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3.85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3.85</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3.85</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卫生健康支出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50.31</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45.56</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43.53</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4.75</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21001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卫生健康管理事务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2.03</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1"/>
                <w:szCs w:val="21"/>
                <w:lang w:val="en-US"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2100199</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其他卫生健康管理事务支出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2.03</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1"/>
                <w:szCs w:val="21"/>
                <w:lang w:val="en-US"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21003</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基层医疗卫生机构</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45.37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42.52</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42.52</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2.85</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2100301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城市社区卫生机构</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45.37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42.52</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42.52</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2.85</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21004</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公共卫生</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1.9</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1.9</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2100404</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精神卫生机构</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1.9</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1.9</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21011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行政事业单位医疗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1.01</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1.01</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101</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2101102</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事业单位医疗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1.01</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1.01</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1.01</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25"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06</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编制部门：西安市阎良区</w:t>
      </w:r>
      <w:r>
        <w:rPr>
          <w:rFonts w:hint="eastAsia" w:ascii="宋体" w:hAnsi="宋体" w:eastAsia="宋体" w:cs="宋体"/>
          <w:b/>
          <w:bCs/>
          <w:sz w:val="21"/>
          <w:szCs w:val="21"/>
          <w:lang w:eastAsia="zh-CN"/>
        </w:rPr>
        <w:t>社区卫生服务指导中心</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17" w:type="dxa"/>
        <w:tblInd w:w="0" w:type="dxa"/>
        <w:tblLayout w:type="fixed"/>
        <w:tblCellMar>
          <w:top w:w="15" w:type="dxa"/>
          <w:left w:w="15" w:type="dxa"/>
          <w:bottom w:w="15" w:type="dxa"/>
          <w:right w:w="15" w:type="dxa"/>
        </w:tblCellMar>
      </w:tblPr>
      <w:tblGrid>
        <w:gridCol w:w="1157"/>
        <w:gridCol w:w="2638"/>
        <w:gridCol w:w="1440"/>
        <w:gridCol w:w="1260"/>
        <w:gridCol w:w="1167"/>
        <w:gridCol w:w="1155"/>
      </w:tblGrid>
      <w:tr>
        <w:tblPrEx>
          <w:tblCellMar>
            <w:top w:w="15" w:type="dxa"/>
            <w:left w:w="15" w:type="dxa"/>
            <w:bottom w:w="15" w:type="dxa"/>
            <w:right w:w="15" w:type="dxa"/>
          </w:tblCellMar>
        </w:tblPrEx>
        <w:trPr>
          <w:trHeight w:val="434" w:hRule="atLeast"/>
        </w:trPr>
        <w:tc>
          <w:tcPr>
            <w:tcW w:w="379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4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1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2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379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440"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49.41</w:t>
            </w:r>
          </w:p>
        </w:tc>
        <w:tc>
          <w:tcPr>
            <w:tcW w:w="1260"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47.38</w:t>
            </w:r>
          </w:p>
        </w:tc>
        <w:tc>
          <w:tcPr>
            <w:tcW w:w="1167"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2.03</w:t>
            </w:r>
          </w:p>
        </w:tc>
        <w:tc>
          <w:tcPr>
            <w:tcW w:w="1155"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301</w:t>
            </w:r>
          </w:p>
        </w:tc>
        <w:tc>
          <w:tcPr>
            <w:tcW w:w="26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工资福利支出</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47.38</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47.38</w:t>
            </w:r>
          </w:p>
        </w:tc>
        <w:tc>
          <w:tcPr>
            <w:tcW w:w="11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30101</w:t>
            </w:r>
          </w:p>
        </w:tc>
        <w:tc>
          <w:tcPr>
            <w:tcW w:w="26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基本工资</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15.44</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15.44</w:t>
            </w:r>
          </w:p>
        </w:tc>
        <w:tc>
          <w:tcPr>
            <w:tcW w:w="116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30102</w:t>
            </w:r>
          </w:p>
        </w:tc>
        <w:tc>
          <w:tcPr>
            <w:tcW w:w="26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津贴补贴</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3.17</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3.17</w:t>
            </w:r>
          </w:p>
        </w:tc>
        <w:tc>
          <w:tcPr>
            <w:tcW w:w="116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30107</w:t>
            </w:r>
          </w:p>
        </w:tc>
        <w:tc>
          <w:tcPr>
            <w:tcW w:w="263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绩效工资</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19.69</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19.69</w:t>
            </w:r>
          </w:p>
        </w:tc>
        <w:tc>
          <w:tcPr>
            <w:tcW w:w="116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30108</w:t>
            </w:r>
          </w:p>
        </w:tc>
        <w:tc>
          <w:tcPr>
            <w:tcW w:w="26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机关事业单位基本养老保险缴费</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3.85</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3.85</w:t>
            </w:r>
          </w:p>
        </w:tc>
        <w:tc>
          <w:tcPr>
            <w:tcW w:w="116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30110</w:t>
            </w:r>
          </w:p>
        </w:tc>
        <w:tc>
          <w:tcPr>
            <w:tcW w:w="26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职工基本医疗保险缴费</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1.01</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1.01</w:t>
            </w:r>
          </w:p>
        </w:tc>
        <w:tc>
          <w:tcPr>
            <w:tcW w:w="116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30113</w:t>
            </w:r>
          </w:p>
        </w:tc>
        <w:tc>
          <w:tcPr>
            <w:tcW w:w="26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住房公积金</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4.22</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4.22</w:t>
            </w:r>
          </w:p>
        </w:tc>
        <w:tc>
          <w:tcPr>
            <w:tcW w:w="116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w:t>
            </w:r>
          </w:p>
        </w:tc>
        <w:tc>
          <w:tcPr>
            <w:tcW w:w="263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商品和服务支出</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2.03</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2.03</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30201</w:t>
            </w:r>
          </w:p>
        </w:tc>
        <w:tc>
          <w:tcPr>
            <w:tcW w:w="263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办公费</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0.61</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0.61</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30211</w:t>
            </w:r>
          </w:p>
        </w:tc>
        <w:tc>
          <w:tcPr>
            <w:tcW w:w="263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差旅费</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0.62</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0.62</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30217</w:t>
            </w:r>
          </w:p>
        </w:tc>
        <w:tc>
          <w:tcPr>
            <w:tcW w:w="263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公务接待费</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0.1</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0.1</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30228</w:t>
            </w:r>
          </w:p>
        </w:tc>
        <w:tc>
          <w:tcPr>
            <w:tcW w:w="263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工会经费</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0.7</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0.7</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26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63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63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63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rPr>
          <w:rFonts w:ascii="宋体" w:hAnsi="宋体" w:eastAsia="宋体" w:cs="宋体"/>
          <w:b/>
          <w:bCs/>
          <w:sz w:val="21"/>
          <w:szCs w:val="21"/>
        </w:rPr>
      </w:pPr>
      <w:r>
        <w:rPr>
          <w:rFonts w:ascii="宋体" w:hAnsi="宋体" w:eastAsia="宋体" w:cs="宋体"/>
          <w:b/>
          <w:bCs/>
          <w:sz w:val="21"/>
          <w:szCs w:val="21"/>
        </w:rPr>
        <w:t xml:space="preserve">   </w:t>
      </w:r>
      <w:r>
        <w:rPr>
          <w:rFonts w:hint="eastAsia" w:ascii="宋体" w:hAnsi="宋体" w:eastAsia="宋体" w:cs="宋体"/>
          <w:b/>
          <w:bCs/>
          <w:sz w:val="21"/>
          <w:szCs w:val="21"/>
        </w:rPr>
        <w:t>公开</w:t>
      </w:r>
      <w:r>
        <w:rPr>
          <w:rFonts w:ascii="宋体" w:hAnsi="宋体" w:eastAsia="宋体" w:cs="宋体"/>
          <w:b/>
          <w:bCs/>
          <w:sz w:val="21"/>
          <w:szCs w:val="21"/>
        </w:rPr>
        <w:t>07</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注：本表反映部门本年度一般公共预算财政拨款“三公”经费、会议费、培训费的预算数和实际支出。预算数为调整预算数。</w:t>
      </w:r>
      <w:r>
        <w:rPr>
          <w:rFonts w:hint="eastAsia" w:ascii="宋体" w:hAnsi="宋体" w:eastAsia="宋体" w:cs="宋体"/>
          <w:color w:val="000000"/>
          <w:kern w:val="0"/>
          <w:sz w:val="21"/>
          <w:szCs w:val="21"/>
        </w:rPr>
        <w:t>本表金额转换为万元时，因四舍五入可能存在尾差。</w:t>
      </w:r>
    </w:p>
    <w:p/>
    <w:p/>
    <w:p/>
    <w:p/>
    <w:p/>
    <w:p/>
    <w:p/>
    <w:p/>
    <w:p/>
    <w:p/>
    <w:p/>
    <w:p>
      <w:pPr>
        <w:jc w:val="center"/>
        <w:rPr>
          <w:rFonts w:ascii="宋体" w:hAnsi="宋体" w:eastAsia="宋体" w:cs="宋体"/>
          <w:b/>
          <w:bCs/>
          <w:szCs w:val="32"/>
        </w:rPr>
      </w:pPr>
      <w:r>
        <w:rPr>
          <w:rFonts w:hint="eastAsia" w:ascii="宋体" w:hAnsi="宋体" w:eastAsia="宋体" w:cs="宋体"/>
          <w:b/>
          <w:bCs/>
          <w:szCs w:val="32"/>
        </w:rPr>
        <w:t>政府性基金预算财政拨款收入支出决算表</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08</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注：本表反映部门本年度政府性基金预算财政拨款收入支出及结转和结余情况。</w:t>
      </w:r>
      <w:r>
        <w:rPr>
          <w:rFonts w:hint="eastAsia" w:ascii="宋体" w:hAnsi="宋体" w:eastAsia="宋体" w:cs="宋体"/>
          <w:color w:val="000000"/>
          <w:kern w:val="0"/>
          <w:sz w:val="21"/>
          <w:szCs w:val="21"/>
        </w:rPr>
        <w:t>本表金额转换为万元时，因四舍五入可能存在尾差。</w:t>
      </w:r>
    </w:p>
    <w:p/>
    <w:p/>
    <w:p>
      <w:pPr>
        <w:jc w:val="center"/>
        <w:rPr>
          <w:rFonts w:ascii="黑体" w:hAnsi="宋体" w:eastAsia="黑体"/>
          <w:color w:val="000000"/>
          <w:kern w:val="0"/>
          <w:sz w:val="44"/>
          <w:szCs w:val="44"/>
        </w:rPr>
      </w:pPr>
      <w:r>
        <w:rPr>
          <w:rFonts w:hint="eastAsia" w:ascii="黑体" w:hAnsi="宋体" w:eastAsia="黑体"/>
          <w:color w:val="000000"/>
          <w:kern w:val="0"/>
          <w:sz w:val="44"/>
          <w:szCs w:val="44"/>
        </w:rPr>
        <w:t>第三部分</w:t>
      </w:r>
      <w:r>
        <w:rPr>
          <w:rFonts w:ascii="黑体" w:hAnsi="宋体" w:eastAsia="黑体"/>
          <w:color w:val="000000"/>
          <w:kern w:val="0"/>
          <w:sz w:val="44"/>
          <w:szCs w:val="44"/>
        </w:rPr>
        <w:t xml:space="preserve"> 2019</w:t>
      </w:r>
      <w:r>
        <w:rPr>
          <w:rFonts w:hint="eastAsia" w:ascii="黑体" w:hAnsi="宋体" w:eastAsia="黑体"/>
          <w:color w:val="000000"/>
          <w:kern w:val="0"/>
          <w:sz w:val="44"/>
          <w:szCs w:val="44"/>
        </w:rPr>
        <w:t>年度部门决算情况说明</w:t>
      </w:r>
    </w:p>
    <w:p>
      <w:pPr>
        <w:spacing w:line="560" w:lineRule="exact"/>
        <w:rPr>
          <w:rFonts w:ascii="黑体" w:hAnsi="宋体" w:eastAsia="黑体"/>
          <w:color w:val="000000"/>
          <w:kern w:val="0"/>
          <w:sz w:val="44"/>
          <w:szCs w:val="44"/>
        </w:rPr>
      </w:pPr>
    </w:p>
    <w:p>
      <w:pPr>
        <w:widowControl/>
        <w:spacing w:line="560" w:lineRule="exact"/>
        <w:ind w:firstLine="640" w:firstLineChars="200"/>
        <w:jc w:val="left"/>
        <w:rPr>
          <w:rFonts w:ascii="仿宋_GB2312" w:hAnsi="仿宋_GB2312" w:eastAsia="仿宋_GB2312" w:cs="仿宋_GB2312"/>
          <w:szCs w:val="32"/>
          <w:highlight w:val="red"/>
        </w:rPr>
      </w:pPr>
      <w:r>
        <w:rPr>
          <w:rFonts w:hint="eastAsia" w:ascii="黑体" w:hAnsi="黑体" w:eastAsia="黑体"/>
          <w:color w:val="000000"/>
          <w:kern w:val="0"/>
          <w:szCs w:val="32"/>
        </w:rPr>
        <w:t>一、收入支出决算总体情况说明</w:t>
      </w:r>
      <w:r>
        <w:rPr>
          <w:rFonts w:ascii="黑体" w:hAnsi="黑体" w:eastAsia="黑体"/>
          <w:color w:val="000000"/>
          <w:kern w:val="0"/>
          <w:szCs w:val="32"/>
        </w:rPr>
        <w:t xml:space="preserve"> </w:t>
      </w:r>
    </w:p>
    <w:p>
      <w:pPr>
        <w:autoSpaceDE w:val="0"/>
        <w:autoSpaceDN w:val="0"/>
        <w:spacing w:line="520" w:lineRule="exact"/>
        <w:ind w:firstLine="562"/>
        <w:rPr>
          <w:rFonts w:hint="eastAsia" w:ascii="仿宋_GB2312" w:hAnsi="仿宋_GB2312" w:eastAsia="仿宋_GB2312" w:cs="仿宋_GB2312"/>
          <w:bCs/>
          <w:szCs w:val="32"/>
        </w:rPr>
      </w:pPr>
      <w:r>
        <w:rPr>
          <w:rFonts w:hint="eastAsia" w:ascii="仿宋_GB2312" w:hAnsi="仿宋_GB2312" w:eastAsia="仿宋_GB2312" w:cs="仿宋_GB2312"/>
          <w:bCs/>
          <w:szCs w:val="32"/>
        </w:rPr>
        <w:t>2019年决算总收入比2018年决算总收入</w:t>
      </w:r>
      <w:r>
        <w:rPr>
          <w:rFonts w:hint="eastAsia" w:ascii="仿宋_GB2312" w:hAnsi="仿宋_GB2312" w:eastAsia="仿宋_GB2312" w:cs="仿宋_GB2312"/>
          <w:bCs/>
          <w:szCs w:val="32"/>
          <w:lang w:eastAsia="zh-CN"/>
        </w:rPr>
        <w:t>减少</w:t>
      </w:r>
      <w:r>
        <w:rPr>
          <w:rFonts w:hint="eastAsia" w:ascii="仿宋_GB2312" w:hAnsi="仿宋_GB2312" w:eastAsia="仿宋_GB2312" w:cs="仿宋_GB2312"/>
          <w:bCs/>
          <w:szCs w:val="32"/>
          <w:lang w:val="en-US" w:eastAsia="zh-CN"/>
        </w:rPr>
        <w:t>26.52</w:t>
      </w:r>
      <w:r>
        <w:rPr>
          <w:rFonts w:hint="eastAsia" w:ascii="仿宋_GB2312" w:hAnsi="仿宋_GB2312" w:eastAsia="仿宋_GB2312" w:cs="仿宋_GB2312"/>
          <w:bCs/>
          <w:szCs w:val="32"/>
        </w:rPr>
        <w:t>万元，其中财政补助收入减少</w:t>
      </w:r>
      <w:r>
        <w:rPr>
          <w:rFonts w:hint="eastAsia" w:ascii="仿宋_GB2312" w:hAnsi="仿宋_GB2312" w:eastAsia="仿宋_GB2312" w:cs="仿宋_GB2312"/>
          <w:bCs/>
          <w:szCs w:val="32"/>
          <w:lang w:val="en-US" w:eastAsia="zh-CN"/>
        </w:rPr>
        <w:t>26.2</w:t>
      </w:r>
      <w:r>
        <w:rPr>
          <w:rFonts w:hint="eastAsia" w:ascii="仿宋_GB2312" w:hAnsi="仿宋_GB2312" w:eastAsia="仿宋_GB2312" w:cs="仿宋_GB2312"/>
          <w:bCs/>
          <w:szCs w:val="32"/>
        </w:rPr>
        <w:t>万元</w:t>
      </w:r>
      <w:r>
        <w:rPr>
          <w:rFonts w:hint="eastAsia" w:ascii="仿宋_GB2312" w:hAnsi="仿宋_GB2312" w:eastAsia="仿宋_GB2312" w:cs="仿宋_GB2312"/>
          <w:bCs/>
          <w:szCs w:val="32"/>
          <w:lang w:eastAsia="zh-CN"/>
        </w:rPr>
        <w:t>，</w:t>
      </w:r>
      <w:r>
        <w:rPr>
          <w:rFonts w:hint="eastAsia" w:ascii="仿宋_GB2312" w:hAnsi="仿宋_GB2312" w:eastAsia="仿宋_GB2312" w:cs="仿宋_GB2312"/>
          <w:bCs/>
          <w:szCs w:val="32"/>
        </w:rPr>
        <w:t>财政拨款收入减少主要是2019年财政投资补助项目相对去年较少；</w:t>
      </w:r>
    </w:p>
    <w:p>
      <w:pPr>
        <w:autoSpaceDE w:val="0"/>
        <w:autoSpaceDN w:val="0"/>
        <w:spacing w:line="520" w:lineRule="exact"/>
        <w:ind w:firstLine="562"/>
        <w:rPr>
          <w:rFonts w:hint="eastAsia" w:ascii="仿宋" w:hAnsi="仿宋" w:eastAsia="仿宋"/>
          <w:bCs/>
          <w:szCs w:val="32"/>
          <w:lang w:val="en-US" w:eastAsia="zh-CN"/>
        </w:rPr>
      </w:pPr>
      <w:r>
        <w:rPr>
          <w:rFonts w:hint="eastAsia" w:ascii="仿宋_GB2312" w:hAnsi="仿宋_GB2312" w:eastAsia="仿宋_GB2312" w:cs="仿宋_GB2312"/>
          <w:bCs/>
          <w:szCs w:val="32"/>
          <w:lang w:val="en-US" w:eastAsia="zh-CN"/>
        </w:rPr>
        <w:t>图示：</w:t>
      </w:r>
      <w:r>
        <w:rPr>
          <w:rFonts w:hint="eastAsia" w:ascii="仿宋" w:hAnsi="仿宋" w:eastAsia="仿宋"/>
          <w:bCs/>
          <w:szCs w:val="32"/>
          <w:lang w:val="en-US" w:eastAsia="zh-CN"/>
        </w:rPr>
        <w:t xml:space="preserve"> </w:t>
      </w:r>
    </w:p>
    <w:p>
      <w:pPr>
        <w:autoSpaceDE w:val="0"/>
        <w:autoSpaceDN w:val="0"/>
        <w:spacing w:line="520" w:lineRule="exact"/>
        <w:ind w:firstLine="562"/>
        <w:rPr>
          <w:rFonts w:hint="eastAsia" w:ascii="仿宋" w:hAnsi="仿宋" w:eastAsia="仿宋"/>
          <w:bCs/>
          <w:szCs w:val="32"/>
          <w:lang w:val="en-US" w:eastAsia="zh-CN"/>
        </w:rPr>
      </w:pPr>
      <w:r>
        <w:rPr>
          <w:rFonts w:hint="eastAsia" w:ascii="仿宋" w:hAnsi="仿宋" w:eastAsia="仿宋"/>
          <w:bCs/>
          <w:szCs w:val="32"/>
          <w:lang w:val="en-US" w:eastAsia="zh-CN"/>
        </w:rPr>
        <w:t xml:space="preserve">                                     </w:t>
      </w:r>
      <w:r>
        <w:rPr>
          <w:rFonts w:hint="eastAsia" w:ascii="仿宋" w:hAnsi="仿宋" w:eastAsia="仿宋"/>
          <w:bCs/>
          <w:sz w:val="21"/>
          <w:szCs w:val="21"/>
          <w:lang w:val="en-US" w:eastAsia="zh-CN"/>
        </w:rPr>
        <w:t>单位：万元</w:t>
      </w:r>
    </w:p>
    <w:p>
      <w:pPr>
        <w:widowControl/>
        <w:spacing w:line="240" w:lineRule="auto"/>
        <w:jc w:val="left"/>
        <w:rPr>
          <w:rFonts w:hint="eastAsia" w:ascii="仿宋" w:hAnsi="仿宋" w:eastAsia="仿宋"/>
          <w:bCs/>
          <w:szCs w:val="32"/>
          <w:lang w:val="en-US" w:eastAsia="zh-CN"/>
        </w:rPr>
      </w:pPr>
      <w:r>
        <w:rPr>
          <w:rFonts w:hint="eastAsia" w:ascii="仿宋" w:hAnsi="仿宋" w:eastAsia="仿宋"/>
          <w:bCs/>
          <w:szCs w:val="32"/>
          <w:lang w:val="en-US" w:eastAsia="zh-CN"/>
        </w:rPr>
        <w:t xml:space="preserve"> </w:t>
      </w:r>
      <w:r>
        <w:rPr>
          <w:rFonts w:hint="eastAsia" w:ascii="仿宋" w:hAnsi="仿宋" w:eastAsia="仿宋"/>
          <w:bCs/>
          <w:szCs w:val="32"/>
          <w:lang w:val="en-US" w:eastAsia="zh-CN"/>
        </w:rPr>
        <w:object>
          <v:shape id="_x0000_i1025" o:spt="75" type="#_x0000_t75" style="height:222.75pt;width:204.75pt;" o:ole="t" filled="f" o:preferrelative="t" stroked="f" coordsize="21600,21600">
            <v:path/>
            <v:fill on="f" focussize="0,0"/>
            <v:stroke on="f"/>
            <v:imagedata r:id="rId7" o:title=""/>
            <o:lock v:ext="edit" aspectratio="t"/>
            <w10:wrap type="none"/>
            <w10:anchorlock/>
          </v:shape>
          <o:OLEObject Type="Embed" ProgID="Excel.Chart.8" ShapeID="_x0000_i1025" DrawAspect="Content" ObjectID="_1468075725" r:id="rId6">
            <o:LockedField>false</o:LockedField>
          </o:OLEObject>
        </w:object>
      </w:r>
    </w:p>
    <w:p>
      <w:pPr>
        <w:widowControl/>
        <w:spacing w:line="560" w:lineRule="exact"/>
        <w:jc w:val="left"/>
        <w:rPr>
          <w:rFonts w:hint="eastAsia" w:ascii="仿宋" w:hAnsi="仿宋" w:eastAsia="仿宋"/>
          <w:bCs/>
          <w:szCs w:val="32"/>
        </w:rPr>
      </w:pPr>
      <w:r>
        <w:rPr>
          <w:rFonts w:hint="eastAsia" w:ascii="仿宋_GB2312" w:hAnsi="仿宋_GB2312" w:eastAsia="仿宋_GB2312" w:cs="仿宋_GB2312"/>
          <w:bCs/>
          <w:szCs w:val="32"/>
          <w:lang w:val="en-US" w:eastAsia="zh-CN"/>
        </w:rPr>
        <w:t xml:space="preserve">   </w:t>
      </w:r>
      <w:r>
        <w:rPr>
          <w:rFonts w:hint="eastAsia" w:ascii="仿宋_GB2312" w:hAnsi="仿宋_GB2312" w:eastAsia="仿宋_GB2312" w:cs="仿宋_GB2312"/>
          <w:bCs/>
          <w:szCs w:val="32"/>
        </w:rPr>
        <w:t>2019年决算总支出比2018年决算总支出减少</w:t>
      </w:r>
      <w:r>
        <w:rPr>
          <w:rFonts w:hint="eastAsia" w:ascii="仿宋_GB2312" w:hAnsi="仿宋_GB2312" w:eastAsia="仿宋_GB2312" w:cs="仿宋_GB2312"/>
          <w:bCs/>
          <w:szCs w:val="32"/>
          <w:lang w:val="en-US" w:eastAsia="zh-CN"/>
        </w:rPr>
        <w:t>26.52</w:t>
      </w:r>
      <w:r>
        <w:rPr>
          <w:rFonts w:hint="eastAsia" w:ascii="仿宋_GB2312" w:hAnsi="仿宋_GB2312" w:eastAsia="仿宋_GB2312" w:cs="仿宋_GB2312"/>
          <w:bCs/>
          <w:szCs w:val="32"/>
        </w:rPr>
        <w:t>万元，主要2019年</w:t>
      </w:r>
      <w:r>
        <w:rPr>
          <w:rFonts w:hint="eastAsia" w:ascii="仿宋_GB2312" w:hAnsi="仿宋_GB2312" w:eastAsia="仿宋_GB2312" w:cs="仿宋_GB2312"/>
          <w:bCs/>
          <w:szCs w:val="32"/>
          <w:lang w:eastAsia="zh-CN"/>
        </w:rPr>
        <w:t>项目</w:t>
      </w:r>
      <w:r>
        <w:rPr>
          <w:rFonts w:hint="eastAsia" w:ascii="仿宋_GB2312" w:hAnsi="仿宋_GB2312" w:eastAsia="仿宋_GB2312" w:cs="仿宋_GB2312"/>
          <w:bCs/>
          <w:szCs w:val="32"/>
        </w:rPr>
        <w:t>经费支出减少，本年度单位按照国家有关规定节约了开支，下一步将制定出详细的且合理合规的</w:t>
      </w:r>
      <w:r>
        <w:rPr>
          <w:rFonts w:hint="eastAsia" w:ascii="仿宋_GB2312" w:hAnsi="仿宋_GB2312" w:eastAsia="仿宋_GB2312" w:cs="仿宋_GB2312"/>
          <w:bCs/>
          <w:szCs w:val="32"/>
          <w:lang w:eastAsia="zh-CN"/>
        </w:rPr>
        <w:t>项目</w:t>
      </w:r>
      <w:r>
        <w:rPr>
          <w:rFonts w:hint="eastAsia" w:ascii="仿宋_GB2312" w:hAnsi="仿宋_GB2312" w:eastAsia="仿宋_GB2312" w:cs="仿宋_GB2312"/>
          <w:bCs/>
          <w:szCs w:val="32"/>
        </w:rPr>
        <w:t>经费支出方案</w:t>
      </w:r>
      <w:r>
        <w:rPr>
          <w:rFonts w:hint="eastAsia" w:ascii="仿宋" w:hAnsi="仿宋" w:eastAsia="仿宋"/>
          <w:bCs/>
          <w:szCs w:val="32"/>
        </w:rPr>
        <w:t>。</w:t>
      </w:r>
    </w:p>
    <w:p>
      <w:pPr>
        <w:widowControl/>
        <w:spacing w:line="560" w:lineRule="exact"/>
        <w:jc w:val="left"/>
        <w:rPr>
          <w:rFonts w:hint="eastAsia" w:ascii="仿宋" w:hAnsi="仿宋" w:eastAsia="仿宋"/>
          <w:bCs/>
          <w:szCs w:val="32"/>
        </w:rPr>
      </w:pPr>
    </w:p>
    <w:p>
      <w:pPr>
        <w:widowControl/>
        <w:spacing w:line="560" w:lineRule="exact"/>
        <w:jc w:val="left"/>
        <w:rPr>
          <w:rFonts w:hint="eastAsia" w:ascii="仿宋" w:hAnsi="仿宋" w:eastAsia="仿宋"/>
          <w:bCs/>
          <w:szCs w:val="32"/>
        </w:rPr>
      </w:pPr>
    </w:p>
    <w:p>
      <w:pPr>
        <w:widowControl/>
        <w:spacing w:line="560" w:lineRule="exact"/>
        <w:jc w:val="left"/>
        <w:rPr>
          <w:rFonts w:hint="eastAsia" w:ascii="仿宋" w:hAnsi="仿宋" w:eastAsia="仿宋"/>
          <w:bCs/>
          <w:sz w:val="21"/>
          <w:szCs w:val="21"/>
          <w:lang w:val="en-US" w:eastAsia="zh-CN"/>
        </w:rPr>
      </w:pPr>
      <w:r>
        <w:rPr>
          <w:rFonts w:hint="eastAsia" w:ascii="仿宋" w:hAnsi="仿宋" w:eastAsia="仿宋"/>
          <w:bCs/>
          <w:szCs w:val="32"/>
          <w:lang w:val="en-US" w:eastAsia="zh-CN"/>
        </w:rPr>
        <w:t xml:space="preserve">                                       </w:t>
      </w:r>
      <w:r>
        <w:rPr>
          <w:rFonts w:hint="eastAsia" w:ascii="仿宋" w:hAnsi="仿宋" w:eastAsia="仿宋"/>
          <w:bCs/>
          <w:sz w:val="21"/>
          <w:szCs w:val="21"/>
          <w:lang w:val="en-US" w:eastAsia="zh-CN"/>
        </w:rPr>
        <w:t xml:space="preserve"> </w:t>
      </w:r>
    </w:p>
    <w:p>
      <w:pPr>
        <w:widowControl/>
        <w:spacing w:line="560" w:lineRule="exact"/>
        <w:jc w:val="left"/>
        <w:rPr>
          <w:rFonts w:hint="eastAsia" w:ascii="仿宋" w:hAnsi="仿宋" w:eastAsia="仿宋"/>
          <w:bCs/>
          <w:sz w:val="32"/>
          <w:szCs w:val="32"/>
          <w:lang w:val="en-US" w:eastAsia="zh-CN"/>
        </w:rPr>
      </w:pPr>
      <w:r>
        <w:rPr>
          <w:rFonts w:hint="eastAsia" w:ascii="仿宋_GB2312" w:hAnsi="仿宋_GB2312" w:eastAsia="仿宋_GB2312" w:cs="仿宋_GB2312"/>
          <w:bCs/>
          <w:sz w:val="32"/>
          <w:szCs w:val="32"/>
          <w:lang w:val="en-US" w:eastAsia="zh-CN"/>
        </w:rPr>
        <w:t>图示</w:t>
      </w:r>
      <w:r>
        <w:rPr>
          <w:rFonts w:hint="eastAsia" w:ascii="仿宋" w:hAnsi="仿宋" w:eastAsia="仿宋"/>
          <w:bCs/>
          <w:sz w:val="32"/>
          <w:szCs w:val="32"/>
          <w:lang w:val="en-US" w:eastAsia="zh-CN"/>
        </w:rPr>
        <w:t>：</w:t>
      </w:r>
    </w:p>
    <w:p>
      <w:pPr>
        <w:widowControl/>
        <w:spacing w:line="560" w:lineRule="exact"/>
        <w:jc w:val="left"/>
        <w:rPr>
          <w:rFonts w:hint="eastAsia" w:ascii="仿宋" w:hAnsi="仿宋" w:eastAsia="仿宋"/>
          <w:bCs/>
          <w:szCs w:val="32"/>
          <w:lang w:val="en-US" w:eastAsia="zh-CN"/>
        </w:rPr>
      </w:pPr>
      <w:r>
        <w:rPr>
          <w:rFonts w:hint="eastAsia" w:ascii="仿宋" w:hAnsi="仿宋" w:eastAsia="仿宋"/>
          <w:bCs/>
          <w:sz w:val="32"/>
          <w:szCs w:val="32"/>
          <w:lang w:val="en-US" w:eastAsia="zh-CN"/>
        </w:rPr>
        <w:t xml:space="preserve">  </w:t>
      </w:r>
      <w:r>
        <w:rPr>
          <w:rFonts w:hint="eastAsia" w:ascii="仿宋" w:hAnsi="仿宋" w:eastAsia="仿宋"/>
          <w:bCs/>
          <w:sz w:val="21"/>
          <w:szCs w:val="21"/>
          <w:lang w:val="en-US" w:eastAsia="zh-CN"/>
        </w:rPr>
        <w:t xml:space="preserve">                                                      单位：万元</w:t>
      </w:r>
    </w:p>
    <w:p>
      <w:pPr>
        <w:widowControl/>
        <w:spacing w:line="240" w:lineRule="auto"/>
        <w:jc w:val="left"/>
        <w:rPr>
          <w:rFonts w:hint="eastAsia" w:ascii="仿宋" w:hAnsi="仿宋" w:eastAsia="仿宋"/>
          <w:bCs/>
          <w:szCs w:val="32"/>
          <w:lang w:eastAsia="zh-CN"/>
        </w:rPr>
      </w:pPr>
      <w:r>
        <w:rPr>
          <w:rFonts w:hint="eastAsia" w:ascii="仿宋" w:hAnsi="仿宋" w:eastAsia="仿宋"/>
          <w:bCs/>
          <w:szCs w:val="32"/>
          <w:lang w:eastAsia="zh-CN"/>
        </w:rPr>
        <w:object>
          <v:shape id="_x0000_i1026" o:spt="75" type="#_x0000_t75" style="height:222.75pt;width:366.75pt;" o:ole="t" filled="f" o:preferrelative="t" stroked="f" coordsize="21600,21600">
            <v:path/>
            <v:fill on="f" focussize="0,0"/>
            <v:stroke on="f"/>
            <v:imagedata r:id="rId9" o:title=""/>
            <o:lock v:ext="edit" aspectratio="t"/>
            <w10:wrap type="none"/>
            <w10:anchorlock/>
          </v:shape>
          <o:OLEObject Type="Embed" ProgID="Excel.Chart.8" ShapeID="_x0000_i1026" DrawAspect="Content" ObjectID="_1468075726" r:id="rId8">
            <o:LockedField>false</o:LockedField>
          </o:OLEObject>
        </w:object>
      </w:r>
    </w:p>
    <w:p>
      <w:pPr>
        <w:widowControl/>
        <w:spacing w:line="560" w:lineRule="exact"/>
        <w:jc w:val="left"/>
        <w:rPr>
          <w:rFonts w:ascii="黑体" w:hAnsi="黑体" w:eastAsia="黑体"/>
          <w:color w:val="000000"/>
          <w:kern w:val="0"/>
          <w:szCs w:val="32"/>
        </w:rPr>
      </w:pPr>
      <w:r>
        <w:rPr>
          <w:rFonts w:hint="eastAsia" w:ascii="黑体" w:hAnsi="黑体" w:eastAsia="黑体"/>
          <w:color w:val="000000"/>
          <w:kern w:val="0"/>
          <w:szCs w:val="32"/>
          <w:lang w:val="en-US" w:eastAsia="zh-CN"/>
        </w:rPr>
        <w:t xml:space="preserve">  </w:t>
      </w:r>
      <w:r>
        <w:rPr>
          <w:rFonts w:hint="eastAsia" w:ascii="黑体" w:hAnsi="黑体" w:eastAsia="黑体"/>
          <w:color w:val="000000"/>
          <w:kern w:val="0"/>
          <w:szCs w:val="32"/>
        </w:rPr>
        <w:t>二、收入决算情况说明</w:t>
      </w:r>
    </w:p>
    <w:p>
      <w:pPr>
        <w:widowControl/>
        <w:spacing w:line="560" w:lineRule="exact"/>
        <w:ind w:firstLine="640"/>
        <w:jc w:val="left"/>
        <w:rPr>
          <w:rFonts w:hint="eastAsia" w:ascii="仿宋_GB2312" w:hAnsi="仿宋_GB2312" w:eastAsia="仿宋_GB2312" w:cs="仿宋_GB2312"/>
          <w:bCs/>
          <w:szCs w:val="32"/>
        </w:rPr>
      </w:pPr>
      <w:r>
        <w:rPr>
          <w:rFonts w:hint="eastAsia" w:ascii="仿宋_GB2312" w:hAnsi="仿宋_GB2312" w:eastAsia="仿宋_GB2312" w:cs="仿宋_GB2312"/>
          <w:bCs/>
          <w:szCs w:val="32"/>
        </w:rPr>
        <w:t>2019年度收入合计</w:t>
      </w:r>
      <w:r>
        <w:rPr>
          <w:rFonts w:hint="eastAsia" w:ascii="仿宋_GB2312" w:hAnsi="仿宋_GB2312" w:eastAsia="仿宋_GB2312" w:cs="仿宋_GB2312"/>
          <w:bCs/>
          <w:szCs w:val="32"/>
          <w:lang w:val="en-US" w:eastAsia="zh-CN"/>
        </w:rPr>
        <w:t>54.23</w:t>
      </w:r>
      <w:r>
        <w:rPr>
          <w:rFonts w:hint="eastAsia" w:ascii="仿宋_GB2312" w:hAnsi="仿宋_GB2312" w:eastAsia="仿宋_GB2312" w:cs="仿宋_GB2312"/>
          <w:bCs/>
          <w:szCs w:val="32"/>
        </w:rPr>
        <w:t>万元，其中：财政拨款收入</w:t>
      </w:r>
      <w:r>
        <w:rPr>
          <w:rFonts w:hint="eastAsia" w:ascii="仿宋_GB2312" w:hAnsi="仿宋_GB2312" w:eastAsia="仿宋_GB2312" w:cs="仿宋_GB2312"/>
          <w:bCs/>
          <w:szCs w:val="32"/>
          <w:lang w:val="en-US" w:eastAsia="zh-CN"/>
        </w:rPr>
        <w:t>54.23</w:t>
      </w:r>
      <w:r>
        <w:rPr>
          <w:rFonts w:hint="eastAsia" w:ascii="仿宋_GB2312" w:hAnsi="仿宋_GB2312" w:eastAsia="仿宋_GB2312" w:cs="仿宋_GB2312"/>
          <w:bCs/>
          <w:szCs w:val="32"/>
        </w:rPr>
        <w:t>万元，占</w:t>
      </w:r>
      <w:r>
        <w:rPr>
          <w:rFonts w:hint="eastAsia" w:ascii="仿宋_GB2312" w:hAnsi="仿宋_GB2312" w:eastAsia="仿宋_GB2312" w:cs="仿宋_GB2312"/>
          <w:bCs/>
          <w:szCs w:val="32"/>
          <w:lang w:val="en-US" w:eastAsia="zh-CN"/>
        </w:rPr>
        <w:t>100</w:t>
      </w:r>
      <w:r>
        <w:rPr>
          <w:rFonts w:hint="eastAsia" w:ascii="仿宋_GB2312" w:hAnsi="仿宋_GB2312" w:eastAsia="仿宋_GB2312" w:cs="仿宋_GB2312"/>
          <w:bCs/>
          <w:szCs w:val="32"/>
        </w:rPr>
        <w:t>%；</w:t>
      </w:r>
    </w:p>
    <w:p>
      <w:pPr>
        <w:widowControl/>
        <w:spacing w:line="560" w:lineRule="exact"/>
        <w:ind w:firstLine="640"/>
        <w:jc w:val="left"/>
        <w:rPr>
          <w:rFonts w:hint="eastAsia" w:ascii="仿宋_GB2312" w:hAnsi="仿宋_GB2312" w:eastAsia="仿宋_GB2312" w:cs="仿宋_GB2312"/>
          <w:bCs/>
          <w:szCs w:val="32"/>
          <w:lang w:eastAsia="zh-CN"/>
        </w:rPr>
      </w:pPr>
    </w:p>
    <w:p>
      <w:pPr>
        <w:widowControl/>
        <w:spacing w:line="560" w:lineRule="exact"/>
        <w:ind w:firstLine="640"/>
        <w:jc w:val="left"/>
        <w:rPr>
          <w:rFonts w:hint="eastAsia" w:ascii="仿宋_GB2312" w:hAnsi="仿宋_GB2312" w:eastAsia="仿宋_GB2312" w:cs="仿宋_GB2312"/>
          <w:bCs/>
          <w:szCs w:val="32"/>
          <w:lang w:eastAsia="zh-CN"/>
        </w:rPr>
      </w:pPr>
      <w:r>
        <w:rPr>
          <w:rFonts w:hint="eastAsia" w:ascii="仿宋_GB2312" w:hAnsi="仿宋_GB2312" w:eastAsia="仿宋_GB2312" w:cs="仿宋_GB2312"/>
          <w:bCs/>
          <w:szCs w:val="32"/>
          <w:lang w:eastAsia="zh-CN"/>
        </w:rPr>
        <w:t>图示：</w:t>
      </w:r>
    </w:p>
    <w:p>
      <w:pPr>
        <w:widowControl/>
        <w:spacing w:line="240" w:lineRule="auto"/>
        <w:jc w:val="left"/>
        <w:rPr>
          <w:rFonts w:hint="eastAsia" w:ascii="仿宋_GB2312" w:hAnsi="仿宋_GB2312" w:eastAsia="仿宋_GB2312" w:cs="仿宋_GB2312"/>
          <w:bCs/>
          <w:szCs w:val="32"/>
          <w:lang w:eastAsia="zh-CN"/>
        </w:rPr>
      </w:pPr>
      <w:r>
        <w:rPr>
          <w:rFonts w:hint="eastAsia" w:ascii="仿宋_GB2312" w:hAnsi="仿宋_GB2312" w:eastAsia="仿宋_GB2312" w:cs="仿宋_GB2312"/>
          <w:bCs/>
          <w:szCs w:val="32"/>
          <w:lang w:eastAsia="zh-CN"/>
        </w:rPr>
        <w:object>
          <v:shape id="_x0000_i1027" o:spt="75" type="#_x0000_t75" style="height:222.75pt;width:204.75pt;" o:ole="t" filled="f" o:preferrelative="t" stroked="f" coordsize="21600,21600">
            <v:path/>
            <v:fill on="f" focussize="0,0"/>
            <v:stroke on="f"/>
            <v:imagedata r:id="rId11" o:title=""/>
            <o:lock v:ext="edit" aspectratio="t"/>
            <w10:wrap type="none"/>
            <w10:anchorlock/>
          </v:shape>
          <o:OLEObject Type="Embed" ProgID="Excel.Chart.8" ShapeID="_x0000_i1027" DrawAspect="Content" ObjectID="_1468075727" r:id="rId10">
            <o:LockedField>false</o:LockedField>
          </o:OLEObject>
        </w:object>
      </w:r>
    </w:p>
    <w:p>
      <w:pPr>
        <w:widowControl/>
        <w:numPr>
          <w:ilvl w:val="0"/>
          <w:numId w:val="2"/>
        </w:numPr>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支出决算情况说明</w:t>
      </w:r>
      <w:r>
        <w:rPr>
          <w:rFonts w:ascii="黑体" w:hAnsi="黑体" w:eastAsia="黑体"/>
          <w:color w:val="000000"/>
          <w:kern w:val="0"/>
          <w:szCs w:val="32"/>
        </w:rPr>
        <w:t xml:space="preserve">  </w:t>
      </w:r>
    </w:p>
    <w:p>
      <w:pPr>
        <w:widowControl/>
        <w:spacing w:line="560" w:lineRule="exact"/>
        <w:ind w:firstLine="640"/>
        <w:jc w:val="left"/>
        <w:rPr>
          <w:rFonts w:hint="eastAsia" w:ascii="仿宋_GB2312" w:hAnsi="宋体" w:eastAsia="仿宋_GB2312" w:cs="仿宋_GB2312"/>
          <w:color w:val="000000"/>
          <w:kern w:val="0"/>
          <w:szCs w:val="32"/>
        </w:rPr>
      </w:pP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w:t>
      </w:r>
      <w:r>
        <w:rPr>
          <w:rFonts w:hint="eastAsia" w:ascii="仿宋_GB2312" w:hAnsi="仿宋" w:eastAsia="仿宋_GB2312"/>
          <w:szCs w:val="32"/>
        </w:rPr>
        <w:t>度</w:t>
      </w:r>
      <w:r>
        <w:rPr>
          <w:rFonts w:hint="eastAsia" w:ascii="仿宋_GB2312" w:hAnsi="宋体" w:eastAsia="仿宋_GB2312" w:cs="仿宋_GB2312"/>
          <w:color w:val="000000"/>
          <w:kern w:val="0"/>
          <w:szCs w:val="32"/>
        </w:rPr>
        <w:t>支出合计</w:t>
      </w:r>
      <w:r>
        <w:rPr>
          <w:rFonts w:hint="eastAsia" w:ascii="仿宋_GB2312" w:hAnsi="宋体" w:eastAsia="仿宋_GB2312" w:cs="仿宋_GB2312"/>
          <w:color w:val="000000"/>
          <w:kern w:val="0"/>
          <w:szCs w:val="32"/>
          <w:lang w:val="en-US" w:eastAsia="zh-CN"/>
        </w:rPr>
        <w:t>54.23</w:t>
      </w:r>
      <w:r>
        <w:rPr>
          <w:rFonts w:hint="eastAsia" w:ascii="仿宋_GB2312" w:hAnsi="宋体" w:eastAsia="仿宋_GB2312" w:cs="仿宋_GB2312"/>
          <w:color w:val="000000"/>
          <w:kern w:val="0"/>
          <w:szCs w:val="32"/>
        </w:rPr>
        <w:t>万元，其中：基本支出</w:t>
      </w:r>
      <w:r>
        <w:rPr>
          <w:rFonts w:hint="eastAsia" w:ascii="仿宋_GB2312" w:hAnsi="宋体" w:eastAsia="仿宋_GB2312" w:cs="仿宋_GB2312"/>
          <w:color w:val="000000"/>
          <w:kern w:val="0"/>
          <w:szCs w:val="32"/>
          <w:lang w:val="en-US" w:eastAsia="zh-CN"/>
        </w:rPr>
        <w:t>49.41</w:t>
      </w:r>
      <w:r>
        <w:rPr>
          <w:rFonts w:hint="eastAsia"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lang w:val="en-US" w:eastAsia="zh-CN"/>
        </w:rPr>
        <w:t>8</w:t>
      </w:r>
      <w:r>
        <w:rPr>
          <w:rFonts w:ascii="仿宋_GB2312" w:hAnsi="宋体" w:eastAsia="仿宋_GB2312" w:cs="仿宋_GB2312"/>
          <w:color w:val="000000"/>
          <w:kern w:val="0"/>
          <w:szCs w:val="32"/>
        </w:rPr>
        <w:t>6.6%</w:t>
      </w:r>
      <w:r>
        <w:rPr>
          <w:rFonts w:hint="eastAsia" w:ascii="仿宋_GB2312" w:hAnsi="宋体" w:eastAsia="仿宋_GB2312" w:cs="仿宋_GB2312"/>
          <w:color w:val="000000"/>
          <w:kern w:val="0"/>
          <w:szCs w:val="32"/>
        </w:rPr>
        <w:t>；项目支出</w:t>
      </w:r>
      <w:r>
        <w:rPr>
          <w:rFonts w:hint="eastAsia" w:ascii="仿宋_GB2312" w:hAnsi="宋体" w:eastAsia="仿宋_GB2312" w:cs="仿宋_GB2312"/>
          <w:color w:val="000000"/>
          <w:kern w:val="0"/>
          <w:szCs w:val="32"/>
          <w:lang w:val="en-US" w:eastAsia="zh-CN"/>
        </w:rPr>
        <w:t>4.75</w:t>
      </w:r>
      <w:r>
        <w:rPr>
          <w:rFonts w:hint="eastAsia"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lang w:val="en-US" w:eastAsia="zh-CN"/>
        </w:rPr>
        <w:t>1</w:t>
      </w:r>
      <w:r>
        <w:rPr>
          <w:rFonts w:ascii="仿宋_GB2312" w:hAnsi="宋体" w:eastAsia="仿宋_GB2312" w:cs="仿宋_GB2312"/>
          <w:color w:val="000000"/>
          <w:kern w:val="0"/>
          <w:szCs w:val="32"/>
        </w:rPr>
        <w:t>3.4%</w:t>
      </w:r>
      <w:r>
        <w:rPr>
          <w:rFonts w:hint="eastAsia" w:ascii="仿宋_GB2312" w:hAnsi="宋体" w:eastAsia="仿宋_GB2312" w:cs="仿宋_GB2312"/>
          <w:color w:val="000000"/>
          <w:kern w:val="0"/>
          <w:szCs w:val="32"/>
        </w:rPr>
        <w:t>。</w:t>
      </w:r>
    </w:p>
    <w:p>
      <w:pPr>
        <w:widowControl/>
        <w:spacing w:line="560" w:lineRule="exact"/>
        <w:ind w:firstLine="640"/>
        <w:jc w:val="left"/>
        <w:rPr>
          <w:rFonts w:hint="eastAsia" w:ascii="仿宋_GB2312" w:hAnsi="宋体" w:eastAsia="仿宋_GB2312" w:cs="仿宋_GB2312"/>
          <w:color w:val="000000"/>
          <w:kern w:val="0"/>
          <w:szCs w:val="32"/>
        </w:rPr>
      </w:pPr>
    </w:p>
    <w:p>
      <w:pPr>
        <w:widowControl/>
        <w:spacing w:line="560" w:lineRule="exact"/>
        <w:ind w:firstLine="640"/>
        <w:jc w:val="left"/>
        <w:rPr>
          <w:rFonts w:hint="eastAsia" w:ascii="仿宋_GB2312" w:hAnsi="宋体" w:eastAsia="仿宋_GB2312" w:cs="仿宋_GB2312"/>
          <w:color w:val="000000"/>
          <w:kern w:val="0"/>
          <w:szCs w:val="32"/>
        </w:rPr>
      </w:pPr>
    </w:p>
    <w:p>
      <w:pPr>
        <w:widowControl/>
        <w:spacing w:line="560" w:lineRule="exact"/>
        <w:ind w:firstLine="640"/>
        <w:jc w:val="left"/>
        <w:rPr>
          <w:rFonts w:hint="eastAsia" w:ascii="仿宋_GB2312" w:hAnsi="宋体" w:eastAsia="仿宋_GB2312" w:cs="仿宋_GB2312"/>
          <w:color w:val="000000"/>
          <w:kern w:val="0"/>
          <w:szCs w:val="32"/>
          <w:lang w:eastAsia="zh-CN"/>
        </w:rPr>
      </w:pPr>
      <w:r>
        <w:rPr>
          <w:rFonts w:hint="eastAsia" w:ascii="仿宋_GB2312" w:hAnsi="宋体" w:eastAsia="仿宋_GB2312" w:cs="仿宋_GB2312"/>
          <w:color w:val="000000"/>
          <w:kern w:val="0"/>
          <w:szCs w:val="32"/>
          <w:lang w:eastAsia="zh-CN"/>
        </w:rPr>
        <w:t>图示：</w:t>
      </w:r>
    </w:p>
    <w:p>
      <w:pPr>
        <w:widowControl/>
        <w:spacing w:line="240" w:lineRule="auto"/>
        <w:ind w:firstLine="640" w:firstLineChars="200"/>
        <w:jc w:val="left"/>
        <w:rPr>
          <w:rFonts w:hint="eastAsia" w:ascii="仿宋_GB2312" w:hAnsi="宋体" w:eastAsia="仿宋_GB2312" w:cs="仿宋_GB2312"/>
          <w:color w:val="000000"/>
          <w:kern w:val="0"/>
          <w:szCs w:val="32"/>
          <w:lang w:eastAsia="zh-CN"/>
        </w:rPr>
      </w:pPr>
      <w:r>
        <w:rPr>
          <w:rFonts w:hint="eastAsia" w:ascii="仿宋_GB2312" w:hAnsi="宋体" w:eastAsia="仿宋_GB2312" w:cs="仿宋_GB2312"/>
          <w:color w:val="000000"/>
          <w:kern w:val="0"/>
          <w:szCs w:val="32"/>
          <w:lang w:eastAsia="zh-CN"/>
        </w:rPr>
        <w:object>
          <v:shape id="_x0000_i1028" o:spt="75" type="#_x0000_t75" style="height:222.75pt;width:204.75pt;" o:ole="t" filled="f" o:preferrelative="t" stroked="f" coordsize="21600,21600">
            <v:path/>
            <v:fill on="f" focussize="0,0"/>
            <v:stroke on="f"/>
            <v:imagedata r:id="rId13" o:title=""/>
            <o:lock v:ext="edit" aspectratio="t"/>
            <w10:wrap type="none"/>
            <w10:anchorlock/>
          </v:shape>
          <o:OLEObject Type="Embed" ProgID="Excel.Chart.8" ShapeID="_x0000_i1028" DrawAspect="Content" ObjectID="_1468075728" r:id="rId12">
            <o:LockedField>false</o:LockedField>
          </o:OLEObject>
        </w:object>
      </w:r>
    </w:p>
    <w:p>
      <w:pPr>
        <w:widowControl/>
        <w:spacing w:line="560" w:lineRule="exact"/>
        <w:ind w:firstLine="640" w:firstLineChars="200"/>
        <w:jc w:val="left"/>
        <w:rPr>
          <w:rFonts w:hint="eastAsia" w:ascii="仿宋_GB2312" w:hAnsi="宋体" w:eastAsia="仿宋_GB2312" w:cs="仿宋_GB2312"/>
          <w:color w:val="000000"/>
          <w:kern w:val="0"/>
          <w:szCs w:val="32"/>
        </w:rPr>
      </w:pPr>
    </w:p>
    <w:p>
      <w:pPr>
        <w:widowControl/>
        <w:spacing w:line="560" w:lineRule="exact"/>
        <w:ind w:firstLine="640" w:firstLineChars="200"/>
        <w:jc w:val="left"/>
        <w:rPr>
          <w:rFonts w:hint="eastAsia" w:ascii="仿宋_GB2312" w:hAnsi="宋体" w:eastAsia="仿宋_GB2312" w:cs="仿宋_GB2312"/>
          <w:color w:val="000000"/>
          <w:kern w:val="0"/>
          <w:szCs w:val="32"/>
        </w:rPr>
      </w:pP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四、财政拨款收入支出决算总体情况说明</w:t>
      </w:r>
      <w:r>
        <w:rPr>
          <w:rFonts w:ascii="黑体" w:hAnsi="黑体" w:eastAsia="黑体"/>
          <w:color w:val="000000"/>
          <w:kern w:val="0"/>
          <w:szCs w:val="32"/>
        </w:rPr>
        <w:t xml:space="preserve">  </w:t>
      </w:r>
    </w:p>
    <w:p>
      <w:pPr>
        <w:widowControl/>
        <w:spacing w:line="560" w:lineRule="exact"/>
        <w:ind w:firstLine="640" w:firstLineChars="200"/>
        <w:jc w:val="left"/>
        <w:rPr>
          <w:rFonts w:hint="eastAsia" w:ascii="仿宋_GB2312" w:hAnsi="仿宋_GB2312" w:eastAsia="仿宋_GB2312" w:cs="仿宋_GB2312"/>
          <w:szCs w:val="32"/>
        </w:rPr>
      </w:pPr>
      <w:r>
        <w:rPr>
          <w:rFonts w:ascii="仿宋_GB2312" w:hAnsi="仿宋" w:eastAsia="仿宋_GB2312"/>
          <w:szCs w:val="32"/>
        </w:rPr>
        <w:t>2019</w:t>
      </w:r>
      <w:r>
        <w:rPr>
          <w:rFonts w:hint="eastAsia" w:ascii="仿宋_GB2312" w:hAnsi="仿宋" w:eastAsia="仿宋_GB2312"/>
          <w:szCs w:val="32"/>
        </w:rPr>
        <w:t>年度</w:t>
      </w:r>
      <w:r>
        <w:rPr>
          <w:rFonts w:hint="eastAsia" w:ascii="仿宋_GB2312" w:hAnsi="宋体" w:eastAsia="仿宋_GB2312" w:cs="仿宋_GB2312"/>
          <w:color w:val="000000"/>
          <w:kern w:val="0"/>
          <w:szCs w:val="32"/>
        </w:rPr>
        <w:t>财政拨款</w:t>
      </w:r>
      <w:r>
        <w:rPr>
          <w:rFonts w:hint="eastAsia" w:ascii="仿宋_GB2312" w:hAnsi="仿宋" w:eastAsia="仿宋_GB2312"/>
          <w:szCs w:val="32"/>
        </w:rPr>
        <w:t>收入总体情况及比上年减少</w:t>
      </w:r>
      <w:r>
        <w:rPr>
          <w:rFonts w:hint="eastAsia" w:ascii="仿宋_GB2312" w:hAnsi="仿宋" w:eastAsia="仿宋_GB2312"/>
          <w:szCs w:val="32"/>
          <w:lang w:val="en-US" w:eastAsia="zh-CN"/>
        </w:rPr>
        <w:t>26.52</w:t>
      </w:r>
      <w:r>
        <w:rPr>
          <w:rFonts w:hint="eastAsia" w:ascii="仿宋_GB2312" w:hAnsi="仿宋" w:eastAsia="仿宋_GB2312"/>
          <w:szCs w:val="32"/>
        </w:rPr>
        <w:t>万元，主要原因</w:t>
      </w:r>
      <w:r>
        <w:rPr>
          <w:rFonts w:hint="eastAsia" w:ascii="仿宋_GB2312" w:hAnsi="仿宋_GB2312" w:eastAsia="仿宋_GB2312" w:cs="仿宋_GB2312"/>
          <w:bCs/>
          <w:szCs w:val="32"/>
        </w:rPr>
        <w:t>主要是2019年财政投资补助项目相对去年较少</w:t>
      </w:r>
      <w:r>
        <w:rPr>
          <w:rFonts w:hint="eastAsia" w:ascii="仿宋_GB2312" w:hAnsi="仿宋_GB2312" w:eastAsia="仿宋_GB2312" w:cs="仿宋_GB2312"/>
          <w:szCs w:val="32"/>
        </w:rPr>
        <w:t>。</w:t>
      </w:r>
    </w:p>
    <w:p>
      <w:pPr>
        <w:widowControl/>
        <w:spacing w:line="560" w:lineRule="exact"/>
        <w:ind w:firstLine="640"/>
        <w:jc w:val="left"/>
        <w:rPr>
          <w:rFonts w:hint="eastAsia" w:ascii="仿宋" w:hAnsi="仿宋" w:eastAsia="仿宋"/>
          <w:bCs/>
          <w:szCs w:val="32"/>
        </w:rPr>
      </w:pPr>
      <w:r>
        <w:rPr>
          <w:rFonts w:ascii="仿宋_GB2312" w:hAnsi="仿宋" w:eastAsia="仿宋_GB2312"/>
          <w:szCs w:val="32"/>
        </w:rPr>
        <w:t>2019</w:t>
      </w:r>
      <w:r>
        <w:rPr>
          <w:rFonts w:hint="eastAsia" w:ascii="仿宋_GB2312" w:hAnsi="仿宋" w:eastAsia="仿宋_GB2312"/>
          <w:szCs w:val="32"/>
        </w:rPr>
        <w:t>年度</w:t>
      </w:r>
      <w:r>
        <w:rPr>
          <w:rFonts w:hint="eastAsia" w:ascii="仿宋_GB2312" w:hAnsi="宋体" w:eastAsia="仿宋_GB2312" w:cs="仿宋_GB2312"/>
          <w:color w:val="000000"/>
          <w:kern w:val="0"/>
          <w:szCs w:val="32"/>
        </w:rPr>
        <w:t>财政拨款</w:t>
      </w:r>
      <w:r>
        <w:rPr>
          <w:rFonts w:hint="eastAsia" w:ascii="仿宋_GB2312" w:hAnsi="仿宋" w:eastAsia="仿宋_GB2312"/>
          <w:szCs w:val="32"/>
        </w:rPr>
        <w:t>支出总体情况及比上年</w:t>
      </w:r>
      <w:r>
        <w:rPr>
          <w:rFonts w:hint="eastAsia" w:ascii="仿宋_GB2312" w:hAnsi="仿宋" w:eastAsia="仿宋_GB2312"/>
          <w:szCs w:val="32"/>
          <w:lang w:eastAsia="zh-CN"/>
        </w:rPr>
        <w:t>减少</w:t>
      </w:r>
      <w:r>
        <w:rPr>
          <w:rFonts w:hint="eastAsia" w:ascii="仿宋_GB2312" w:hAnsi="仿宋" w:eastAsia="仿宋_GB2312"/>
          <w:szCs w:val="32"/>
          <w:lang w:val="en-US" w:eastAsia="zh-CN"/>
        </w:rPr>
        <w:t>26.52</w:t>
      </w:r>
      <w:r>
        <w:rPr>
          <w:rFonts w:hint="eastAsia" w:ascii="仿宋_GB2312" w:hAnsi="仿宋" w:eastAsia="仿宋_GB2312"/>
          <w:szCs w:val="32"/>
        </w:rPr>
        <w:t>万元，主要原因</w:t>
      </w:r>
      <w:r>
        <w:rPr>
          <w:rFonts w:hint="eastAsia" w:ascii="仿宋_GB2312" w:hAnsi="仿宋_GB2312" w:eastAsia="仿宋_GB2312" w:cs="仿宋_GB2312"/>
          <w:bCs/>
          <w:szCs w:val="32"/>
        </w:rPr>
        <w:t>主要2019年</w:t>
      </w:r>
      <w:r>
        <w:rPr>
          <w:rFonts w:hint="eastAsia" w:ascii="仿宋_GB2312" w:hAnsi="仿宋_GB2312" w:eastAsia="仿宋_GB2312" w:cs="仿宋_GB2312"/>
          <w:bCs/>
          <w:szCs w:val="32"/>
          <w:lang w:eastAsia="zh-CN"/>
        </w:rPr>
        <w:t>项目</w:t>
      </w:r>
      <w:r>
        <w:rPr>
          <w:rFonts w:hint="eastAsia" w:ascii="仿宋_GB2312" w:hAnsi="仿宋_GB2312" w:eastAsia="仿宋_GB2312" w:cs="仿宋_GB2312"/>
          <w:bCs/>
          <w:szCs w:val="32"/>
        </w:rPr>
        <w:t>经费支出减少，本年度单位按照国家有关规定节约了开支</w:t>
      </w:r>
      <w:r>
        <w:rPr>
          <w:rFonts w:hint="eastAsia" w:ascii="仿宋" w:hAnsi="仿宋" w:eastAsia="仿宋"/>
          <w:bCs/>
          <w:szCs w:val="32"/>
        </w:rPr>
        <w:t>。</w:t>
      </w:r>
    </w:p>
    <w:p>
      <w:pPr>
        <w:widowControl/>
        <w:spacing w:line="560" w:lineRule="exact"/>
        <w:ind w:firstLine="640"/>
        <w:jc w:val="left"/>
        <w:rPr>
          <w:rFonts w:hint="eastAsia" w:ascii="仿宋" w:hAnsi="仿宋" w:eastAsia="仿宋"/>
          <w:bCs/>
          <w:szCs w:val="32"/>
        </w:rPr>
      </w:pPr>
    </w:p>
    <w:p>
      <w:pPr>
        <w:widowControl/>
        <w:spacing w:line="560" w:lineRule="exact"/>
        <w:ind w:firstLine="640"/>
        <w:jc w:val="left"/>
        <w:rPr>
          <w:rFonts w:hint="eastAsia" w:ascii="仿宋" w:hAnsi="仿宋" w:eastAsia="仿宋"/>
          <w:bCs/>
          <w:szCs w:val="32"/>
        </w:rPr>
      </w:pPr>
    </w:p>
    <w:p>
      <w:pPr>
        <w:autoSpaceDE w:val="0"/>
        <w:autoSpaceDN w:val="0"/>
        <w:spacing w:line="520" w:lineRule="exact"/>
        <w:ind w:firstLine="562"/>
        <w:jc w:val="left"/>
        <w:rPr>
          <w:rFonts w:hint="eastAsia" w:ascii="仿宋_GB2312" w:hAnsi="仿宋_GB2312" w:eastAsia="仿宋_GB2312" w:cs="仿宋_GB2312"/>
          <w:bCs/>
          <w:kern w:val="0"/>
          <w:szCs w:val="32"/>
          <w:lang w:eastAsia="zh-CN"/>
        </w:rPr>
      </w:pPr>
      <w:r>
        <w:rPr>
          <w:rFonts w:hint="eastAsia" w:ascii="仿宋_GB2312" w:hAnsi="仿宋_GB2312" w:eastAsia="仿宋_GB2312" w:cs="仿宋_GB2312"/>
          <w:bCs/>
          <w:kern w:val="0"/>
          <w:szCs w:val="32"/>
          <w:lang w:eastAsia="zh-CN"/>
        </w:rPr>
        <w:t>图示：</w:t>
      </w:r>
    </w:p>
    <w:p>
      <w:pPr>
        <w:autoSpaceDE w:val="0"/>
        <w:autoSpaceDN w:val="0"/>
        <w:spacing w:line="240" w:lineRule="auto"/>
        <w:ind w:firstLine="562"/>
        <w:rPr>
          <w:rFonts w:hint="eastAsia" w:ascii="仿宋" w:hAnsi="仿宋" w:eastAsia="仿宋"/>
          <w:b/>
          <w:bCs/>
          <w:sz w:val="28"/>
          <w:szCs w:val="28"/>
          <w:lang w:eastAsia="zh-CN"/>
        </w:rPr>
      </w:pPr>
    </w:p>
    <w:p>
      <w:pPr>
        <w:autoSpaceDE w:val="0"/>
        <w:autoSpaceDN w:val="0"/>
        <w:spacing w:line="240" w:lineRule="auto"/>
        <w:ind w:firstLine="562"/>
        <w:rPr>
          <w:rFonts w:hint="eastAsia" w:ascii="仿宋" w:hAnsi="仿宋" w:eastAsia="仿宋"/>
          <w:b/>
          <w:bCs/>
          <w:sz w:val="28"/>
          <w:szCs w:val="28"/>
          <w:lang w:eastAsia="zh-CN"/>
        </w:rPr>
      </w:pPr>
      <w:r>
        <w:rPr>
          <w:rFonts w:hint="eastAsia" w:ascii="仿宋" w:hAnsi="仿宋" w:eastAsia="仿宋"/>
          <w:b/>
          <w:bCs/>
          <w:sz w:val="28"/>
          <w:szCs w:val="28"/>
          <w:lang w:eastAsia="zh-CN"/>
        </w:rPr>
        <w:object>
          <v:shape id="_x0000_i1029" o:spt="75" type="#_x0000_t75" style="height:222.75pt;width:288pt;" o:ole="t" filled="f" o:preferrelative="t" stroked="f" coordsize="21600,21600">
            <v:path/>
            <v:fill on="f" focussize="0,0"/>
            <v:stroke on="f"/>
            <v:imagedata r:id="rId15" o:title=""/>
            <o:lock v:ext="edit" aspectratio="t"/>
            <w10:wrap type="none"/>
            <w10:anchorlock/>
          </v:shape>
          <o:OLEObject Type="Embed" ProgID="Excel.Chart.8" ShapeID="_x0000_i1029" DrawAspect="Content" ObjectID="_1468075729" r:id="rId14">
            <o:LockedField>false</o:LockedField>
          </o:OLEObject>
        </w:objec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五、一般公共预算财政拨款支出决算情况说明</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（一）财政拨款支出决算总体情况说明。</w:t>
      </w:r>
    </w:p>
    <w:p>
      <w:pPr>
        <w:widowControl/>
        <w:spacing w:line="560" w:lineRule="exact"/>
        <w:ind w:firstLine="640"/>
        <w:jc w:val="left"/>
        <w:rPr>
          <w:rFonts w:hint="eastAsia" w:ascii="仿宋" w:hAnsi="仿宋" w:eastAsia="仿宋"/>
          <w:bCs/>
          <w:szCs w:val="32"/>
        </w:rPr>
      </w:pP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年度财政拨款支出</w:t>
      </w:r>
      <w:r>
        <w:rPr>
          <w:rFonts w:hint="eastAsia" w:ascii="仿宋_GB2312" w:hAnsi="宋体" w:eastAsia="仿宋_GB2312" w:cs="仿宋_GB2312"/>
          <w:color w:val="000000"/>
          <w:kern w:val="0"/>
          <w:szCs w:val="32"/>
          <w:lang w:val="en-US" w:eastAsia="zh-CN"/>
        </w:rPr>
        <w:t>54.23</w:t>
      </w:r>
      <w:r>
        <w:rPr>
          <w:rFonts w:hint="eastAsia" w:ascii="仿宋_GB2312" w:hAnsi="宋体" w:eastAsia="仿宋_GB2312" w:cs="仿宋_GB2312"/>
          <w:color w:val="000000"/>
          <w:kern w:val="0"/>
          <w:szCs w:val="32"/>
        </w:rPr>
        <w:t>万元，占本年支出合计的</w:t>
      </w:r>
      <w:r>
        <w:rPr>
          <w:rFonts w:hint="eastAsia" w:ascii="仿宋_GB2312" w:hAnsi="宋体" w:eastAsia="仿宋_GB2312" w:cs="仿宋_GB2312"/>
          <w:color w:val="000000"/>
          <w:kern w:val="0"/>
          <w:szCs w:val="32"/>
          <w:lang w:val="en-US" w:eastAsia="zh-CN"/>
        </w:rPr>
        <w:t>10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。与上年相比，财政拨款支出</w:t>
      </w:r>
      <w:r>
        <w:rPr>
          <w:rFonts w:hint="eastAsia" w:ascii="仿宋_GB2312" w:hAnsi="宋体" w:eastAsia="仿宋_GB2312" w:cs="仿宋_GB2312"/>
          <w:color w:val="000000"/>
          <w:kern w:val="0"/>
          <w:szCs w:val="32"/>
          <w:lang w:eastAsia="zh-CN"/>
        </w:rPr>
        <w:t>减少</w:t>
      </w:r>
      <w:r>
        <w:rPr>
          <w:rFonts w:hint="eastAsia" w:ascii="仿宋_GB2312" w:hAnsi="宋体" w:eastAsia="仿宋_GB2312" w:cs="仿宋_GB2312"/>
          <w:color w:val="000000"/>
          <w:kern w:val="0"/>
          <w:szCs w:val="32"/>
          <w:lang w:val="en-US" w:eastAsia="zh-CN"/>
        </w:rPr>
        <w:t>26.52</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eastAsia="zh-CN"/>
        </w:rPr>
        <w:t>减少</w:t>
      </w:r>
      <w:r>
        <w:rPr>
          <w:rFonts w:hint="eastAsia" w:ascii="仿宋_GB2312" w:hAnsi="宋体" w:eastAsia="仿宋_GB2312" w:cs="仿宋_GB2312"/>
          <w:color w:val="000000"/>
          <w:kern w:val="0"/>
          <w:szCs w:val="32"/>
          <w:lang w:val="en-US" w:eastAsia="zh-CN"/>
        </w:rPr>
        <w:t>36</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主要原因是</w:t>
      </w:r>
      <w:r>
        <w:rPr>
          <w:rFonts w:hint="eastAsia" w:ascii="仿宋_GB2312" w:hAnsi="仿宋_GB2312" w:eastAsia="仿宋_GB2312" w:cs="仿宋_GB2312"/>
          <w:bCs/>
          <w:szCs w:val="32"/>
        </w:rPr>
        <w:t>2019年</w:t>
      </w:r>
      <w:r>
        <w:rPr>
          <w:rFonts w:hint="eastAsia" w:ascii="仿宋_GB2312" w:hAnsi="仿宋_GB2312" w:eastAsia="仿宋_GB2312" w:cs="仿宋_GB2312"/>
          <w:bCs/>
          <w:szCs w:val="32"/>
          <w:lang w:eastAsia="zh-CN"/>
        </w:rPr>
        <w:t>项目</w:t>
      </w:r>
      <w:r>
        <w:rPr>
          <w:rFonts w:hint="eastAsia" w:ascii="仿宋_GB2312" w:hAnsi="仿宋_GB2312" w:eastAsia="仿宋_GB2312" w:cs="仿宋_GB2312"/>
          <w:bCs/>
          <w:szCs w:val="32"/>
        </w:rPr>
        <w:t>经费支出减少，本年度单位按照国家有关规定节约了开支，</w:t>
      </w:r>
      <w:r>
        <w:rPr>
          <w:rFonts w:hint="eastAsia" w:ascii="仿宋_GB2312" w:hAnsi="仿宋_GB2312" w:eastAsia="仿宋_GB2312" w:cs="仿宋_GB2312"/>
          <w:bCs/>
          <w:szCs w:val="32"/>
          <w:lang w:eastAsia="zh-CN"/>
        </w:rPr>
        <w:t>项目支出较上年有所减少</w:t>
      </w:r>
      <w:r>
        <w:rPr>
          <w:rFonts w:hint="eastAsia" w:ascii="仿宋" w:hAnsi="仿宋" w:eastAsia="仿宋"/>
          <w:bCs/>
          <w:szCs w:val="32"/>
        </w:rPr>
        <w:t>。</w:t>
      </w:r>
    </w:p>
    <w:p>
      <w:pPr>
        <w:widowControl/>
        <w:spacing w:line="560" w:lineRule="exact"/>
        <w:ind w:firstLine="640"/>
        <w:jc w:val="left"/>
        <w:rPr>
          <w:rFonts w:hint="eastAsia" w:ascii="仿宋" w:hAnsi="仿宋" w:eastAsia="仿宋"/>
          <w:bCs/>
          <w:szCs w:val="32"/>
        </w:rPr>
      </w:pPr>
    </w:p>
    <w:p>
      <w:pPr>
        <w:widowControl/>
        <w:spacing w:line="560" w:lineRule="exact"/>
        <w:ind w:firstLine="640"/>
        <w:jc w:val="left"/>
        <w:rPr>
          <w:rFonts w:hint="eastAsia" w:ascii="仿宋" w:hAnsi="仿宋" w:eastAsia="仿宋"/>
          <w:bCs/>
          <w:szCs w:val="32"/>
        </w:rPr>
      </w:pPr>
    </w:p>
    <w:p>
      <w:pPr>
        <w:widowControl/>
        <w:spacing w:line="560" w:lineRule="exact"/>
        <w:ind w:firstLine="640"/>
        <w:jc w:val="left"/>
        <w:rPr>
          <w:rFonts w:hint="eastAsia" w:ascii="仿宋" w:hAnsi="仿宋" w:eastAsia="仿宋"/>
          <w:bCs/>
          <w:szCs w:val="32"/>
        </w:rPr>
      </w:pPr>
    </w:p>
    <w:p>
      <w:pPr>
        <w:widowControl/>
        <w:spacing w:line="560" w:lineRule="exact"/>
        <w:ind w:firstLine="640"/>
        <w:jc w:val="left"/>
        <w:rPr>
          <w:rFonts w:hint="eastAsia" w:ascii="仿宋" w:hAnsi="仿宋" w:eastAsia="仿宋"/>
          <w:bCs/>
          <w:szCs w:val="32"/>
        </w:rPr>
      </w:pPr>
    </w:p>
    <w:p>
      <w:pPr>
        <w:widowControl/>
        <w:spacing w:line="560" w:lineRule="exact"/>
        <w:ind w:firstLine="640"/>
        <w:jc w:val="left"/>
        <w:rPr>
          <w:rFonts w:hint="eastAsia" w:ascii="仿宋" w:hAnsi="仿宋" w:eastAsia="仿宋"/>
          <w:bCs/>
          <w:szCs w:val="32"/>
        </w:rPr>
      </w:pPr>
    </w:p>
    <w:p>
      <w:pPr>
        <w:widowControl/>
        <w:spacing w:line="560" w:lineRule="exact"/>
        <w:ind w:firstLine="640"/>
        <w:jc w:val="left"/>
        <w:rPr>
          <w:rFonts w:hint="eastAsia" w:ascii="仿宋" w:hAnsi="仿宋" w:eastAsia="仿宋"/>
          <w:bCs/>
          <w:szCs w:val="32"/>
        </w:rPr>
      </w:pPr>
    </w:p>
    <w:p>
      <w:pPr>
        <w:widowControl/>
        <w:spacing w:line="560" w:lineRule="exact"/>
        <w:ind w:firstLine="640"/>
        <w:jc w:val="left"/>
        <w:rPr>
          <w:rFonts w:hint="eastAsia" w:ascii="仿宋" w:hAnsi="仿宋" w:eastAsia="仿宋"/>
          <w:bCs/>
          <w:szCs w:val="32"/>
        </w:rPr>
      </w:pPr>
    </w:p>
    <w:p>
      <w:pPr>
        <w:widowControl/>
        <w:spacing w:line="560" w:lineRule="exact"/>
        <w:ind w:firstLine="640"/>
        <w:jc w:val="left"/>
        <w:rPr>
          <w:rFonts w:hint="eastAsia" w:ascii="仿宋" w:hAnsi="仿宋" w:eastAsia="仿宋"/>
          <w:bCs/>
          <w:szCs w:val="32"/>
        </w:rPr>
      </w:pPr>
    </w:p>
    <w:p>
      <w:pPr>
        <w:widowControl/>
        <w:spacing w:line="560" w:lineRule="exact"/>
        <w:ind w:firstLine="640"/>
        <w:jc w:val="left"/>
        <w:rPr>
          <w:rFonts w:hint="eastAsia" w:ascii="仿宋_GB2312" w:hAnsi="仿宋_GB2312" w:eastAsia="仿宋_GB2312" w:cs="仿宋_GB2312"/>
          <w:bCs/>
          <w:szCs w:val="32"/>
          <w:lang w:eastAsia="zh-CN"/>
        </w:rPr>
      </w:pPr>
      <w:r>
        <w:rPr>
          <w:rFonts w:hint="eastAsia" w:ascii="仿宋_GB2312" w:hAnsi="仿宋_GB2312" w:eastAsia="仿宋_GB2312" w:cs="仿宋_GB2312"/>
          <w:bCs/>
          <w:szCs w:val="32"/>
          <w:lang w:eastAsia="zh-CN"/>
        </w:rPr>
        <w:t>图示：</w:t>
      </w:r>
    </w:p>
    <w:p>
      <w:pPr>
        <w:autoSpaceDE w:val="0"/>
        <w:autoSpaceDN w:val="0"/>
        <w:spacing w:line="240" w:lineRule="auto"/>
        <w:jc w:val="left"/>
        <w:rPr>
          <w:rFonts w:hint="eastAsia" w:ascii="仿宋" w:hAnsi="仿宋" w:eastAsia="仿宋"/>
          <w:bCs/>
          <w:kern w:val="0"/>
          <w:szCs w:val="32"/>
          <w:lang w:eastAsia="zh-CN"/>
        </w:rPr>
      </w:pPr>
      <w:r>
        <w:rPr>
          <w:rFonts w:hint="eastAsia" w:ascii="仿宋" w:hAnsi="仿宋" w:eastAsia="仿宋"/>
          <w:bCs/>
          <w:kern w:val="0"/>
          <w:szCs w:val="32"/>
          <w:lang w:eastAsia="zh-CN"/>
        </w:rPr>
        <w:object>
          <v:shape id="_x0000_i1030" o:spt="75" type="#_x0000_t75" style="height:222.75pt;width:204.75pt;" o:ole="t" filled="f" o:preferrelative="t" stroked="f" coordsize="21600,21600">
            <v:path/>
            <v:fill on="f" focussize="0,0"/>
            <v:stroke on="f"/>
            <v:imagedata r:id="rId17" o:title=""/>
            <o:lock v:ext="edit" aspectratio="t"/>
            <w10:wrap type="none"/>
            <w10:anchorlock/>
          </v:shape>
          <o:OLEObject Type="Embed" ProgID="Excel.Chart.8" ShapeID="_x0000_i1030" DrawAspect="Content" ObjectID="_1468075730" r:id="rId16">
            <o:LockedField>false</o:LockedField>
          </o:OLEObject>
        </w:object>
      </w:r>
    </w:p>
    <w:p>
      <w:pPr>
        <w:spacing w:line="560" w:lineRule="exac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lang w:val="en-US" w:eastAsia="zh-CN"/>
        </w:rPr>
        <w:t xml:space="preserve">    </w:t>
      </w:r>
      <w:r>
        <w:rPr>
          <w:rFonts w:hint="eastAsia" w:ascii="楷体_GB2312" w:hAnsi="宋体" w:eastAsia="楷体_GB2312" w:cs="楷体_GB2312"/>
          <w:b/>
          <w:color w:val="000000"/>
          <w:kern w:val="0"/>
          <w:szCs w:val="32"/>
        </w:rPr>
        <w:t>（二）财政拨款支出决算具体情况说明。</w:t>
      </w:r>
    </w:p>
    <w:p>
      <w:pPr>
        <w:spacing w:line="560" w:lineRule="exact"/>
        <w:ind w:firstLine="640" w:firstLineChars="200"/>
        <w:rPr>
          <w:rFonts w:ascii="楷体_GB2312" w:hAnsi="宋体" w:eastAsia="楷体_GB2312" w:cs="楷体_GB2312"/>
          <w:b/>
          <w:color w:val="000000"/>
          <w:kern w:val="0"/>
          <w:szCs w:val="32"/>
        </w:rPr>
      </w:pP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w:t>
      </w:r>
      <w:r>
        <w:rPr>
          <w:rFonts w:hint="eastAsia" w:ascii="仿宋_GB2312" w:hAnsi="仿宋" w:eastAsia="仿宋_GB2312"/>
          <w:szCs w:val="32"/>
        </w:rPr>
        <w:t>度</w:t>
      </w:r>
      <w:r>
        <w:rPr>
          <w:rFonts w:hint="eastAsia" w:ascii="仿宋_GB2312" w:hAnsi="宋体" w:eastAsia="仿宋_GB2312" w:cs="仿宋_GB2312"/>
          <w:color w:val="000000"/>
          <w:kern w:val="0"/>
          <w:szCs w:val="32"/>
        </w:rPr>
        <w:t>财政拨款支出年初预算为</w:t>
      </w:r>
      <w:r>
        <w:rPr>
          <w:rFonts w:hint="eastAsia" w:ascii="仿宋_GB2312" w:hAnsi="宋体" w:eastAsia="仿宋_GB2312" w:cs="仿宋_GB2312"/>
          <w:color w:val="000000"/>
          <w:kern w:val="0"/>
          <w:szCs w:val="32"/>
          <w:lang w:val="en-US" w:eastAsia="zh-CN"/>
        </w:rPr>
        <w:t>43.9</w:t>
      </w:r>
      <w:r>
        <w:rPr>
          <w:rFonts w:hint="eastAsia"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54.12</w:t>
      </w:r>
      <w:r>
        <w:rPr>
          <w:rFonts w:hint="eastAsia"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lang w:val="en-US" w:eastAsia="zh-CN"/>
        </w:rPr>
        <w:t>18</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。按照政府功能分类科目，其中：</w:t>
      </w:r>
      <w:r>
        <w:rPr>
          <w:rFonts w:ascii="仿宋_GB2312" w:hAnsi="宋体" w:eastAsia="仿宋_GB2312" w:cs="仿宋_GB2312"/>
          <w:color w:val="000000"/>
          <w:kern w:val="0"/>
          <w:szCs w:val="32"/>
        </w:rPr>
        <w:t xml:space="preserve"> </w:t>
      </w:r>
    </w:p>
    <w:p>
      <w:pPr>
        <w:widowControl/>
        <w:spacing w:line="560" w:lineRule="exact"/>
        <w:ind w:firstLine="643" w:firstLineChars="200"/>
        <w:jc w:val="left"/>
      </w:pPr>
      <w:r>
        <w:rPr>
          <w:rFonts w:ascii="仿宋_GB2312" w:hAnsi="宋体" w:eastAsia="仿宋_GB2312" w:cs="仿宋_GB2312"/>
          <w:b/>
          <w:color w:val="000000"/>
          <w:kern w:val="0"/>
          <w:szCs w:val="32"/>
        </w:rPr>
        <w:t>1.</w:t>
      </w:r>
      <w:r>
        <w:rPr>
          <w:rFonts w:hint="eastAsia" w:ascii="仿宋_GB2312" w:hAnsi="宋体" w:eastAsia="仿宋_GB2312" w:cs="仿宋_GB2312"/>
          <w:b/>
          <w:color w:val="000000"/>
          <w:kern w:val="0"/>
          <w:szCs w:val="32"/>
        </w:rPr>
        <w:t>基本支出：</w:t>
      </w:r>
      <w:r>
        <w:rPr>
          <w:rFonts w:ascii="仿宋_GB2312" w:hAnsi="宋体" w:eastAsia="仿宋_GB2312" w:cs="仿宋_GB2312"/>
          <w:b/>
          <w:color w:val="000000"/>
          <w:kern w:val="0"/>
          <w:szCs w:val="32"/>
        </w:rPr>
        <w:t xml:space="preserve"> </w:t>
      </w:r>
    </w:p>
    <w:p>
      <w:pPr>
        <w:widowControl/>
        <w:spacing w:line="560" w:lineRule="exact"/>
        <w:ind w:firstLine="480" w:firstLineChars="150"/>
        <w:jc w:val="left"/>
        <w:rPr>
          <w:rFonts w:hint="eastAsia"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lang w:val="en-US" w:eastAsia="zh-CN"/>
        </w:rPr>
        <w:t>39</w:t>
      </w:r>
      <w:r>
        <w:rPr>
          <w:rFonts w:hint="eastAsia"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49.4</w:t>
      </w:r>
      <w:r>
        <w:rPr>
          <w:rFonts w:hint="eastAsia" w:ascii="仿宋_GB2312" w:hAnsi="宋体" w:eastAsia="仿宋_GB2312" w:cs="仿宋_GB2312"/>
          <w:color w:val="000000"/>
          <w:kern w:val="0"/>
          <w:szCs w:val="32"/>
        </w:rPr>
        <w:t>万元，完成年初预算的</w:t>
      </w:r>
      <w:r>
        <w:rPr>
          <w:rFonts w:ascii="仿宋_GB2312" w:hAnsi="宋体" w:eastAsia="仿宋_GB2312" w:cs="仿宋_GB2312"/>
          <w:color w:val="000000"/>
          <w:kern w:val="0"/>
          <w:szCs w:val="32"/>
        </w:rPr>
        <w:t>141%</w:t>
      </w:r>
      <w:r>
        <w:rPr>
          <w:rFonts w:hint="eastAsia" w:ascii="仿宋_GB2312" w:hAnsi="宋体" w:eastAsia="仿宋_GB2312" w:cs="仿宋_GB2312"/>
          <w:color w:val="000000"/>
          <w:kern w:val="0"/>
          <w:szCs w:val="32"/>
        </w:rPr>
        <w:t>。其中：工资福利支出</w:t>
      </w:r>
      <w:r>
        <w:rPr>
          <w:rFonts w:hint="eastAsia" w:ascii="仿宋_GB2312" w:hAnsi="宋体" w:eastAsia="仿宋_GB2312" w:cs="仿宋_GB2312"/>
          <w:color w:val="000000"/>
          <w:kern w:val="0"/>
          <w:szCs w:val="32"/>
          <w:lang w:val="en-US" w:eastAsia="zh-CN"/>
        </w:rPr>
        <w:t>47.4</w:t>
      </w:r>
      <w:r>
        <w:rPr>
          <w:rFonts w:hint="eastAsia" w:ascii="仿宋_GB2312" w:hAnsi="宋体" w:eastAsia="仿宋_GB2312" w:cs="仿宋_GB2312"/>
          <w:color w:val="000000"/>
          <w:kern w:val="0"/>
          <w:szCs w:val="32"/>
        </w:rPr>
        <w:t>万元。决算数大于预算数的主要原因是人员工资的增加、绩效增量的发放及对个人和家庭的补助。</w:t>
      </w:r>
    </w:p>
    <w:p>
      <w:pPr>
        <w:widowControl/>
        <w:spacing w:line="560" w:lineRule="exact"/>
        <w:ind w:firstLine="480" w:firstLineChars="150"/>
        <w:jc w:val="left"/>
        <w:rPr>
          <w:rFonts w:hint="eastAsia" w:ascii="仿宋_GB2312" w:hAnsi="宋体" w:eastAsia="仿宋_GB2312" w:cs="仿宋_GB2312"/>
          <w:color w:val="000000"/>
          <w:kern w:val="0"/>
          <w:szCs w:val="32"/>
        </w:rPr>
      </w:pPr>
    </w:p>
    <w:p>
      <w:pPr>
        <w:widowControl/>
        <w:spacing w:line="560" w:lineRule="exact"/>
        <w:ind w:firstLine="480" w:firstLineChars="150"/>
        <w:jc w:val="left"/>
        <w:rPr>
          <w:rFonts w:hint="eastAsia" w:ascii="仿宋_GB2312" w:hAnsi="宋体" w:eastAsia="仿宋_GB2312" w:cs="仿宋_GB2312"/>
          <w:color w:val="000000"/>
          <w:kern w:val="0"/>
          <w:szCs w:val="32"/>
          <w:lang w:eastAsia="zh-CN"/>
        </w:rPr>
      </w:pPr>
    </w:p>
    <w:p>
      <w:pPr>
        <w:widowControl/>
        <w:spacing w:line="560" w:lineRule="exact"/>
        <w:ind w:firstLine="480" w:firstLineChars="150"/>
        <w:jc w:val="left"/>
        <w:rPr>
          <w:rFonts w:hint="eastAsia" w:ascii="仿宋_GB2312" w:hAnsi="宋体" w:eastAsia="仿宋_GB2312" w:cs="仿宋_GB2312"/>
          <w:color w:val="000000"/>
          <w:kern w:val="0"/>
          <w:szCs w:val="32"/>
          <w:lang w:eastAsia="zh-CN"/>
        </w:rPr>
      </w:pPr>
    </w:p>
    <w:p>
      <w:pPr>
        <w:widowControl/>
        <w:spacing w:line="560" w:lineRule="exact"/>
        <w:ind w:firstLine="480" w:firstLineChars="150"/>
        <w:jc w:val="left"/>
        <w:rPr>
          <w:rFonts w:hint="eastAsia" w:ascii="仿宋_GB2312" w:hAnsi="宋体" w:eastAsia="仿宋_GB2312" w:cs="仿宋_GB2312"/>
          <w:color w:val="000000"/>
          <w:kern w:val="0"/>
          <w:szCs w:val="32"/>
          <w:lang w:eastAsia="zh-CN"/>
        </w:rPr>
      </w:pPr>
    </w:p>
    <w:p>
      <w:pPr>
        <w:widowControl/>
        <w:spacing w:line="560" w:lineRule="exact"/>
        <w:ind w:firstLine="480" w:firstLineChars="150"/>
        <w:jc w:val="left"/>
        <w:rPr>
          <w:rFonts w:hint="eastAsia" w:ascii="仿宋_GB2312" w:hAnsi="宋体" w:eastAsia="仿宋_GB2312" w:cs="仿宋_GB2312"/>
          <w:color w:val="000000"/>
          <w:kern w:val="0"/>
          <w:szCs w:val="32"/>
          <w:lang w:eastAsia="zh-CN"/>
        </w:rPr>
      </w:pPr>
    </w:p>
    <w:p>
      <w:pPr>
        <w:widowControl/>
        <w:spacing w:line="560" w:lineRule="exact"/>
        <w:ind w:firstLine="480" w:firstLineChars="150"/>
        <w:jc w:val="left"/>
        <w:rPr>
          <w:rFonts w:hint="eastAsia" w:ascii="仿宋_GB2312" w:hAnsi="宋体" w:eastAsia="仿宋_GB2312" w:cs="仿宋_GB2312"/>
          <w:color w:val="000000"/>
          <w:kern w:val="0"/>
          <w:szCs w:val="32"/>
          <w:lang w:eastAsia="zh-CN"/>
        </w:rPr>
      </w:pPr>
    </w:p>
    <w:p>
      <w:pPr>
        <w:widowControl/>
        <w:spacing w:line="560" w:lineRule="exact"/>
        <w:ind w:firstLine="480" w:firstLineChars="150"/>
        <w:jc w:val="left"/>
        <w:rPr>
          <w:rFonts w:hint="eastAsia" w:ascii="仿宋_GB2312" w:hAnsi="宋体" w:eastAsia="仿宋_GB2312" w:cs="仿宋_GB2312"/>
          <w:color w:val="000000"/>
          <w:kern w:val="0"/>
          <w:szCs w:val="32"/>
          <w:lang w:eastAsia="zh-CN"/>
        </w:rPr>
      </w:pPr>
      <w:r>
        <w:rPr>
          <w:rFonts w:hint="eastAsia" w:ascii="仿宋_GB2312" w:hAnsi="宋体" w:eastAsia="仿宋_GB2312" w:cs="仿宋_GB2312"/>
          <w:color w:val="000000"/>
          <w:kern w:val="0"/>
          <w:szCs w:val="32"/>
          <w:lang w:eastAsia="zh-CN"/>
        </w:rPr>
        <w:t>图示：</w:t>
      </w:r>
    </w:p>
    <w:p>
      <w:pPr>
        <w:widowControl/>
        <w:spacing w:line="240" w:lineRule="auto"/>
        <w:ind w:firstLine="480" w:firstLineChars="150"/>
        <w:jc w:val="left"/>
        <w:rPr>
          <w:rFonts w:hint="eastAsia" w:ascii="仿宋_GB2312" w:hAnsi="宋体" w:eastAsia="仿宋_GB2312" w:cs="仿宋_GB2312"/>
          <w:color w:val="000000"/>
          <w:kern w:val="0"/>
          <w:szCs w:val="32"/>
          <w:lang w:eastAsia="zh-CN"/>
        </w:rPr>
      </w:pPr>
      <w:r>
        <w:rPr>
          <w:rFonts w:hint="eastAsia" w:ascii="仿宋_GB2312" w:hAnsi="宋体" w:eastAsia="仿宋_GB2312" w:cs="仿宋_GB2312"/>
          <w:color w:val="000000"/>
          <w:kern w:val="0"/>
          <w:szCs w:val="32"/>
          <w:lang w:eastAsia="zh-CN"/>
        </w:rPr>
        <w:pict>
          <v:shape id="_x0000_i1031" o:spt="75" alt="图片1" type="#_x0000_t75" style="height:222.75pt;width:366.75pt;" filled="f" o:preferrelative="t" stroked="f" coordsize="21600,21600">
            <v:path/>
            <v:fill on="f" focussize="0,0"/>
            <v:stroke on="f"/>
            <v:imagedata r:id="rId18" o:title="图片1"/>
            <o:lock v:ext="edit" aspectratio="t"/>
            <w10:wrap type="none"/>
            <w10:anchorlock/>
          </v:shape>
        </w:pict>
      </w:r>
    </w:p>
    <w:p>
      <w:pPr>
        <w:widowControl/>
        <w:spacing w:line="560" w:lineRule="exact"/>
        <w:ind w:firstLine="480" w:firstLineChars="150"/>
        <w:jc w:val="left"/>
        <w:rPr>
          <w:rFonts w:hint="eastAsia" w:ascii="仿宋_GB2312" w:hAnsi="宋体" w:eastAsia="仿宋_GB2312" w:cs="仿宋_GB2312"/>
          <w:color w:val="000000"/>
          <w:kern w:val="0"/>
          <w:szCs w:val="32"/>
          <w:lang w:eastAsia="zh-CN"/>
        </w:rPr>
      </w:pPr>
    </w:p>
    <w:p>
      <w:pPr>
        <w:widowControl/>
        <w:spacing w:line="560" w:lineRule="exact"/>
        <w:ind w:firstLine="482" w:firstLineChars="150"/>
        <w:jc w:val="left"/>
        <w:rPr>
          <w:rFonts w:ascii="仿宋_GB2312" w:hAnsi="宋体" w:eastAsia="仿宋_GB2312" w:cs="仿宋_GB2312"/>
          <w:b/>
          <w:color w:val="000000"/>
          <w:kern w:val="0"/>
          <w:szCs w:val="32"/>
        </w:rPr>
      </w:pPr>
      <w:r>
        <w:rPr>
          <w:rFonts w:ascii="仿宋_GB2312" w:hAnsi="宋体" w:eastAsia="仿宋_GB2312" w:cs="仿宋_GB2312"/>
          <w:b/>
          <w:color w:val="000000"/>
          <w:kern w:val="0"/>
          <w:szCs w:val="32"/>
        </w:rPr>
        <w:t>2</w:t>
      </w:r>
      <w:r>
        <w:rPr>
          <w:rFonts w:hint="eastAsia" w:ascii="仿宋_GB2312" w:hAnsi="宋体" w:eastAsia="仿宋_GB2312" w:cs="仿宋_GB2312"/>
          <w:b/>
          <w:color w:val="000000"/>
          <w:kern w:val="0"/>
          <w:szCs w:val="32"/>
        </w:rPr>
        <w:t>、项目支出：</w:t>
      </w:r>
    </w:p>
    <w:p>
      <w:pPr>
        <w:widowControl/>
        <w:spacing w:line="560" w:lineRule="exact"/>
        <w:ind w:firstLine="480" w:firstLineChars="150"/>
        <w:jc w:val="left"/>
        <w:rPr>
          <w:rFonts w:hint="eastAsia"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lang w:val="en-US" w:eastAsia="zh-CN"/>
        </w:rPr>
        <w:t>5</w:t>
      </w:r>
      <w:r>
        <w:rPr>
          <w:rFonts w:hint="eastAsia"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4.75</w:t>
      </w:r>
      <w:r>
        <w:rPr>
          <w:rFonts w:hint="eastAsia" w:ascii="仿宋_GB2312" w:hAnsi="宋体" w:eastAsia="仿宋_GB2312" w:cs="仿宋_GB2312"/>
          <w:color w:val="000000"/>
          <w:kern w:val="0"/>
          <w:szCs w:val="32"/>
        </w:rPr>
        <w:t>万元，其中：商品和服务支出</w:t>
      </w:r>
      <w:r>
        <w:rPr>
          <w:rFonts w:hint="eastAsia" w:ascii="仿宋_GB2312" w:hAnsi="宋体" w:eastAsia="仿宋_GB2312" w:cs="仿宋_GB2312"/>
          <w:color w:val="000000"/>
          <w:kern w:val="0"/>
          <w:szCs w:val="32"/>
          <w:lang w:val="en-US" w:eastAsia="zh-CN"/>
        </w:rPr>
        <w:t>4.75</w:t>
      </w:r>
      <w:r>
        <w:rPr>
          <w:rFonts w:hint="eastAsia" w:ascii="仿宋_GB2312" w:hAnsi="宋体" w:eastAsia="仿宋_GB2312" w:cs="仿宋_GB2312"/>
          <w:color w:val="000000"/>
          <w:kern w:val="0"/>
          <w:szCs w:val="32"/>
        </w:rPr>
        <w:t>万元，</w:t>
      </w:r>
    </w:p>
    <w:p>
      <w:pPr>
        <w:widowControl/>
        <w:spacing w:line="560" w:lineRule="exact"/>
        <w:ind w:firstLine="480" w:firstLineChars="150"/>
        <w:jc w:val="left"/>
        <w:rPr>
          <w:rFonts w:hint="eastAsia" w:ascii="仿宋_GB2312" w:hAnsi="宋体" w:eastAsia="仿宋_GB2312" w:cs="仿宋_GB2312"/>
          <w:color w:val="000000"/>
          <w:kern w:val="0"/>
          <w:szCs w:val="32"/>
        </w:rPr>
      </w:pPr>
    </w:p>
    <w:p>
      <w:pPr>
        <w:widowControl/>
        <w:spacing w:line="560" w:lineRule="exact"/>
        <w:ind w:firstLine="480" w:firstLineChars="150"/>
        <w:jc w:val="left"/>
        <w:rPr>
          <w:rFonts w:hint="eastAsia" w:ascii="仿宋_GB2312" w:hAnsi="宋体" w:eastAsia="仿宋_GB2312" w:cs="仿宋_GB2312"/>
          <w:color w:val="000000"/>
          <w:kern w:val="0"/>
          <w:szCs w:val="32"/>
          <w:lang w:eastAsia="zh-CN"/>
        </w:rPr>
      </w:pPr>
      <w:r>
        <w:rPr>
          <w:rFonts w:hint="eastAsia" w:ascii="仿宋_GB2312" w:hAnsi="宋体" w:eastAsia="仿宋_GB2312" w:cs="仿宋_GB2312"/>
          <w:color w:val="000000"/>
          <w:kern w:val="0"/>
          <w:szCs w:val="32"/>
          <w:lang w:eastAsia="zh-CN"/>
        </w:rPr>
        <w:t>图示：</w:t>
      </w:r>
    </w:p>
    <w:p>
      <w:pPr>
        <w:widowControl/>
        <w:spacing w:line="240" w:lineRule="auto"/>
        <w:ind w:firstLine="480" w:firstLineChars="150"/>
        <w:jc w:val="left"/>
        <w:rPr>
          <w:rFonts w:hint="eastAsia" w:ascii="仿宋_GB2312" w:hAnsi="宋体" w:eastAsia="仿宋_GB2312" w:cs="仿宋_GB2312"/>
          <w:color w:val="000000"/>
          <w:kern w:val="0"/>
          <w:szCs w:val="32"/>
          <w:lang w:eastAsia="zh-CN"/>
        </w:rPr>
      </w:pPr>
    </w:p>
    <w:p>
      <w:pPr>
        <w:widowControl/>
        <w:spacing w:line="240" w:lineRule="auto"/>
        <w:ind w:firstLine="480" w:firstLineChars="150"/>
        <w:jc w:val="left"/>
        <w:rPr>
          <w:rFonts w:hint="eastAsia" w:ascii="仿宋_GB2312" w:hAnsi="宋体" w:eastAsia="仿宋_GB2312" w:cs="仿宋_GB2312"/>
          <w:color w:val="000000"/>
          <w:kern w:val="0"/>
          <w:szCs w:val="32"/>
          <w:lang w:eastAsia="zh-CN"/>
        </w:rPr>
      </w:pPr>
      <w:r>
        <w:rPr>
          <w:rFonts w:hint="eastAsia" w:ascii="仿宋_GB2312" w:hAnsi="宋体" w:eastAsia="仿宋_GB2312" w:cs="仿宋_GB2312"/>
          <w:color w:val="000000"/>
          <w:kern w:val="0"/>
          <w:szCs w:val="32"/>
          <w:lang w:eastAsia="zh-CN"/>
        </w:rPr>
        <w:object>
          <v:shape id="_x0000_i1032" o:spt="75" type="#_x0000_t75" style="height:222.75pt;width:366.75pt;" o:ole="t" filled="f" o:preferrelative="t" stroked="f" coordsize="21600,21600">
            <v:path/>
            <v:fill on="f" focussize="0,0"/>
            <v:stroke on="f"/>
            <v:imagedata r:id="rId20" o:title=""/>
            <o:lock v:ext="edit" aspectratio="t"/>
            <w10:wrap type="none"/>
            <w10:anchorlock/>
          </v:shape>
          <o:OLEObject Type="Embed" ProgID="Excel.Chart.8" ShapeID="_x0000_i1032" DrawAspect="Content" ObjectID="_1468075731" r:id="rId19">
            <o:LockedField>false</o:LockedField>
          </o:OLEObject>
        </w:object>
      </w:r>
    </w:p>
    <w:p>
      <w:pPr>
        <w:numPr>
          <w:ilvl w:val="0"/>
          <w:numId w:val="3"/>
        </w:num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一般公共预算财政拨款基本支出决算情况说明</w:t>
      </w:r>
      <w:r>
        <w:rPr>
          <w:rFonts w:ascii="黑体" w:hAnsi="黑体" w:eastAsia="黑体"/>
          <w:color w:val="000000"/>
          <w:kern w:val="0"/>
          <w:szCs w:val="32"/>
        </w:rPr>
        <w:t xml:space="preserve"> </w:t>
      </w:r>
    </w:p>
    <w:p>
      <w:pPr>
        <w:numPr>
          <w:ilvl w:val="0"/>
          <w:numId w:val="0"/>
        </w:numPr>
        <w:spacing w:line="560" w:lineRule="exact"/>
        <w:rPr>
          <w:rFonts w:hint="eastAsia" w:ascii="仿宋_GB2312" w:hAnsi="仿宋_GB2312" w:eastAsia="仿宋_GB2312" w:cs="仿宋_GB2312"/>
          <w:color w:val="000000"/>
          <w:kern w:val="0"/>
          <w:sz w:val="31"/>
          <w:szCs w:val="31"/>
          <w:lang w:eastAsia="zh-CN"/>
        </w:rPr>
      </w:pPr>
      <w:r>
        <w:rPr>
          <w:rFonts w:hint="eastAsia" w:ascii="仿宋_GB2312" w:hAnsi="仿宋_GB2312" w:eastAsia="仿宋_GB2312" w:cs="仿宋_GB2312"/>
          <w:color w:val="000000"/>
          <w:kern w:val="0"/>
          <w:sz w:val="31"/>
          <w:szCs w:val="31"/>
          <w:lang w:val="en-US" w:eastAsia="zh-CN"/>
        </w:rPr>
        <w:t xml:space="preserve">    </w:t>
      </w:r>
      <w:r>
        <w:rPr>
          <w:rFonts w:ascii="仿宋_GB2312" w:hAnsi="仿宋_GB2312" w:eastAsia="仿宋_GB2312" w:cs="仿宋_GB2312"/>
          <w:color w:val="000000"/>
          <w:kern w:val="0"/>
          <w:sz w:val="31"/>
          <w:szCs w:val="31"/>
        </w:rPr>
        <w:t>2019</w:t>
      </w:r>
      <w:r>
        <w:rPr>
          <w:rFonts w:hint="eastAsia" w:ascii="仿宋_GB2312" w:hAnsi="仿宋_GB2312" w:eastAsia="仿宋_GB2312" w:cs="仿宋_GB2312"/>
          <w:color w:val="000000"/>
          <w:kern w:val="0"/>
          <w:sz w:val="31"/>
          <w:szCs w:val="31"/>
        </w:rPr>
        <w:t>年</w:t>
      </w:r>
      <w:r>
        <w:rPr>
          <w:rFonts w:hint="eastAsia" w:ascii="仿宋_GB2312" w:hAnsi="仿宋" w:eastAsia="仿宋_GB2312"/>
          <w:szCs w:val="32"/>
        </w:rPr>
        <w:t>度</w:t>
      </w:r>
      <w:r>
        <w:rPr>
          <w:rFonts w:hint="eastAsia" w:ascii="仿宋_GB2312" w:hAnsi="仿宋_GB2312" w:eastAsia="仿宋_GB2312" w:cs="仿宋_GB2312"/>
          <w:color w:val="000000"/>
          <w:kern w:val="0"/>
          <w:sz w:val="31"/>
          <w:szCs w:val="31"/>
        </w:rPr>
        <w:t>一般公共预算财政拨款基本支出</w:t>
      </w:r>
      <w:r>
        <w:rPr>
          <w:rFonts w:hint="eastAsia" w:ascii="仿宋_GB2312" w:hAnsi="仿宋_GB2312" w:eastAsia="仿宋_GB2312" w:cs="仿宋_GB2312"/>
          <w:color w:val="000000"/>
          <w:kern w:val="0"/>
          <w:sz w:val="31"/>
          <w:szCs w:val="31"/>
          <w:lang w:val="en-US" w:eastAsia="zh-CN"/>
        </w:rPr>
        <w:t>49.41</w:t>
      </w:r>
      <w:r>
        <w:rPr>
          <w:rFonts w:hint="eastAsia" w:ascii="仿宋_GB2312" w:hAnsi="仿宋_GB2312" w:eastAsia="仿宋_GB2312" w:cs="仿宋_GB2312"/>
          <w:color w:val="000000"/>
          <w:kern w:val="0"/>
          <w:sz w:val="31"/>
          <w:szCs w:val="31"/>
        </w:rPr>
        <w:t>万元，包括：人员经费支出</w:t>
      </w:r>
      <w:r>
        <w:rPr>
          <w:rFonts w:hint="eastAsia" w:ascii="仿宋_GB2312" w:hAnsi="仿宋_GB2312" w:eastAsia="仿宋_GB2312" w:cs="仿宋_GB2312"/>
          <w:color w:val="000000"/>
          <w:kern w:val="0"/>
          <w:sz w:val="31"/>
          <w:szCs w:val="31"/>
          <w:lang w:val="en-US" w:eastAsia="zh-CN"/>
        </w:rPr>
        <w:t>47.38</w:t>
      </w:r>
      <w:r>
        <w:rPr>
          <w:rFonts w:hint="eastAsia" w:ascii="仿宋_GB2312" w:hAnsi="仿宋_GB2312" w:eastAsia="仿宋_GB2312" w:cs="仿宋_GB2312"/>
          <w:color w:val="000000"/>
          <w:kern w:val="0"/>
          <w:sz w:val="31"/>
          <w:szCs w:val="31"/>
        </w:rPr>
        <w:t>万元</w:t>
      </w:r>
      <w:r>
        <w:rPr>
          <w:rFonts w:hint="eastAsia" w:ascii="仿宋_GB2312" w:hAnsi="仿宋_GB2312" w:eastAsia="仿宋_GB2312" w:cs="仿宋_GB2312"/>
          <w:color w:val="000000"/>
          <w:kern w:val="0"/>
          <w:sz w:val="31"/>
          <w:szCs w:val="31"/>
          <w:lang w:eastAsia="zh-CN"/>
        </w:rPr>
        <w:t>。</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宋体" w:eastAsia="仿宋_GB2312" w:cs="仿宋_GB2312"/>
          <w:bCs/>
          <w:color w:val="000000"/>
          <w:kern w:val="0"/>
          <w:szCs w:val="32"/>
        </w:rPr>
        <w:t>人员经费</w:t>
      </w:r>
      <w:r>
        <w:rPr>
          <w:rFonts w:hint="eastAsia" w:ascii="仿宋_GB2312" w:hAnsi="宋体" w:eastAsia="仿宋_GB2312" w:cs="仿宋_GB2312"/>
          <w:color w:val="000000"/>
          <w:kern w:val="0"/>
          <w:szCs w:val="32"/>
          <w:lang w:val="en-US" w:eastAsia="zh-CN"/>
        </w:rPr>
        <w:t>47.38</w:t>
      </w:r>
      <w:r>
        <w:rPr>
          <w:rFonts w:hint="eastAsia" w:ascii="仿宋_GB2312" w:hAnsi="宋体" w:eastAsia="仿宋_GB2312" w:cs="仿宋_GB2312"/>
          <w:color w:val="000000"/>
          <w:kern w:val="0"/>
          <w:szCs w:val="32"/>
        </w:rPr>
        <w:t>万元，主要包括：基本工资</w:t>
      </w:r>
      <w:r>
        <w:rPr>
          <w:rFonts w:hint="eastAsia" w:ascii="仿宋_GB2312" w:hAnsi="宋体" w:eastAsia="仿宋_GB2312" w:cs="仿宋_GB2312"/>
          <w:color w:val="000000"/>
          <w:kern w:val="0"/>
          <w:szCs w:val="32"/>
          <w:lang w:val="en-US" w:eastAsia="zh-CN"/>
        </w:rPr>
        <w:t>15.4</w:t>
      </w:r>
      <w:r>
        <w:rPr>
          <w:rFonts w:hint="eastAsia" w:ascii="仿宋_GB2312" w:hAnsi="宋体" w:eastAsia="仿宋_GB2312" w:cs="仿宋_GB2312"/>
          <w:color w:val="000000"/>
          <w:kern w:val="0"/>
          <w:szCs w:val="32"/>
        </w:rPr>
        <w:t>万元，津贴补贴</w:t>
      </w:r>
      <w:r>
        <w:rPr>
          <w:rFonts w:hint="eastAsia" w:ascii="仿宋_GB2312" w:hAnsi="宋体" w:eastAsia="仿宋_GB2312" w:cs="仿宋_GB2312"/>
          <w:color w:val="000000"/>
          <w:kern w:val="0"/>
          <w:szCs w:val="32"/>
          <w:lang w:val="en-US" w:eastAsia="zh-CN"/>
        </w:rPr>
        <w:t>3.2</w:t>
      </w:r>
      <w:r>
        <w:rPr>
          <w:rFonts w:hint="eastAsia" w:ascii="仿宋_GB2312" w:hAnsi="宋体" w:eastAsia="仿宋_GB2312" w:cs="仿宋_GB2312"/>
          <w:color w:val="000000"/>
          <w:kern w:val="0"/>
          <w:szCs w:val="32"/>
        </w:rPr>
        <w:t>万元，绩效工资</w:t>
      </w:r>
      <w:r>
        <w:rPr>
          <w:rFonts w:hint="eastAsia" w:ascii="仿宋_GB2312" w:hAnsi="宋体" w:eastAsia="仿宋_GB2312" w:cs="仿宋_GB2312"/>
          <w:color w:val="000000"/>
          <w:kern w:val="0"/>
          <w:szCs w:val="32"/>
          <w:lang w:val="en-US" w:eastAsia="zh-CN"/>
        </w:rPr>
        <w:t>19.7</w:t>
      </w:r>
      <w:r>
        <w:rPr>
          <w:rFonts w:hint="eastAsia" w:ascii="仿宋_GB2312" w:hAnsi="宋体" w:eastAsia="仿宋_GB2312" w:cs="仿宋_GB2312"/>
          <w:color w:val="000000"/>
          <w:kern w:val="0"/>
          <w:szCs w:val="32"/>
        </w:rPr>
        <w:t>万元，机关事业单位基本养老保险</w:t>
      </w:r>
      <w:r>
        <w:rPr>
          <w:rFonts w:hint="eastAsia" w:ascii="仿宋_GB2312" w:hAnsi="宋体" w:eastAsia="仿宋_GB2312" w:cs="仿宋_GB2312"/>
          <w:color w:val="000000"/>
          <w:kern w:val="0"/>
          <w:szCs w:val="32"/>
          <w:lang w:val="en-US" w:eastAsia="zh-CN"/>
        </w:rPr>
        <w:t>3.8</w:t>
      </w:r>
      <w:r>
        <w:rPr>
          <w:rFonts w:hint="eastAsia" w:ascii="仿宋_GB2312" w:hAnsi="宋体" w:eastAsia="仿宋_GB2312" w:cs="仿宋_GB2312"/>
          <w:color w:val="000000"/>
          <w:kern w:val="0"/>
          <w:szCs w:val="32"/>
        </w:rPr>
        <w:t>万元，职工基本医疗保险缴费</w:t>
      </w:r>
      <w:r>
        <w:rPr>
          <w:rFonts w:hint="eastAsia" w:ascii="仿宋_GB2312" w:hAnsi="宋体" w:eastAsia="仿宋_GB2312" w:cs="仿宋_GB2312"/>
          <w:color w:val="000000"/>
          <w:kern w:val="0"/>
          <w:szCs w:val="32"/>
          <w:lang w:val="en-US" w:eastAsia="zh-CN"/>
        </w:rPr>
        <w:t>1</w:t>
      </w:r>
      <w:r>
        <w:rPr>
          <w:rFonts w:hint="eastAsia" w:ascii="仿宋_GB2312" w:hAnsi="宋体" w:eastAsia="仿宋_GB2312" w:cs="仿宋_GB2312"/>
          <w:color w:val="000000"/>
          <w:kern w:val="0"/>
          <w:szCs w:val="32"/>
        </w:rPr>
        <w:t>万元，住房公积金</w:t>
      </w:r>
      <w:r>
        <w:rPr>
          <w:rFonts w:hint="eastAsia" w:ascii="仿宋_GB2312" w:hAnsi="宋体" w:eastAsia="仿宋_GB2312" w:cs="仿宋_GB2312"/>
          <w:color w:val="000000"/>
          <w:kern w:val="0"/>
          <w:szCs w:val="32"/>
          <w:lang w:val="en-US" w:eastAsia="zh-CN"/>
        </w:rPr>
        <w:t>4.2</w:t>
      </w:r>
      <w:r>
        <w:rPr>
          <w:rFonts w:hint="eastAsia" w:ascii="仿宋_GB2312" w:hAnsi="宋体" w:eastAsia="仿宋_GB2312" w:cs="仿宋_GB2312"/>
          <w:color w:val="000000"/>
          <w:kern w:val="0"/>
          <w:szCs w:val="32"/>
        </w:rPr>
        <w:t>万元。</w:t>
      </w:r>
    </w:p>
    <w:p>
      <w:p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七、一般公共预算财政拨款“三公”经费及会议费、培训费支出决算情况说明</w:t>
      </w:r>
      <w:r>
        <w:rPr>
          <w:rFonts w:ascii="黑体" w:hAnsi="黑体" w:eastAsia="黑体"/>
          <w:color w:val="000000"/>
          <w:kern w:val="0"/>
          <w:szCs w:val="32"/>
        </w:rPr>
        <w:t xml:space="preserve"> </w:t>
      </w:r>
    </w:p>
    <w:p>
      <w:pPr>
        <w:widowControl/>
        <w:spacing w:line="560" w:lineRule="exact"/>
        <w:ind w:firstLine="643" w:firstLineChars="200"/>
        <w:jc w:val="left"/>
      </w:pPr>
      <w:r>
        <w:rPr>
          <w:rFonts w:hint="eastAsia" w:ascii="楷体_GB2312" w:hAnsi="宋体" w:eastAsia="楷体_GB2312" w:cs="楷体_GB2312"/>
          <w:b/>
          <w:color w:val="000000"/>
          <w:kern w:val="0"/>
          <w:szCs w:val="32"/>
        </w:rPr>
        <w:t>（一）“三公”经费财政拨款支出决算总体情况说明。</w:t>
      </w:r>
      <w:r>
        <w:rPr>
          <w:rFonts w:ascii="楷体_GB2312" w:hAnsi="宋体" w:eastAsia="楷体_GB2312" w:cs="楷体_GB2312"/>
          <w:b/>
          <w:color w:val="000000"/>
          <w:kern w:val="0"/>
          <w:szCs w:val="32"/>
        </w:rPr>
        <w:t xml:space="preserve"> </w:t>
      </w:r>
    </w:p>
    <w:p>
      <w:pPr>
        <w:widowControl/>
        <w:spacing w:line="560" w:lineRule="exact"/>
        <w:ind w:firstLine="640" w:firstLineChars="200"/>
        <w:jc w:val="left"/>
      </w:pP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w:t>
      </w:r>
      <w:r>
        <w:rPr>
          <w:rFonts w:hint="eastAsia" w:ascii="仿宋_GB2312" w:hAnsi="仿宋" w:eastAsia="仿宋_GB2312"/>
          <w:szCs w:val="32"/>
        </w:rPr>
        <w:t>度本部门无</w:t>
      </w:r>
      <w:r>
        <w:rPr>
          <w:rFonts w:hint="eastAsia" w:ascii="仿宋_GB2312" w:hAnsi="宋体" w:eastAsia="仿宋_GB2312" w:cs="仿宋_GB2312"/>
          <w:color w:val="000000"/>
          <w:kern w:val="0"/>
          <w:szCs w:val="32"/>
        </w:rPr>
        <w:t>“三公”经费财政拨款支出。</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（二）“三公”经费财政拨款支出决算具体情况说明。</w:t>
      </w:r>
    </w:p>
    <w:p>
      <w:pPr>
        <w:widowControl/>
        <w:spacing w:line="560" w:lineRule="exact"/>
        <w:ind w:firstLine="640" w:firstLineChars="200"/>
        <w:jc w:val="left"/>
      </w:pP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w:t>
      </w:r>
      <w:r>
        <w:rPr>
          <w:rFonts w:hint="eastAsia" w:ascii="仿宋_GB2312" w:hAnsi="仿宋" w:eastAsia="仿宋_GB2312"/>
          <w:szCs w:val="32"/>
        </w:rPr>
        <w:t>度本部门无</w:t>
      </w:r>
      <w:r>
        <w:rPr>
          <w:rFonts w:hint="eastAsia" w:ascii="仿宋_GB2312" w:hAnsi="宋体" w:eastAsia="仿宋_GB2312" w:cs="仿宋_GB2312"/>
          <w:color w:val="000000"/>
          <w:kern w:val="0"/>
          <w:szCs w:val="32"/>
        </w:rPr>
        <w:t>“三公”经费财政拨款支出。</w:t>
      </w:r>
    </w:p>
    <w:p>
      <w:pPr>
        <w:spacing w:line="560" w:lineRule="exact"/>
        <w:ind w:firstLine="643" w:firstLineChars="200"/>
        <w:rPr>
          <w:rFonts w:ascii="仿宋_GB2312" w:hAnsi="仿宋" w:eastAsia="仿宋_GB2312"/>
          <w:b/>
          <w:bCs/>
          <w:szCs w:val="32"/>
        </w:rPr>
      </w:pPr>
      <w:r>
        <w:rPr>
          <w:rFonts w:ascii="仿宋_GB2312" w:hAnsi="仿宋" w:eastAsia="仿宋_GB2312"/>
          <w:b/>
          <w:bCs/>
          <w:szCs w:val="32"/>
        </w:rPr>
        <w:t>1.</w:t>
      </w:r>
      <w:r>
        <w:rPr>
          <w:rFonts w:hint="eastAsia" w:ascii="仿宋_GB2312" w:hAnsi="仿宋" w:eastAsia="仿宋_GB2312"/>
          <w:b/>
          <w:bCs/>
          <w:szCs w:val="32"/>
        </w:rPr>
        <w:t>因公出国（境）支出情况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pPr>
      <w:r>
        <w:rPr>
          <w:rFonts w:ascii="仿宋_GB2312" w:hAnsi="仿宋" w:eastAsia="仿宋_GB2312"/>
          <w:szCs w:val="32"/>
        </w:rPr>
        <w:t>2019</w:t>
      </w:r>
      <w:r>
        <w:rPr>
          <w:rFonts w:hint="eastAsia" w:ascii="仿宋_GB2312" w:hAnsi="仿宋" w:eastAsia="仿宋_GB2312"/>
          <w:szCs w:val="32"/>
        </w:rPr>
        <w:t>年度本部门无因公出国（境）支出。</w:t>
      </w:r>
    </w:p>
    <w:p>
      <w:pPr>
        <w:spacing w:line="560" w:lineRule="exact"/>
        <w:ind w:firstLine="643" w:firstLineChars="200"/>
        <w:rPr>
          <w:rFonts w:ascii="仿宋_GB2312" w:hAnsi="仿宋" w:eastAsia="仿宋_GB2312"/>
          <w:b/>
          <w:bCs/>
          <w:szCs w:val="32"/>
        </w:rPr>
      </w:pPr>
      <w:r>
        <w:rPr>
          <w:rFonts w:ascii="仿宋_GB2312" w:hAnsi="仿宋" w:eastAsia="仿宋_GB2312"/>
          <w:b/>
          <w:bCs/>
          <w:szCs w:val="32"/>
        </w:rPr>
        <w:t>2.</w:t>
      </w:r>
      <w:r>
        <w:rPr>
          <w:rFonts w:hint="eastAsia" w:ascii="仿宋_GB2312" w:hAnsi="仿宋" w:eastAsia="仿宋_GB2312"/>
          <w:b/>
          <w:bCs/>
          <w:szCs w:val="32"/>
        </w:rPr>
        <w:t>公务用车购置费用支出情况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pPr>
      <w:r>
        <w:rPr>
          <w:rFonts w:ascii="仿宋_GB2312" w:hAnsi="仿宋" w:eastAsia="仿宋_GB2312"/>
          <w:szCs w:val="32"/>
        </w:rPr>
        <w:t>2019</w:t>
      </w:r>
      <w:r>
        <w:rPr>
          <w:rFonts w:hint="eastAsia" w:ascii="仿宋_GB2312" w:hAnsi="仿宋" w:eastAsia="仿宋_GB2312"/>
          <w:szCs w:val="32"/>
        </w:rPr>
        <w:t>年度本部门无购置车辆。</w:t>
      </w:r>
    </w:p>
    <w:p>
      <w:pPr>
        <w:spacing w:line="560" w:lineRule="exact"/>
        <w:ind w:firstLine="643" w:firstLineChars="200"/>
        <w:rPr>
          <w:rFonts w:ascii="仿宋_GB2312" w:hAnsi="仿宋" w:eastAsia="仿宋_GB2312"/>
          <w:b/>
          <w:bCs/>
          <w:szCs w:val="32"/>
        </w:rPr>
      </w:pPr>
      <w:r>
        <w:rPr>
          <w:rFonts w:ascii="仿宋_GB2312" w:hAnsi="仿宋" w:eastAsia="仿宋_GB2312"/>
          <w:b/>
          <w:bCs/>
          <w:szCs w:val="32"/>
        </w:rPr>
        <w:t>3.</w:t>
      </w:r>
      <w:r>
        <w:rPr>
          <w:rFonts w:hint="eastAsia" w:ascii="仿宋_GB2312" w:hAnsi="仿宋" w:eastAsia="仿宋_GB2312"/>
          <w:b/>
          <w:bCs/>
          <w:szCs w:val="32"/>
        </w:rPr>
        <w:t>公务用车运行维护费用支出情况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rPr>
          <w:rFonts w:ascii="仿宋_GB2312" w:hAnsi="宋体" w:eastAsia="仿宋_GB2312" w:cs="仿宋_GB2312"/>
          <w:color w:val="000000"/>
          <w:kern w:val="0"/>
          <w:szCs w:val="32"/>
        </w:rPr>
      </w:pPr>
      <w:r>
        <w:rPr>
          <w:rFonts w:ascii="仿宋_GB2312" w:hAnsi="仿宋" w:eastAsia="仿宋_GB2312"/>
          <w:szCs w:val="32"/>
        </w:rPr>
        <w:t>2019</w:t>
      </w:r>
      <w:r>
        <w:rPr>
          <w:rFonts w:hint="eastAsia" w:ascii="仿宋_GB2312" w:hAnsi="仿宋" w:eastAsia="仿宋_GB2312"/>
          <w:szCs w:val="32"/>
        </w:rPr>
        <w:t>年度本部门</w:t>
      </w:r>
      <w:r>
        <w:rPr>
          <w:rFonts w:hint="eastAsia" w:ascii="仿宋_GB2312" w:hAnsi="仿宋" w:eastAsia="仿宋_GB2312"/>
          <w:szCs w:val="32"/>
          <w:lang w:eastAsia="zh-CN"/>
        </w:rPr>
        <w:t>无</w:t>
      </w:r>
      <w:r>
        <w:rPr>
          <w:rFonts w:hint="eastAsia" w:ascii="仿宋_GB2312" w:hAnsi="仿宋_GB2312" w:eastAsia="仿宋_GB2312" w:cs="仿宋_GB2312"/>
          <w:szCs w:val="32"/>
        </w:rPr>
        <w:t>公务用车运行维护费</w:t>
      </w:r>
      <w:r>
        <w:rPr>
          <w:rFonts w:hint="eastAsia" w:ascii="仿宋_GB2312" w:hAnsi="宋体" w:eastAsia="仿宋_GB2312" w:cs="仿宋_GB2312"/>
          <w:color w:val="000000"/>
          <w:kern w:val="0"/>
          <w:szCs w:val="32"/>
        </w:rPr>
        <w:t>。</w:t>
      </w:r>
    </w:p>
    <w:p>
      <w:pPr>
        <w:numPr>
          <w:ilvl w:val="0"/>
          <w:numId w:val="4"/>
        </w:num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rPr>
        <w:t>公务接待费支出情况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spacing w:line="560" w:lineRule="exact"/>
        <w:ind w:firstLine="640" w:firstLineChars="200"/>
        <w:rPr>
          <w:rFonts w:ascii="仿宋_GB2312" w:hAnsi="宋体" w:eastAsia="仿宋_GB2312" w:cs="仿宋_GB2312"/>
          <w:color w:val="000000"/>
          <w:kern w:val="0"/>
          <w:szCs w:val="32"/>
        </w:rPr>
      </w:pPr>
      <w:r>
        <w:rPr>
          <w:rFonts w:ascii="仿宋_GB2312" w:hAnsi="仿宋" w:eastAsia="仿宋_GB2312"/>
          <w:szCs w:val="32"/>
        </w:rPr>
        <w:t>2019</w:t>
      </w:r>
      <w:r>
        <w:rPr>
          <w:rFonts w:hint="eastAsia" w:ascii="仿宋_GB2312" w:hAnsi="仿宋" w:eastAsia="仿宋_GB2312"/>
          <w:szCs w:val="32"/>
        </w:rPr>
        <w:t>年度本部门无公务接待</w:t>
      </w:r>
      <w:r>
        <w:rPr>
          <w:rFonts w:hint="eastAsia" w:ascii="仿宋_GB2312" w:hAnsi="宋体" w:eastAsia="仿宋_GB2312" w:cs="仿宋_GB2312"/>
          <w:color w:val="000000"/>
          <w:kern w:val="0"/>
          <w:szCs w:val="32"/>
        </w:rPr>
        <w:t>。</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（三）培训费支出情况说明。</w:t>
      </w:r>
    </w:p>
    <w:p>
      <w:pPr>
        <w:widowControl/>
        <w:spacing w:line="560" w:lineRule="exact"/>
        <w:ind w:firstLine="640" w:firstLineChars="200"/>
        <w:jc w:val="left"/>
        <w:rPr>
          <w:rFonts w:ascii="仿宋_GB2312" w:hAnsi="宋体" w:eastAsia="仿宋_GB2312" w:cs="仿宋_GB2312"/>
          <w:color w:val="000000"/>
          <w:kern w:val="0"/>
          <w:szCs w:val="32"/>
        </w:rPr>
      </w:pPr>
      <w:r>
        <w:rPr>
          <w:rFonts w:ascii="仿宋_GB2312" w:hAnsi="仿宋" w:eastAsia="仿宋_GB2312"/>
          <w:szCs w:val="32"/>
        </w:rPr>
        <w:t>2019</w:t>
      </w:r>
      <w:r>
        <w:rPr>
          <w:rFonts w:hint="eastAsia" w:ascii="仿宋_GB2312" w:hAnsi="仿宋" w:eastAsia="仿宋_GB2312"/>
          <w:szCs w:val="32"/>
        </w:rPr>
        <w:t>年度本部门无</w:t>
      </w:r>
      <w:r>
        <w:rPr>
          <w:rFonts w:hint="eastAsia" w:ascii="仿宋_GB2312" w:hAnsi="仿宋_GB2312" w:eastAsia="仿宋_GB2312" w:cs="仿宋_GB2312"/>
          <w:szCs w:val="32"/>
        </w:rPr>
        <w:t>培训费</w:t>
      </w:r>
      <w:r>
        <w:rPr>
          <w:rFonts w:hint="eastAsia" w:ascii="仿宋_GB2312" w:hAnsi="宋体" w:eastAsia="仿宋_GB2312" w:cs="仿宋_GB2312"/>
          <w:color w:val="000000"/>
          <w:kern w:val="0"/>
          <w:szCs w:val="32"/>
        </w:rPr>
        <w:t>。</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（四）会议费支出情况说明。</w:t>
      </w:r>
    </w:p>
    <w:p>
      <w:pPr>
        <w:widowControl/>
        <w:spacing w:line="560" w:lineRule="exact"/>
        <w:ind w:firstLine="640" w:firstLineChars="200"/>
        <w:jc w:val="left"/>
        <w:rPr>
          <w:rFonts w:ascii="仿宋_GB2312" w:hAnsi="宋体" w:eastAsia="仿宋_GB2312" w:cs="仿宋_GB2312"/>
          <w:color w:val="000000"/>
          <w:kern w:val="0"/>
          <w:szCs w:val="32"/>
        </w:rPr>
      </w:pPr>
      <w:r>
        <w:rPr>
          <w:rFonts w:ascii="仿宋_GB2312" w:hAnsi="仿宋" w:eastAsia="仿宋_GB2312"/>
          <w:szCs w:val="32"/>
        </w:rPr>
        <w:t>2019</w:t>
      </w:r>
      <w:r>
        <w:rPr>
          <w:rFonts w:hint="eastAsia" w:ascii="仿宋_GB2312" w:hAnsi="仿宋" w:eastAsia="仿宋_GB2312"/>
          <w:szCs w:val="32"/>
        </w:rPr>
        <w:t>年度本部门无</w:t>
      </w:r>
      <w:r>
        <w:rPr>
          <w:rFonts w:hint="eastAsia" w:ascii="仿宋_GB2312" w:hAnsi="仿宋_GB2312" w:eastAsia="仿宋_GB2312" w:cs="仿宋_GB2312"/>
          <w:szCs w:val="32"/>
        </w:rPr>
        <w:t>会议费</w:t>
      </w:r>
      <w:r>
        <w:rPr>
          <w:rFonts w:hint="eastAsia" w:ascii="仿宋_GB2312" w:hAnsi="宋体" w:eastAsia="仿宋_GB2312" w:cs="仿宋_GB2312"/>
          <w:color w:val="000000"/>
          <w:kern w:val="0"/>
          <w:szCs w:val="32"/>
        </w:rPr>
        <w:t>。</w:t>
      </w:r>
    </w:p>
    <w:p>
      <w:p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八、政府性基金预算财政拨款收入支出情况说明</w:t>
      </w:r>
      <w:r>
        <w:rPr>
          <w:rFonts w:ascii="黑体" w:hAnsi="黑体" w:eastAsia="黑体"/>
          <w:color w:val="000000"/>
          <w:kern w:val="0"/>
          <w:szCs w:val="32"/>
        </w:rPr>
        <w:t xml:space="preserve"> </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lang w:val="en-US" w:eastAsia="zh-CN"/>
        </w:rPr>
        <w:t>2019年度</w:t>
      </w:r>
      <w:r>
        <w:rPr>
          <w:rFonts w:hint="eastAsia" w:ascii="仿宋_GB2312" w:hAnsi="仿宋_GB2312" w:eastAsia="仿宋_GB2312" w:cs="仿宋_GB2312"/>
          <w:szCs w:val="32"/>
        </w:rPr>
        <w:t>本部门无政府性基金决算收支，并已公开空表。</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九、国有资本经营财政拨款收入支出情况说明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lang w:val="en-US" w:eastAsia="zh-CN"/>
        </w:rPr>
        <w:t>2019年度</w:t>
      </w:r>
      <w:r>
        <w:rPr>
          <w:rFonts w:hint="eastAsia" w:ascii="仿宋_GB2312" w:hAnsi="仿宋_GB2312" w:eastAsia="仿宋_GB2312" w:cs="仿宋_GB2312"/>
          <w:szCs w:val="32"/>
        </w:rPr>
        <w:t>本部门无国有资本经营决算拨款收支。</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十、预算绩效情况说明</w:t>
      </w:r>
    </w:p>
    <w:p>
      <w:pPr>
        <w:widowControl/>
        <w:spacing w:line="560" w:lineRule="exact"/>
        <w:ind w:left="1616" w:leftChars="304" w:hanging="643" w:hanging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（一）预算绩效管理工作开展情况说明。</w:t>
      </w:r>
      <w:r>
        <w:rPr>
          <w:rFonts w:ascii="楷体_GB2312" w:hAnsi="宋体" w:eastAsia="楷体_GB2312" w:cs="楷体_GB2312"/>
          <w:b/>
          <w:color w:val="000000"/>
          <w:kern w:val="0"/>
          <w:szCs w:val="32"/>
        </w:rPr>
        <w:t xml:space="preserve">     </w:t>
      </w:r>
    </w:p>
    <w:p>
      <w:pPr>
        <w:widowControl/>
        <w:spacing w:line="560" w:lineRule="exact"/>
        <w:ind w:firstLine="640" w:firstLineChars="200"/>
        <w:jc w:val="left"/>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szCs w:val="32"/>
        </w:rPr>
        <w:t>根据预算绩效管理要求，本部门组织对2</w:t>
      </w:r>
      <w:r>
        <w:rPr>
          <w:rFonts w:ascii="仿宋_GB2312" w:hAnsi="仿宋_GB2312" w:eastAsia="仿宋_GB2312" w:cs="仿宋_GB2312"/>
          <w:szCs w:val="32"/>
        </w:rPr>
        <w:t>019</w:t>
      </w:r>
      <w:r>
        <w:rPr>
          <w:rFonts w:hint="eastAsia" w:ascii="仿宋_GB2312" w:hAnsi="仿宋_GB2312" w:eastAsia="仿宋_GB2312" w:cs="仿宋_GB2312"/>
          <w:szCs w:val="32"/>
        </w:rPr>
        <w:t>年一般公共预算</w:t>
      </w:r>
      <w:r>
        <w:rPr>
          <w:rFonts w:hint="eastAsia" w:ascii="仿宋_GB2312" w:hAnsi="仿宋_GB2312" w:eastAsia="仿宋_GB2312" w:cs="仿宋_GB2312"/>
          <w:szCs w:val="32"/>
          <w:lang w:val="en-US" w:eastAsia="zh-CN"/>
        </w:rPr>
        <w:t>4</w:t>
      </w:r>
      <w:r>
        <w:rPr>
          <w:rFonts w:hint="eastAsia" w:ascii="仿宋_GB2312" w:hAnsi="仿宋_GB2312" w:eastAsia="仿宋_GB2312" w:cs="仿宋_GB2312"/>
          <w:szCs w:val="32"/>
        </w:rPr>
        <w:t>个项目支出开展了绩效自评</w:t>
      </w:r>
      <w:r>
        <w:rPr>
          <w:rFonts w:ascii="仿宋_GB2312" w:hAnsi="仿宋_GB2312" w:eastAsia="仿宋_GB2312" w:cs="仿宋_GB2312"/>
          <w:szCs w:val="32"/>
        </w:rPr>
        <w:t>，其中，一级项目</w:t>
      </w:r>
      <w:r>
        <w:rPr>
          <w:rFonts w:hint="eastAsia" w:ascii="仿宋_GB2312" w:hAnsi="仿宋_GB2312" w:eastAsia="仿宋_GB2312" w:cs="仿宋_GB2312"/>
          <w:szCs w:val="32"/>
          <w:lang w:val="en-US" w:eastAsia="zh-CN"/>
        </w:rPr>
        <w:t>4</w:t>
      </w:r>
      <w:r>
        <w:rPr>
          <w:rFonts w:ascii="仿宋_GB2312" w:hAnsi="仿宋_GB2312" w:eastAsia="仿宋_GB2312" w:cs="仿宋_GB2312"/>
          <w:szCs w:val="32"/>
        </w:rPr>
        <w:t>个共涉及资金</w:t>
      </w:r>
      <w:r>
        <w:rPr>
          <w:rFonts w:hint="eastAsia" w:ascii="仿宋_GB2312" w:hAnsi="仿宋_GB2312" w:eastAsia="仿宋_GB2312" w:cs="仿宋_GB2312"/>
          <w:szCs w:val="32"/>
          <w:lang w:val="en-US" w:eastAsia="zh-CN"/>
        </w:rPr>
        <w:t>4.75</w:t>
      </w:r>
      <w:r>
        <w:rPr>
          <w:rFonts w:ascii="仿宋_GB2312" w:hAnsi="仿宋_GB2312" w:eastAsia="仿宋_GB2312" w:cs="仿宋_GB2312"/>
          <w:szCs w:val="32"/>
        </w:rPr>
        <w:t>万元，占一般公共预算项目支出总额的</w:t>
      </w:r>
      <w:r>
        <w:rPr>
          <w:rFonts w:hint="eastAsia" w:ascii="仿宋_GB2312" w:hAnsi="仿宋_GB2312" w:eastAsia="仿宋_GB2312" w:cs="仿宋_GB2312"/>
          <w:szCs w:val="32"/>
        </w:rPr>
        <w:t>100</w:t>
      </w:r>
      <w:r>
        <w:rPr>
          <w:rFonts w:ascii="仿宋_GB2312" w:hAnsi="仿宋_GB2312" w:eastAsia="仿宋_GB2312" w:cs="仿宋_GB2312"/>
          <w:szCs w:val="32"/>
        </w:rPr>
        <w:t>%</w:t>
      </w:r>
      <w:r>
        <w:rPr>
          <w:rFonts w:hint="eastAsia" w:ascii="仿宋_GB2312" w:hAnsi="仿宋_GB2312" w:eastAsia="仿宋_GB2312" w:cs="仿宋_GB2312"/>
          <w:szCs w:val="32"/>
        </w:rPr>
        <w:t>；</w:t>
      </w:r>
      <w:r>
        <w:rPr>
          <w:rFonts w:ascii="仿宋_GB2312" w:hAnsi="仿宋_GB2312" w:eastAsia="仿宋_GB2312" w:cs="仿宋_GB2312"/>
          <w:color w:val="000000"/>
          <w:kern w:val="0"/>
          <w:sz w:val="31"/>
          <w:szCs w:val="31"/>
        </w:rPr>
        <w:t>组织对2019年</w:t>
      </w:r>
      <w:r>
        <w:rPr>
          <w:rFonts w:hint="eastAsia" w:ascii="仿宋_GB2312" w:hAnsi="仿宋" w:eastAsia="仿宋_GB2312"/>
          <w:szCs w:val="32"/>
        </w:rPr>
        <w:t>度政府性</w:t>
      </w:r>
      <w:r>
        <w:rPr>
          <w:rFonts w:hint="eastAsia" w:ascii="仿宋_GB2312" w:hAnsi="仿宋_GB2312" w:eastAsia="仿宋_GB2312" w:cs="仿宋_GB2312"/>
          <w:szCs w:val="32"/>
        </w:rPr>
        <w:t>基金预算0个项目支出开展了绩效自评</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涉及项目</w:t>
      </w:r>
      <w:r>
        <w:rPr>
          <w:rFonts w:hint="eastAsia" w:ascii="仿宋_GB2312" w:hAnsi="仿宋_GB2312" w:eastAsia="仿宋_GB2312" w:cs="仿宋_GB2312"/>
          <w:szCs w:val="32"/>
        </w:rPr>
        <w:t>0</w:t>
      </w:r>
      <w:r>
        <w:rPr>
          <w:rFonts w:hint="eastAsia" w:ascii="仿宋_GB2312" w:hAnsi="仿宋_GB2312" w:eastAsia="仿宋_GB2312" w:cs="仿宋_GB2312"/>
          <w:color w:val="000000"/>
          <w:kern w:val="0"/>
          <w:sz w:val="31"/>
          <w:szCs w:val="31"/>
        </w:rPr>
        <w:t>个，</w:t>
      </w:r>
      <w:r>
        <w:rPr>
          <w:rFonts w:ascii="仿宋_GB2312" w:hAnsi="仿宋_GB2312" w:eastAsia="仿宋_GB2312" w:cs="仿宋_GB2312"/>
          <w:color w:val="000000"/>
          <w:kern w:val="0"/>
          <w:sz w:val="31"/>
          <w:szCs w:val="31"/>
        </w:rPr>
        <w:t>共涉及资金</w:t>
      </w:r>
      <w:r>
        <w:rPr>
          <w:rFonts w:hint="eastAsia" w:ascii="仿宋_GB2312" w:hAnsi="仿宋_GB2312" w:eastAsia="仿宋_GB2312" w:cs="仿宋_GB2312"/>
          <w:color w:val="000000"/>
          <w:kern w:val="0"/>
          <w:sz w:val="31"/>
          <w:szCs w:val="31"/>
        </w:rPr>
        <w:t>0</w:t>
      </w:r>
      <w:r>
        <w:rPr>
          <w:rFonts w:ascii="仿宋_GB2312" w:hAnsi="仿宋_GB2312" w:eastAsia="仿宋_GB2312" w:cs="仿宋_GB2312"/>
          <w:color w:val="000000"/>
          <w:kern w:val="0"/>
          <w:sz w:val="31"/>
          <w:szCs w:val="31"/>
        </w:rPr>
        <w:t>万元，占政府性基金预算项目支出总额的</w:t>
      </w:r>
      <w:r>
        <w:rPr>
          <w:rFonts w:hint="eastAsia" w:ascii="仿宋_GB2312" w:hAnsi="仿宋_GB2312" w:eastAsia="仿宋_GB2312" w:cs="仿宋_GB2312"/>
          <w:color w:val="000000"/>
          <w:kern w:val="0"/>
          <w:sz w:val="31"/>
          <w:szCs w:val="31"/>
        </w:rPr>
        <w:t>0</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w:t>
      </w:r>
    </w:p>
    <w:p>
      <w:pPr>
        <w:widowControl/>
        <w:spacing w:line="560" w:lineRule="exact"/>
        <w:ind w:firstLine="64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szCs w:val="32"/>
        </w:rPr>
        <w:t>本部门组织对2</w:t>
      </w:r>
      <w:r>
        <w:rPr>
          <w:rFonts w:ascii="仿宋_GB2312" w:hAnsi="仿宋_GB2312" w:eastAsia="仿宋_GB2312" w:cs="仿宋_GB2312"/>
          <w:szCs w:val="32"/>
        </w:rPr>
        <w:t>019</w:t>
      </w:r>
      <w:r>
        <w:rPr>
          <w:rFonts w:hint="eastAsia" w:ascii="仿宋_GB2312" w:hAnsi="仿宋_GB2312" w:eastAsia="仿宋_GB2312" w:cs="仿宋_GB2312"/>
          <w:szCs w:val="32"/>
        </w:rPr>
        <w:t>年度部门整体进行了绩效自评，涉及资金</w:t>
      </w:r>
      <w:r>
        <w:rPr>
          <w:rFonts w:hint="eastAsia" w:ascii="仿宋_GB2312" w:hAnsi="仿宋" w:eastAsia="仿宋_GB2312"/>
          <w:szCs w:val="32"/>
          <w:lang w:val="en-US" w:eastAsia="zh-CN"/>
        </w:rPr>
        <w:t>4.75</w:t>
      </w:r>
      <w:r>
        <w:rPr>
          <w:rFonts w:hint="eastAsia" w:ascii="仿宋_GB2312" w:hAnsi="仿宋_GB2312" w:eastAsia="仿宋_GB2312" w:cs="仿宋_GB2312"/>
          <w:szCs w:val="32"/>
        </w:rPr>
        <w:t>万元。</w:t>
      </w:r>
    </w:p>
    <w:p>
      <w:pPr>
        <w:widowControl/>
        <w:spacing w:line="560" w:lineRule="exact"/>
        <w:ind w:firstLine="620" w:firstLineChars="200"/>
        <w:jc w:val="left"/>
        <w:rPr>
          <w:rFonts w:hint="eastAsia" w:ascii="仿宋_GB2312" w:hAnsi="仿宋_GB2312" w:eastAsia="仿宋_GB2312" w:cs="仿宋_GB2312"/>
          <w:color w:val="000000"/>
          <w:kern w:val="0"/>
          <w:sz w:val="31"/>
          <w:szCs w:val="31"/>
        </w:rPr>
      </w:pP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（二）部门决算中项目绩效自评结果。</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lang w:eastAsia="zh-CN"/>
        </w:rPr>
        <w:t>基本公共卫生服务</w:t>
      </w:r>
      <w:r>
        <w:rPr>
          <w:rFonts w:ascii="仿宋_GB2312" w:hAnsi="仿宋_GB2312" w:eastAsia="仿宋_GB2312" w:cs="仿宋_GB2312"/>
          <w:color w:val="000000"/>
          <w:kern w:val="0"/>
          <w:sz w:val="31"/>
          <w:szCs w:val="31"/>
        </w:rPr>
        <w:t>项目绩效自评综述：根据年初设定的绩效目标，项目自评得分</w:t>
      </w:r>
      <w:r>
        <w:rPr>
          <w:rFonts w:hint="eastAsia" w:ascii="仿宋_GB2312" w:hAnsi="仿宋_GB2312" w:eastAsia="仿宋_GB2312" w:cs="仿宋_GB2312"/>
          <w:color w:val="000000"/>
          <w:kern w:val="0"/>
          <w:sz w:val="31"/>
          <w:szCs w:val="31"/>
          <w:lang w:val="en-US" w:eastAsia="zh-CN"/>
        </w:rPr>
        <w:t>100</w:t>
      </w:r>
      <w:r>
        <w:rPr>
          <w:rFonts w:ascii="仿宋_GB2312" w:hAnsi="仿宋_GB2312" w:eastAsia="仿宋_GB2312" w:cs="仿宋_GB2312"/>
          <w:color w:val="000000"/>
          <w:kern w:val="0"/>
          <w:sz w:val="31"/>
          <w:szCs w:val="31"/>
        </w:rPr>
        <w:t>分。项目全年预算数</w:t>
      </w:r>
      <w:r>
        <w:rPr>
          <w:rFonts w:hint="eastAsia" w:ascii="仿宋_GB2312" w:hAnsi="仿宋_GB2312" w:eastAsia="仿宋_GB2312" w:cs="仿宋_GB2312"/>
          <w:color w:val="000000"/>
          <w:kern w:val="0"/>
          <w:sz w:val="31"/>
          <w:szCs w:val="31"/>
          <w:lang w:val="en-US" w:eastAsia="zh-CN"/>
        </w:rPr>
        <w:t>5</w:t>
      </w:r>
      <w:r>
        <w:rPr>
          <w:rFonts w:ascii="仿宋_GB2312" w:hAnsi="仿宋_GB2312" w:eastAsia="仿宋_GB2312" w:cs="仿宋_GB2312"/>
          <w:color w:val="000000"/>
          <w:kern w:val="0"/>
          <w:sz w:val="31"/>
          <w:szCs w:val="31"/>
        </w:rPr>
        <w:t>万元，执行数</w:t>
      </w:r>
      <w:r>
        <w:rPr>
          <w:rFonts w:hint="eastAsia" w:ascii="仿宋_GB2312" w:hAnsi="仿宋_GB2312" w:eastAsia="仿宋_GB2312" w:cs="仿宋_GB2312"/>
          <w:color w:val="000000"/>
          <w:kern w:val="0"/>
          <w:sz w:val="31"/>
          <w:szCs w:val="31"/>
          <w:lang w:val="en-US" w:eastAsia="zh-CN"/>
        </w:rPr>
        <w:t>4.75</w:t>
      </w:r>
      <w:r>
        <w:rPr>
          <w:rFonts w:ascii="仿宋_GB2312" w:hAnsi="仿宋_GB2312" w:eastAsia="仿宋_GB2312" w:cs="仿宋_GB2312"/>
          <w:color w:val="000000"/>
          <w:kern w:val="0"/>
          <w:sz w:val="31"/>
          <w:szCs w:val="31"/>
        </w:rPr>
        <w:t>万元，完成预算的</w:t>
      </w:r>
      <w:r>
        <w:rPr>
          <w:rFonts w:hint="eastAsia" w:ascii="仿宋_GB2312" w:hAnsi="仿宋_GB2312" w:eastAsia="仿宋_GB2312" w:cs="仿宋_GB2312"/>
          <w:color w:val="000000"/>
          <w:kern w:val="0"/>
          <w:sz w:val="31"/>
          <w:szCs w:val="31"/>
          <w:lang w:val="en-US" w:eastAsia="zh-CN"/>
        </w:rPr>
        <w:t>92</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主要产出和效果：</w:t>
      </w:r>
      <w:r>
        <w:rPr>
          <w:rFonts w:hint="eastAsia" w:ascii="仿宋_GB2312" w:hAnsi="仿宋_GB2312" w:eastAsia="仿宋_GB2312" w:cs="仿宋_GB2312"/>
          <w:color w:val="000000"/>
          <w:kern w:val="0"/>
          <w:sz w:val="31"/>
          <w:szCs w:val="31"/>
        </w:rPr>
        <w:t>完善</w:t>
      </w:r>
      <w:r>
        <w:rPr>
          <w:rFonts w:hint="eastAsia" w:ascii="仿宋_GB2312" w:hAnsi="仿宋_GB2312" w:eastAsia="仿宋_GB2312" w:cs="仿宋_GB2312"/>
          <w:color w:val="000000"/>
          <w:kern w:val="0"/>
          <w:sz w:val="31"/>
          <w:szCs w:val="31"/>
          <w:lang w:eastAsia="zh-CN"/>
        </w:rPr>
        <w:t>基本公共卫生服务居民的</w:t>
      </w:r>
      <w:r>
        <w:rPr>
          <w:rFonts w:hint="eastAsia" w:ascii="仿宋_GB2312" w:hAnsi="仿宋_GB2312" w:eastAsia="仿宋_GB2312" w:cs="仿宋_GB2312"/>
          <w:color w:val="000000"/>
          <w:kern w:val="0"/>
          <w:sz w:val="31"/>
          <w:szCs w:val="31"/>
        </w:rPr>
        <w:t>优惠政策，维护</w:t>
      </w:r>
      <w:r>
        <w:rPr>
          <w:rFonts w:hint="eastAsia" w:ascii="仿宋_GB2312" w:hAnsi="仿宋_GB2312" w:eastAsia="仿宋_GB2312" w:cs="仿宋_GB2312"/>
          <w:color w:val="000000"/>
          <w:kern w:val="0"/>
          <w:sz w:val="31"/>
          <w:szCs w:val="31"/>
          <w:lang w:eastAsia="zh-CN"/>
        </w:rPr>
        <w:t>辖区居民</w:t>
      </w:r>
      <w:r>
        <w:rPr>
          <w:rFonts w:hint="eastAsia" w:ascii="仿宋_GB2312" w:hAnsi="仿宋_GB2312" w:eastAsia="仿宋_GB2312" w:cs="仿宋_GB2312"/>
          <w:color w:val="000000"/>
          <w:kern w:val="0"/>
          <w:sz w:val="31"/>
          <w:szCs w:val="31"/>
        </w:rPr>
        <w:t>的合法权益。</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通过项目实施</w:t>
      </w:r>
      <w:r>
        <w:rPr>
          <w:rFonts w:hint="eastAsia" w:ascii="仿宋_GB2312" w:hAnsi="仿宋_GB2312" w:eastAsia="仿宋_GB2312" w:cs="仿宋_GB2312"/>
          <w:color w:val="000000"/>
          <w:kern w:val="0"/>
          <w:sz w:val="31"/>
          <w:szCs w:val="31"/>
          <w:lang w:eastAsia="zh-CN"/>
        </w:rPr>
        <w:t>向辖</w:t>
      </w:r>
      <w:r>
        <w:rPr>
          <w:rFonts w:hint="eastAsia" w:ascii="仿宋_GB2312" w:hAnsi="仿宋_GB2312" w:eastAsia="仿宋_GB2312" w:cs="仿宋_GB2312"/>
          <w:color w:val="000000"/>
          <w:kern w:val="0"/>
          <w:sz w:val="31"/>
          <w:szCs w:val="31"/>
        </w:rPr>
        <w:t>区</w:t>
      </w:r>
      <w:r>
        <w:rPr>
          <w:rFonts w:hint="eastAsia" w:ascii="仿宋_GB2312" w:hAnsi="仿宋_GB2312" w:eastAsia="仿宋_GB2312" w:cs="仿宋_GB2312"/>
          <w:color w:val="000000"/>
          <w:kern w:val="0"/>
          <w:sz w:val="31"/>
          <w:szCs w:val="31"/>
          <w:lang w:eastAsia="zh-CN"/>
        </w:rPr>
        <w:t>居民建立居民档案，对妇幼人员进行健康体检登记建册，对慢性病人员进行监管，年满</w:t>
      </w:r>
      <w:r>
        <w:rPr>
          <w:rFonts w:hint="eastAsia" w:ascii="仿宋_GB2312" w:hAnsi="仿宋_GB2312" w:eastAsia="仿宋_GB2312" w:cs="仿宋_GB2312"/>
          <w:color w:val="000000"/>
          <w:kern w:val="0"/>
          <w:sz w:val="31"/>
          <w:szCs w:val="31"/>
          <w:lang w:val="en-US" w:eastAsia="zh-CN"/>
        </w:rPr>
        <w:t>65岁以上老年人进行免费体检并对所有居民进行健康宣教</w:t>
      </w:r>
      <w:r>
        <w:rPr>
          <w:rFonts w:hint="eastAsia"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lang w:eastAsia="zh-CN"/>
        </w:rPr>
        <w:t>保障基本公共卫生服务的</w:t>
      </w:r>
      <w:r>
        <w:rPr>
          <w:rFonts w:hint="eastAsia" w:ascii="仿宋_GB2312" w:hAnsi="仿宋_GB2312" w:eastAsia="仿宋_GB2312" w:cs="仿宋_GB2312"/>
          <w:color w:val="000000"/>
          <w:kern w:val="0"/>
          <w:sz w:val="31"/>
          <w:szCs w:val="31"/>
        </w:rPr>
        <w:t>合法权益。</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发现的问题及原因：</w:t>
      </w:r>
      <w:r>
        <w:rPr>
          <w:rFonts w:hint="eastAsia" w:ascii="仿宋_GB2312" w:hAnsi="仿宋_GB2312" w:eastAsia="仿宋_GB2312" w:cs="仿宋_GB2312"/>
          <w:color w:val="000000"/>
          <w:kern w:val="0"/>
          <w:sz w:val="31"/>
          <w:szCs w:val="31"/>
          <w:lang w:eastAsia="zh-CN"/>
        </w:rPr>
        <w:t>预算不够全面，项目实施过程中的监督与考核欠缺</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hint="eastAsia"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下一步改进措施：</w:t>
      </w:r>
      <w:r>
        <w:rPr>
          <w:rFonts w:hint="eastAsia" w:ascii="仿宋_GB2312" w:hAnsi="仿宋_GB2312" w:eastAsia="仿宋_GB2312" w:cs="仿宋_GB2312"/>
          <w:color w:val="000000"/>
          <w:kern w:val="0"/>
          <w:sz w:val="31"/>
          <w:szCs w:val="31"/>
          <w:lang w:eastAsia="zh-CN"/>
        </w:rPr>
        <w:t>对项目进行全面预算管理，完善项目实施过程中的监督与考核</w:t>
      </w:r>
      <w:r>
        <w:rPr>
          <w:rFonts w:hint="eastAsia" w:ascii="仿宋_GB2312" w:hAnsi="仿宋_GB2312" w:eastAsia="仿宋_GB2312" w:cs="仿宋_GB2312"/>
          <w:color w:val="000000"/>
          <w:kern w:val="0"/>
          <w:sz w:val="31"/>
          <w:szCs w:val="31"/>
        </w:rPr>
        <w:t>。</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（三）部门决算中整体支出绩效自评结果。</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根据年初设定的绩效目标，</w:t>
      </w:r>
      <w:r>
        <w:rPr>
          <w:rFonts w:hint="eastAsia" w:ascii="仿宋_GB2312" w:hAnsi="仿宋_GB2312" w:eastAsia="仿宋_GB2312" w:cs="仿宋_GB2312"/>
          <w:color w:val="000000"/>
          <w:kern w:val="0"/>
          <w:sz w:val="31"/>
          <w:szCs w:val="31"/>
        </w:rPr>
        <w:t>本部门整体2019年度整体</w:t>
      </w:r>
      <w:r>
        <w:rPr>
          <w:rFonts w:ascii="仿宋_GB2312" w:hAnsi="仿宋_GB2312" w:eastAsia="仿宋_GB2312" w:cs="仿宋_GB2312"/>
          <w:color w:val="000000"/>
          <w:kern w:val="0"/>
          <w:sz w:val="31"/>
          <w:szCs w:val="31"/>
        </w:rPr>
        <w:t>自评得分</w:t>
      </w:r>
      <w:r>
        <w:rPr>
          <w:rFonts w:hint="eastAsia" w:ascii="仿宋_GB2312" w:hAnsi="仿宋_GB2312" w:eastAsia="仿宋_GB2312" w:cs="仿宋_GB2312"/>
          <w:color w:val="000000"/>
          <w:kern w:val="0"/>
          <w:sz w:val="31"/>
          <w:szCs w:val="31"/>
          <w:lang w:val="en-US" w:eastAsia="zh-CN"/>
        </w:rPr>
        <w:t>100</w:t>
      </w:r>
      <w:r>
        <w:rPr>
          <w:rFonts w:ascii="仿宋_GB2312" w:hAnsi="仿宋_GB2312" w:eastAsia="仿宋_GB2312" w:cs="仿宋_GB2312"/>
          <w:color w:val="000000"/>
          <w:kern w:val="0"/>
          <w:sz w:val="31"/>
          <w:szCs w:val="31"/>
        </w:rPr>
        <w:t>分。全年预算数</w:t>
      </w:r>
      <w:r>
        <w:rPr>
          <w:rFonts w:hint="eastAsia" w:ascii="仿宋_GB2312" w:hAnsi="仿宋" w:eastAsia="仿宋_GB2312"/>
          <w:szCs w:val="32"/>
          <w:lang w:val="en-US" w:eastAsia="zh-CN"/>
        </w:rPr>
        <w:t>44</w:t>
      </w:r>
      <w:r>
        <w:rPr>
          <w:rFonts w:ascii="仿宋_GB2312" w:hAnsi="仿宋_GB2312" w:eastAsia="仿宋_GB2312" w:cs="仿宋_GB2312"/>
          <w:color w:val="000000"/>
          <w:kern w:val="0"/>
          <w:sz w:val="31"/>
          <w:szCs w:val="31"/>
        </w:rPr>
        <w:t>万元，执行数</w:t>
      </w:r>
      <w:r>
        <w:rPr>
          <w:rFonts w:hint="eastAsia" w:ascii="仿宋_GB2312" w:hAnsi="仿宋" w:eastAsia="仿宋_GB2312"/>
          <w:szCs w:val="32"/>
          <w:lang w:val="en-US" w:eastAsia="zh-CN"/>
        </w:rPr>
        <w:t>54.2</w:t>
      </w:r>
      <w:r>
        <w:rPr>
          <w:rFonts w:ascii="仿宋_GB2312" w:hAnsi="仿宋_GB2312" w:eastAsia="仿宋_GB2312" w:cs="仿宋_GB2312"/>
          <w:color w:val="000000"/>
          <w:kern w:val="0"/>
          <w:sz w:val="31"/>
          <w:szCs w:val="31"/>
        </w:rPr>
        <w:t>万元，完成预算的</w:t>
      </w:r>
      <w:r>
        <w:rPr>
          <w:rFonts w:hint="eastAsia" w:ascii="仿宋_GB2312" w:hAnsi="仿宋_GB2312" w:eastAsia="仿宋_GB2312" w:cs="仿宋_GB2312"/>
          <w:color w:val="000000"/>
          <w:kern w:val="0"/>
          <w:sz w:val="31"/>
          <w:szCs w:val="31"/>
          <w:lang w:val="en-US" w:eastAsia="zh-CN"/>
        </w:rPr>
        <w:t>121</w:t>
      </w:r>
      <w:r>
        <w:rPr>
          <w:rFonts w:ascii="仿宋_GB2312" w:hAnsi="仿宋_GB2312" w:eastAsia="仿宋_GB2312" w:cs="仿宋_GB2312"/>
          <w:color w:val="000000"/>
          <w:kern w:val="0"/>
          <w:sz w:val="31"/>
          <w:szCs w:val="31"/>
        </w:rPr>
        <w:t>%。</w:t>
      </w:r>
    </w:p>
    <w:p>
      <w:pPr>
        <w:spacing w:line="520" w:lineRule="exact"/>
        <w:ind w:firstLine="620" w:firstLineChars="200"/>
        <w:rPr>
          <w:rFonts w:hint="eastAsia"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主要产出和效果：</w:t>
      </w:r>
      <w:r>
        <w:rPr>
          <w:rFonts w:hint="eastAsia" w:ascii="仿宋_GB2312" w:hAnsi="仿宋_GB2312" w:eastAsia="仿宋_GB2312" w:cs="仿宋_GB2312"/>
          <w:color w:val="000000"/>
          <w:kern w:val="0"/>
          <w:sz w:val="31"/>
          <w:szCs w:val="31"/>
        </w:rPr>
        <w:t>完善</w:t>
      </w:r>
      <w:r>
        <w:rPr>
          <w:rFonts w:hint="eastAsia" w:ascii="仿宋_GB2312" w:hAnsi="仿宋_GB2312" w:eastAsia="仿宋_GB2312" w:cs="仿宋_GB2312"/>
          <w:color w:val="000000"/>
          <w:kern w:val="0"/>
          <w:sz w:val="31"/>
          <w:szCs w:val="31"/>
          <w:lang w:eastAsia="zh-CN"/>
        </w:rPr>
        <w:t>基本公共卫生服务居民的</w:t>
      </w:r>
      <w:r>
        <w:rPr>
          <w:rFonts w:hint="eastAsia" w:ascii="仿宋_GB2312" w:hAnsi="仿宋_GB2312" w:eastAsia="仿宋_GB2312" w:cs="仿宋_GB2312"/>
          <w:color w:val="000000"/>
          <w:kern w:val="0"/>
          <w:sz w:val="31"/>
          <w:szCs w:val="31"/>
        </w:rPr>
        <w:t>优惠政策，维护</w:t>
      </w:r>
      <w:r>
        <w:rPr>
          <w:rFonts w:hint="eastAsia" w:ascii="仿宋_GB2312" w:hAnsi="仿宋_GB2312" w:eastAsia="仿宋_GB2312" w:cs="仿宋_GB2312"/>
          <w:color w:val="000000"/>
          <w:kern w:val="0"/>
          <w:sz w:val="31"/>
          <w:szCs w:val="31"/>
          <w:lang w:eastAsia="zh-CN"/>
        </w:rPr>
        <w:t>辖区居民</w:t>
      </w:r>
      <w:r>
        <w:rPr>
          <w:rFonts w:hint="eastAsia" w:ascii="仿宋_GB2312" w:hAnsi="仿宋_GB2312" w:eastAsia="仿宋_GB2312" w:cs="仿宋_GB2312"/>
          <w:color w:val="000000"/>
          <w:kern w:val="0"/>
          <w:sz w:val="31"/>
          <w:szCs w:val="31"/>
        </w:rPr>
        <w:t>的合法</w:t>
      </w:r>
    </w:p>
    <w:p>
      <w:pPr>
        <w:pBdr>
          <w:bottom w:val="single" w:color="FFFFFF" w:sz="4" w:space="0"/>
        </w:pBdr>
        <w:tabs>
          <w:tab w:val="left" w:pos="8050"/>
          <w:tab w:val="left" w:pos="8094"/>
        </w:tabs>
        <w:topLinePunct/>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1.继续推进并完善社区卫生服务模式，</w:t>
      </w:r>
      <w:r>
        <w:rPr>
          <w:rFonts w:ascii="仿宋_GB2312" w:hAnsi="仿宋" w:eastAsia="仿宋_GB2312"/>
          <w:sz w:val="32"/>
          <w:szCs w:val="32"/>
        </w:rPr>
        <w:t>家庭医生式签约服务稳步推进。</w:t>
      </w:r>
      <w:r>
        <w:rPr>
          <w:rFonts w:hint="eastAsia" w:ascii="仿宋_GB2312" w:eastAsia="仿宋_GB2312"/>
          <w:sz w:val="32"/>
          <w:szCs w:val="32"/>
        </w:rPr>
        <w:t>全区社区卫生服务机构组建社区卫生服务责任医师团队2</w:t>
      </w:r>
      <w:r>
        <w:rPr>
          <w:rFonts w:hint="eastAsia" w:ascii="仿宋_GB2312" w:eastAsia="仿宋_GB2312"/>
          <w:sz w:val="32"/>
          <w:szCs w:val="32"/>
          <w:lang w:val="en-US" w:eastAsia="zh-CN"/>
        </w:rPr>
        <w:t>4</w:t>
      </w:r>
      <w:r>
        <w:rPr>
          <w:rFonts w:hint="eastAsia" w:ascii="仿宋_GB2312" w:eastAsia="仿宋_GB2312"/>
          <w:sz w:val="32"/>
          <w:szCs w:val="32"/>
        </w:rPr>
        <w:t>个共</w:t>
      </w:r>
      <w:r>
        <w:rPr>
          <w:rFonts w:hint="eastAsia" w:ascii="仿宋_GB2312" w:eastAsia="仿宋_GB2312"/>
          <w:sz w:val="32"/>
          <w:szCs w:val="32"/>
          <w:lang w:val="en-US" w:eastAsia="zh-CN"/>
        </w:rPr>
        <w:t>9</w:t>
      </w:r>
      <w:r>
        <w:rPr>
          <w:rFonts w:hint="eastAsia" w:ascii="仿宋_GB2312" w:eastAsia="仿宋_GB2312"/>
          <w:sz w:val="32"/>
          <w:szCs w:val="32"/>
        </w:rPr>
        <w:t>6人，覆盖率为100%。</w:t>
      </w:r>
    </w:p>
    <w:p>
      <w:pPr>
        <w:spacing w:line="520" w:lineRule="exact"/>
        <w:ind w:firstLine="640" w:firstLineChars="200"/>
        <w:rPr>
          <w:rFonts w:hint="eastAsia" w:ascii="仿宋_GB2312" w:hAnsi="仿宋_GB2312" w:eastAsia="仿宋_GB2312" w:cs="仿宋_GB2312"/>
          <w:color w:val="000000"/>
          <w:kern w:val="0"/>
          <w:sz w:val="31"/>
          <w:szCs w:val="31"/>
        </w:rPr>
      </w:pPr>
      <w:r>
        <w:rPr>
          <w:rFonts w:hint="eastAsia" w:ascii="楷体_GB2312" w:eastAsia="楷体_GB2312"/>
          <w:sz w:val="32"/>
          <w:szCs w:val="32"/>
        </w:rPr>
        <w:t>2.基本公共卫生项目工作开展顺利，落实“五免”惠民政策。</w:t>
      </w:r>
      <w:r>
        <w:rPr>
          <w:rFonts w:hint="eastAsia" w:ascii="仿宋_GB2312" w:hAnsi="仿宋" w:eastAsia="仿宋_GB2312"/>
          <w:sz w:val="32"/>
          <w:szCs w:val="32"/>
        </w:rPr>
        <w:t>进一步完善</w:t>
      </w:r>
      <w:r>
        <w:rPr>
          <w:rFonts w:ascii="仿宋_GB2312" w:hAnsi="仿宋" w:eastAsia="仿宋_GB2312"/>
          <w:sz w:val="32"/>
          <w:szCs w:val="32"/>
        </w:rPr>
        <w:t>了健康档案、老年人管理和精神疾病防治网，利用信息平台，统计数据、制定提醒、体现质量等手段实施监管</w:t>
      </w:r>
      <w:r>
        <w:rPr>
          <w:rFonts w:hint="eastAsia" w:ascii="仿宋_GB2312" w:hAnsi="仿宋" w:eastAsia="仿宋_GB2312"/>
          <w:sz w:val="32"/>
          <w:szCs w:val="32"/>
        </w:rPr>
        <w:t>。</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下一步改进措施：</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加强制度管理。严格贯彻既有相关文件制度，对照专项资金管理办法和各项具体办法，加强专项资金的管理，做好年初有目标、年中有计划、年末有结果。</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进一步加快项目支出进度。针对个别项目资金支出率低的问题，将分析支出率低的原因并采取相关措施。加快项目支出进度，协调各业务部门，并加强项目实施单位项目督导，保障项目的正常开展。</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加强监管，确保规范。为保障国家卫生计生相关政策得到有效的贯彻落实，我局在资金拨付及时的基础上，需进一步加强对项目实施单位的监管，将日常管理和专项督查结合起来，将项目实施与资金挂钩，加强绩效管理工作，确保各专项资金发挥最大的资金效益。</w:t>
      </w: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sz w:val="31"/>
          <w:szCs w:val="31"/>
        </w:rPr>
      </w:pPr>
    </w:p>
    <w:tbl>
      <w:tblPr>
        <w:tblStyle w:val="6"/>
        <w:tblW w:w="91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5"/>
        <w:gridCol w:w="754"/>
        <w:gridCol w:w="870"/>
        <w:gridCol w:w="1710"/>
        <w:gridCol w:w="1335"/>
        <w:gridCol w:w="1185"/>
        <w:gridCol w:w="688"/>
        <w:gridCol w:w="512"/>
        <w:gridCol w:w="598"/>
        <w:gridCol w:w="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5" w:hRule="atLeast"/>
        </w:trPr>
        <w:tc>
          <w:tcPr>
            <w:tcW w:w="9149" w:type="dxa"/>
            <w:gridSpan w:val="10"/>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区</w:t>
            </w:r>
            <w:bookmarkStart w:id="0" w:name="_GoBack"/>
            <w:bookmarkEnd w:id="0"/>
            <w:r>
              <w:rPr>
                <w:rFonts w:hint="eastAsia" w:ascii="宋体" w:hAnsi="宋体" w:eastAsia="宋体" w:cs="宋体"/>
                <w:b/>
                <w:i w:val="0"/>
                <w:color w:val="000000"/>
                <w:kern w:val="0"/>
                <w:sz w:val="24"/>
                <w:szCs w:val="24"/>
                <w:u w:val="none"/>
                <w:lang w:val="en-US" w:eastAsia="zh-CN" w:bidi="ar"/>
              </w:rPr>
              <w:t>级预算（项目）绩效目标自评表</w:t>
            </w:r>
            <w:r>
              <w:rPr>
                <w:rFonts w:hint="eastAsia" w:ascii="宋体" w:hAnsi="宋体" w:eastAsia="宋体" w:cs="宋体"/>
                <w:i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 w:hRule="atLeast"/>
        </w:trPr>
        <w:tc>
          <w:tcPr>
            <w:tcW w:w="9149" w:type="dxa"/>
            <w:gridSpan w:val="10"/>
            <w:tcBorders>
              <w:bottom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（2019年度）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专项（项目）名称</w:t>
            </w:r>
          </w:p>
        </w:tc>
        <w:tc>
          <w:tcPr>
            <w:tcW w:w="69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基本公共卫生服务经费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市级主管部门</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西安市卫生健康局</w:t>
            </w:r>
          </w:p>
        </w:tc>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实施单位</w:t>
            </w:r>
          </w:p>
        </w:tc>
        <w:tc>
          <w:tcPr>
            <w:tcW w:w="2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西安市阎良区振兴卫生院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15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项目资金（万元）</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全年预算数（A）</w:t>
            </w:r>
          </w:p>
        </w:tc>
        <w:tc>
          <w:tcPr>
            <w:tcW w:w="29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全年执行数（B）</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年度资金总额：</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44</w:t>
            </w:r>
          </w:p>
        </w:tc>
        <w:tc>
          <w:tcPr>
            <w:tcW w:w="29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54.2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Style w:val="20"/>
                <w:lang w:val="en-US" w:eastAsia="zh-CN" w:bidi="ar"/>
              </w:rPr>
              <w:t xml:space="preserve"> </w:t>
            </w:r>
            <w:r>
              <w:rPr>
                <w:rFonts w:hint="eastAsia" w:ascii="宋体" w:hAnsi="宋体" w:eastAsia="宋体" w:cs="宋体"/>
                <w:i w:val="0"/>
                <w:color w:val="000000"/>
                <w:kern w:val="0"/>
                <w:sz w:val="16"/>
                <w:szCs w:val="16"/>
                <w:u w:val="none"/>
                <w:lang w:val="en-US" w:eastAsia="zh-CN" w:bidi="ar"/>
              </w:rPr>
              <w:t>其中：市级财政资金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44</w:t>
            </w:r>
          </w:p>
        </w:tc>
        <w:tc>
          <w:tcPr>
            <w:tcW w:w="29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54.2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Style w:val="20"/>
                <w:lang w:val="en-US" w:eastAsia="zh-CN" w:bidi="ar"/>
              </w:rPr>
              <w:t xml:space="preserve"> </w:t>
            </w:r>
            <w:r>
              <w:rPr>
                <w:rFonts w:hint="eastAsia" w:ascii="宋体" w:hAnsi="宋体" w:eastAsia="宋体" w:cs="宋体"/>
                <w:i w:val="0"/>
                <w:color w:val="000000"/>
                <w:kern w:val="0"/>
                <w:sz w:val="16"/>
                <w:szCs w:val="16"/>
                <w:u w:val="none"/>
                <w:lang w:val="en-US" w:eastAsia="zh-CN" w:bidi="ar"/>
              </w:rPr>
              <w:t xml:space="preserve">      区县财政资金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9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Style w:val="20"/>
                <w:lang w:val="en-US" w:eastAsia="zh-CN" w:bidi="ar"/>
              </w:rPr>
              <w:t xml:space="preserve">      </w:t>
            </w:r>
            <w:r>
              <w:rPr>
                <w:rStyle w:val="21"/>
                <w:lang w:val="en-US" w:eastAsia="zh-CN" w:bidi="ar"/>
              </w:rPr>
              <w:t xml:space="preserve">  其他资金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9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5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年度总体目标</w:t>
            </w:r>
          </w:p>
        </w:tc>
        <w:tc>
          <w:tcPr>
            <w:tcW w:w="46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年初设定目标</w:t>
            </w:r>
          </w:p>
        </w:tc>
        <w:tc>
          <w:tcPr>
            <w:tcW w:w="39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6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建立居民健康档案，对妇幼人员进行健康体检登记建册，对慢性病患者进行健康管理，年满65周岁以及上老年人进行免费体检，对辖区居民进行健康教育宣传等14项基本公共卫生服务。</w:t>
            </w:r>
          </w:p>
        </w:tc>
        <w:tc>
          <w:tcPr>
            <w:tcW w:w="39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完成辖区居民基本公共卫生服务项目工作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53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绩效指标</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年度指标值</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全年完成值</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出</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标</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辖区居民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服务范围、途径、规律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服务项目</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服务时间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2019年12月前</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2019年12月前</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服务总成本</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54.2万元</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54.2万元</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益</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标</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经济效益</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对群众有计划</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w:t>
            </w:r>
            <w:r>
              <w:rPr>
                <w:rStyle w:val="20"/>
                <w:lang w:val="en-US" w:eastAsia="zh-CN" w:bidi="ar"/>
              </w:rPr>
              <w:t>95%</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生态效益</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可持续影响指标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执行年度</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长期</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满意度指标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符合条件补助</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w:t>
            </w:r>
            <w:r>
              <w:rPr>
                <w:rStyle w:val="20"/>
                <w:lang w:val="en-US" w:eastAsia="zh-CN" w:bidi="ar"/>
              </w:rPr>
              <w:t>95%</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说明</w:t>
            </w:r>
          </w:p>
        </w:tc>
        <w:tc>
          <w:tcPr>
            <w:tcW w:w="86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请在此处简要说明各级审计和财政监督检查中发现的问题及其所涉及的金额，如没有请填无。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9149" w:type="dxa"/>
            <w:gridSpan w:val="10"/>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注：1.其他资金包括和财政资金共同投入到同一项目的自有资金、社会资金，以及以前年度的结转结余资金等。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9149" w:type="dxa"/>
            <w:gridSpan w:val="10"/>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2.定量指标，资金使用单位填写本地区实际完成数。财政和主管部门汇总时，对绝对值直接累加计算，相对值按照资金额度加权平均计算。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9149" w:type="dxa"/>
            <w:gridSpan w:val="10"/>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3.定性指标根据指标完成情况分为：全部或基本达成预期指标、部分达成预期指标并具有一定效果、未达成预期指标且效果较差三档，分别按照100%-80%（含）、80%-60%（含）、60-0%合理填写完成比例。</w:t>
            </w:r>
          </w:p>
        </w:tc>
      </w:tr>
    </w:tbl>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sectPr>
          <w:headerReference r:id="rId3" w:type="default"/>
          <w:footerReference r:id="rId4" w:type="default"/>
          <w:pgSz w:w="11906" w:h="16838"/>
          <w:pgMar w:top="1440" w:right="1800" w:bottom="1440" w:left="1800" w:header="851" w:footer="992" w:gutter="0"/>
          <w:cols w:space="425" w:num="1"/>
          <w:docGrid w:type="lines" w:linePitch="312" w:charSpace="0"/>
        </w:sectPr>
      </w:pPr>
    </w:p>
    <w:tbl>
      <w:tblPr>
        <w:tblStyle w:val="6"/>
        <w:tblW w:w="142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48"/>
        <w:gridCol w:w="968"/>
        <w:gridCol w:w="939"/>
        <w:gridCol w:w="700"/>
        <w:gridCol w:w="2681"/>
        <w:gridCol w:w="1646"/>
        <w:gridCol w:w="1054"/>
        <w:gridCol w:w="1058"/>
        <w:gridCol w:w="1062"/>
        <w:gridCol w:w="1046"/>
        <w:gridCol w:w="859"/>
        <w:gridCol w:w="14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245" w:type="dxa"/>
            <w:gridSpan w:val="12"/>
            <w:shd w:val="clear" w:color="auto" w:fill="auto"/>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Style w:val="22"/>
                <w:rFonts w:hAnsi="宋体"/>
                <w:lang w:val="en-US" w:eastAsia="zh-CN" w:bidi="ar"/>
              </w:rPr>
              <w:t>部门整体支出绩效自评表</w:t>
            </w:r>
            <w:r>
              <w:rPr>
                <w:rStyle w:val="22"/>
                <w:rFonts w:hAnsi="宋体"/>
                <w:lang w:val="en-US" w:eastAsia="zh-CN" w:bidi="ar"/>
              </w:rPr>
              <w:br w:type="textWrapping"/>
            </w:r>
            <w:r>
              <w:rPr>
                <w:rFonts w:hint="eastAsia" w:ascii="黑体" w:hAnsi="宋体" w:eastAsia="黑体" w:cs="黑体"/>
                <w:i w:val="0"/>
                <w:color w:val="000000"/>
                <w:kern w:val="0"/>
                <w:sz w:val="20"/>
                <w:szCs w:val="20"/>
                <w:u w:val="none"/>
                <w:lang w:val="en-US" w:eastAsia="zh-CN" w:bidi="ar"/>
              </w:rPr>
              <w:t>（2019年度）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36" w:type="dxa"/>
            <w:gridSpan w:val="5"/>
            <w:shd w:val="clear" w:color="auto" w:fill="auto"/>
            <w:vAlign w:val="center"/>
          </w:tcPr>
          <w:p>
            <w:pPr>
              <w:keepNext w:val="0"/>
              <w:keepLines w:val="0"/>
              <w:widowControl/>
              <w:suppressLineNumbers w:val="0"/>
              <w:jc w:val="left"/>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填报单位:西安市阎良区社区卫生服务指导中心</w:t>
            </w:r>
          </w:p>
        </w:tc>
        <w:tc>
          <w:tcPr>
            <w:tcW w:w="1646"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自评得分：90</w:t>
            </w:r>
          </w:p>
        </w:tc>
        <w:tc>
          <w:tcPr>
            <w:tcW w:w="1054" w:type="dxa"/>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058" w:type="dxa"/>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062" w:type="dxa"/>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046" w:type="dxa"/>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59" w:type="dxa"/>
            <w:shd w:val="clear" w:color="auto" w:fill="auto"/>
            <w:vAlign w:val="center"/>
          </w:tcPr>
          <w:p>
            <w:pPr>
              <w:rPr>
                <w:rFonts w:hint="eastAsia" w:ascii="宋体" w:hAnsi="宋体" w:eastAsia="宋体" w:cs="宋体"/>
                <w:i w:val="0"/>
                <w:color w:val="000000"/>
                <w:sz w:val="24"/>
                <w:szCs w:val="24"/>
                <w:u w:val="none"/>
              </w:rPr>
            </w:pPr>
          </w:p>
        </w:tc>
        <w:tc>
          <w:tcPr>
            <w:tcW w:w="1484" w:type="dxa"/>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6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（一）简要概述部门职能与职责。</w:t>
            </w:r>
          </w:p>
        </w:tc>
        <w:tc>
          <w:tcPr>
            <w:tcW w:w="82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西安市阎良区振兴卫生院是阎良区区属规模较好的乡镇综合性卫生院之一，主要担负辖区内居民的基本医疗、保健、公共卫生服务等。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40" w:hRule="atLeast"/>
        </w:trPr>
        <w:tc>
          <w:tcPr>
            <w:tcW w:w="6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（二）简要概述部门支出情况，按活动内容分类。</w:t>
            </w:r>
          </w:p>
        </w:tc>
        <w:tc>
          <w:tcPr>
            <w:tcW w:w="82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本年支出总额54.2万元，一：基本支出49.4万元（其中：工资福利支出47.4万元，商品和服务支出2万元（其中：办公费0.6万元，公务接待0.09万元，差旅费0.6元，工会经费0.7万元，）。</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二、项目支出4.75万元，（其中：办公费1.7万元，印刷费0.5万元，邮电费0.3元，差旅费1.2元，劳务费0.6万元（含临聘人员工资及卫生室公卫经费），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6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（三）简要概述当年市委市政府下达的重点工作。</w:t>
            </w:r>
          </w:p>
        </w:tc>
        <w:tc>
          <w:tcPr>
            <w:tcW w:w="82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力推进健康西安建设,迎接国家卫生城市复审，推动综合医改不断取得实效。巩固破除以药补医成果，提升基层医疗机构服务能力。做实做细公共卫生服务。做好地方病和传染病防控工作，提高预防接种服务质量，持续强化卫生应急能力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一级</w:t>
            </w:r>
            <w:r>
              <w:rPr>
                <w:rFonts w:hint="eastAsia" w:ascii="楷体_GB2312" w:hAnsi="宋体" w:eastAsia="楷体_GB2312" w:cs="楷体_GB2312"/>
                <w:b/>
                <w:i w:val="0"/>
                <w:color w:val="000000"/>
                <w:kern w:val="0"/>
                <w:sz w:val="20"/>
                <w:szCs w:val="20"/>
                <w:u w:val="none"/>
                <w:lang w:val="en-US" w:eastAsia="zh-CN" w:bidi="ar"/>
              </w:rPr>
              <w:br w:type="textWrapping"/>
            </w:r>
            <w:r>
              <w:rPr>
                <w:rFonts w:hint="eastAsia" w:ascii="楷体_GB2312" w:hAnsi="宋体" w:eastAsia="楷体_GB2312" w:cs="楷体_GB2312"/>
                <w:b/>
                <w:i w:val="0"/>
                <w:color w:val="000000"/>
                <w:kern w:val="0"/>
                <w:sz w:val="20"/>
                <w:szCs w:val="20"/>
                <w:u w:val="none"/>
                <w:lang w:val="en-US" w:eastAsia="zh-CN" w:bidi="ar"/>
              </w:rPr>
              <w:t>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二级</w:t>
            </w:r>
            <w:r>
              <w:rPr>
                <w:rFonts w:hint="eastAsia" w:ascii="楷体_GB2312" w:hAnsi="宋体" w:eastAsia="楷体_GB2312" w:cs="楷体_GB2312"/>
                <w:b/>
                <w:i w:val="0"/>
                <w:color w:val="000000"/>
                <w:kern w:val="0"/>
                <w:sz w:val="20"/>
                <w:szCs w:val="20"/>
                <w:u w:val="none"/>
                <w:lang w:val="en-US" w:eastAsia="zh-CN" w:bidi="ar"/>
              </w:rPr>
              <w:br w:type="textWrapping"/>
            </w:r>
            <w:r>
              <w:rPr>
                <w:rFonts w:hint="eastAsia" w:ascii="楷体_GB2312" w:hAnsi="宋体" w:eastAsia="楷体_GB2312" w:cs="楷体_GB2312"/>
                <w:b/>
                <w:i w:val="0"/>
                <w:color w:val="000000"/>
                <w:kern w:val="0"/>
                <w:sz w:val="20"/>
                <w:szCs w:val="20"/>
                <w:u w:val="none"/>
                <w:lang w:val="en-US" w:eastAsia="zh-CN" w:bidi="ar"/>
              </w:rPr>
              <w:t>指标</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三级指标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分值</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指标说明</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评分标准</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指标值计算公式和数据获取方式</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年初目标值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实际完成值</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得分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未完成原因分析与改进措施</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绩效指标分析与建议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投入</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预算执行（25分）</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完成率</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（10分）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10</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预算完成率=（预算完成数/预算数）×100%，用以反映和考核部门（单位）预算完成程度。</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预算完成数：部门（单位）本年度实际完成的预算数。</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预算数：财政部门批复的本年度部门（单位）预算数。</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预算完成率＝100%的，得10分。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预算完成率≥95%的，得9分。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预算完成率在90%（含）和95%之间，得8分。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预算完成率在85%（含）和90%之间，得7分。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预算完成率在80%（含）和85%之间，得6分。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预算完成率在70%（含）和80%之间，得4分。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预算完成率＜70%的，得0分。</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财政部门批复的本年度部门预算数和决算数。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≥95%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0"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楷体_GB2312" w:hAnsi="宋体" w:eastAsia="楷体_GB2312" w:cs="楷体_GB2312"/>
                <w:i w:val="0"/>
                <w:color w:val="000000"/>
                <w:sz w:val="20"/>
                <w:szCs w:val="20"/>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预算调整率</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（5分）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预算调整率=（预算调整数/预算数）×100%，用以反映和考核部门（单位）预算的调整程度。</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预算调整数：部门（单位）在本年度内涉及预算的追加、追减或结构调整的资金总和（因落实国家政策、发生不可抗力、上级部门或本级党委政府临时交办而产生的调整除外）。</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预算包括一般公共预算与政府性基金预算。</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预算调整率绝对值≤5%，得5分。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预算调整率绝对值＞5%的，每增加0.1个百分点扣0.1分，扣完为止。</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财政部门批复的本年度部门预算数和决算数。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一级</w:t>
            </w:r>
            <w:r>
              <w:rPr>
                <w:rFonts w:hint="eastAsia" w:ascii="楷体_GB2312" w:hAnsi="宋体" w:eastAsia="楷体_GB2312" w:cs="楷体_GB2312"/>
                <w:b/>
                <w:i w:val="0"/>
                <w:color w:val="000000"/>
                <w:kern w:val="0"/>
                <w:sz w:val="20"/>
                <w:szCs w:val="20"/>
                <w:u w:val="none"/>
                <w:lang w:val="en-US" w:eastAsia="zh-CN" w:bidi="ar"/>
              </w:rPr>
              <w:br w:type="textWrapping"/>
            </w:r>
            <w:r>
              <w:rPr>
                <w:rFonts w:hint="eastAsia" w:ascii="楷体_GB2312" w:hAnsi="宋体" w:eastAsia="楷体_GB2312" w:cs="楷体_GB2312"/>
                <w:b/>
                <w:i w:val="0"/>
                <w:color w:val="000000"/>
                <w:kern w:val="0"/>
                <w:sz w:val="20"/>
                <w:szCs w:val="20"/>
                <w:u w:val="none"/>
                <w:lang w:val="en-US" w:eastAsia="zh-CN" w:bidi="ar"/>
              </w:rPr>
              <w:t>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二级</w:t>
            </w:r>
            <w:r>
              <w:rPr>
                <w:rFonts w:hint="eastAsia" w:ascii="楷体_GB2312" w:hAnsi="宋体" w:eastAsia="楷体_GB2312" w:cs="楷体_GB2312"/>
                <w:b/>
                <w:i w:val="0"/>
                <w:color w:val="000000"/>
                <w:kern w:val="0"/>
                <w:sz w:val="20"/>
                <w:szCs w:val="20"/>
                <w:u w:val="none"/>
                <w:lang w:val="en-US" w:eastAsia="zh-CN" w:bidi="ar"/>
              </w:rPr>
              <w:br w:type="textWrapping"/>
            </w:r>
            <w:r>
              <w:rPr>
                <w:rFonts w:hint="eastAsia" w:ascii="楷体_GB2312" w:hAnsi="宋体" w:eastAsia="楷体_GB2312" w:cs="楷体_GB2312"/>
                <w:b/>
                <w:i w:val="0"/>
                <w:color w:val="000000"/>
                <w:kern w:val="0"/>
                <w:sz w:val="20"/>
                <w:szCs w:val="20"/>
                <w:u w:val="none"/>
                <w:lang w:val="en-US" w:eastAsia="zh-CN" w:bidi="ar"/>
              </w:rPr>
              <w:t>指标</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三级指标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分值</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指标说明</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评分标准</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指标值计算公式和数据获取方式</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年初目标值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实际完成值</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得分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未完成原因分析与改进措施</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绩效指标分析与建议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0" w:hRule="atLeast"/>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投入</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预算执行（25分）</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支出进度率</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（5分）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支出进度率=（实际支出/支出预算）×100%，用以反映和考核部门（单位）预算执行的及时性和均衡性程度。</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半年支出进度＝部门上半年实际支出/（上年结余结转+本年部门预算安排+上半年执行中追加追减）*100%。</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前三季度支出进度＝部门前三季度实际支出/（上年结余结转+本年部门预算安排+前三季度执行中追加追减）*100%。</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半年进度：进度率≥45%，得2分；进度率在40%（含）和45%之间，得1分；进度率＜40%，得0分。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前三季度进度：进度率≥75%，得3分；进度率在60%（含）和75%之间，得2分；进度率＜60%，得0分。</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财政部门批复的本年度部门预算数和决算数。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半年进度率≥45%，前三季度进度率≥75%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半年进度42%，前三季度进度超75%</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29"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楷体_GB2312" w:hAnsi="宋体" w:eastAsia="楷体_GB2312" w:cs="楷体_GB2312"/>
                <w:i w:val="0"/>
                <w:color w:val="000000"/>
                <w:sz w:val="20"/>
                <w:szCs w:val="20"/>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预算编制准确率（5分）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部门预算中除财政拨款外的其他收入预算与决算差异率。</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预算编制准确率＝其他收入决算数/其他收入预算数×100%-100%。</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预算编制准确率≤20%，得5分。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预算编制准确率在20%和40%（含）之间，得3分。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预算编制准确率＞40%，得0分。</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财政部门批复的本年度部门预算数和决算数。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预算编制准确率30%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19.70%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0" w:hRule="atLeast"/>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过程</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预算管理（15分）</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“三公经费”控制率</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（5分）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“三公经费”控制率=（“三公经费”实际支出数/“三公经费”预算安排数）×100%，用以反映和考核部门（单位）对“三公经费”的实际控制程度。</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三公经费控制率 ≤100%，得5分，每增加0.1个百分点扣0.5分，扣完为止。</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_GB2312" w:hAnsi="宋体" w:eastAsia="楷体_GB2312" w:cs="楷体_GB2312"/>
                <w:i w:val="0"/>
                <w:color w:val="000000"/>
                <w:sz w:val="20"/>
                <w:szCs w:val="20"/>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_GB2312" w:hAnsi="宋体" w:eastAsia="楷体_GB2312" w:cs="楷体_GB2312"/>
                <w:i w:val="0"/>
                <w:color w:val="000000"/>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_GB2312" w:hAnsi="宋体" w:eastAsia="楷体_GB2312" w:cs="楷体_GB2312"/>
                <w:i w:val="0"/>
                <w:color w:val="000000"/>
                <w:sz w:val="20"/>
                <w:szCs w:val="20"/>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楷体_GB2312" w:hAnsi="宋体" w:eastAsia="楷体_GB2312" w:cs="楷体_GB2312"/>
                <w:i w:val="0"/>
                <w:color w:val="000000"/>
                <w:sz w:val="20"/>
                <w:szCs w:val="20"/>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60"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楷体_GB2312" w:hAnsi="宋体" w:eastAsia="楷体_GB2312" w:cs="楷体_GB2312"/>
                <w:i w:val="0"/>
                <w:color w:val="000000"/>
                <w:sz w:val="20"/>
                <w:szCs w:val="20"/>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资产管理规范性</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（5分）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部门（单位）资产管理是否规范，用以反映和考核部门（单位）资产管理情况。</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1.新增资产配置按预算执行。</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2.资产有偿使用、处置按规定程序审批。</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3.资产收益及时、足额上缴财政。</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全部符合5分，有1项不符扣2分,扣完为止。</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财政部门批复的本年度部门预算数和决算数。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各项资产全面预算管理</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48" w:type="dxa"/>
            <w:shd w:val="clear" w:color="auto" w:fill="auto"/>
            <w:textDirection w:val="tbRlV"/>
            <w:vAlign w:val="center"/>
          </w:tcPr>
          <w:p>
            <w:pPr>
              <w:jc w:val="center"/>
              <w:rPr>
                <w:rFonts w:hint="eastAsia" w:ascii="楷体_GB2312" w:hAnsi="宋体" w:eastAsia="楷体_GB2312" w:cs="楷体_GB2312"/>
                <w:i w:val="0"/>
                <w:color w:val="000000"/>
                <w:sz w:val="20"/>
                <w:szCs w:val="20"/>
                <w:u w:val="none"/>
              </w:rPr>
            </w:pPr>
          </w:p>
        </w:tc>
        <w:tc>
          <w:tcPr>
            <w:tcW w:w="968" w:type="dxa"/>
            <w:shd w:val="clear" w:color="auto" w:fill="auto"/>
            <w:vAlign w:val="center"/>
          </w:tcPr>
          <w:p>
            <w:pPr>
              <w:jc w:val="center"/>
              <w:rPr>
                <w:rFonts w:hint="eastAsia" w:ascii="楷体_GB2312" w:hAnsi="宋体" w:eastAsia="楷体_GB2312" w:cs="楷体_GB2312"/>
                <w:i w:val="0"/>
                <w:color w:val="000000"/>
                <w:sz w:val="20"/>
                <w:szCs w:val="20"/>
                <w:u w:val="none"/>
              </w:rPr>
            </w:pPr>
          </w:p>
        </w:tc>
        <w:tc>
          <w:tcPr>
            <w:tcW w:w="939" w:type="dxa"/>
            <w:shd w:val="clear" w:color="auto" w:fill="auto"/>
            <w:vAlign w:val="center"/>
          </w:tcPr>
          <w:p>
            <w:pPr>
              <w:jc w:val="left"/>
              <w:rPr>
                <w:rFonts w:hint="eastAsia" w:ascii="楷体_GB2312" w:hAnsi="宋体" w:eastAsia="楷体_GB2312" w:cs="楷体_GB2312"/>
                <w:i w:val="0"/>
                <w:color w:val="000000"/>
                <w:sz w:val="20"/>
                <w:szCs w:val="20"/>
                <w:u w:val="none"/>
              </w:rPr>
            </w:pPr>
          </w:p>
        </w:tc>
        <w:tc>
          <w:tcPr>
            <w:tcW w:w="700" w:type="dxa"/>
            <w:shd w:val="clear" w:color="auto" w:fill="auto"/>
            <w:vAlign w:val="center"/>
          </w:tcPr>
          <w:p>
            <w:pPr>
              <w:jc w:val="center"/>
              <w:rPr>
                <w:rFonts w:hint="eastAsia" w:ascii="楷体_GB2312" w:hAnsi="宋体" w:eastAsia="楷体_GB2312" w:cs="楷体_GB2312"/>
                <w:i w:val="0"/>
                <w:color w:val="000000"/>
                <w:sz w:val="20"/>
                <w:szCs w:val="20"/>
                <w:u w:val="none"/>
              </w:rPr>
            </w:pPr>
          </w:p>
        </w:tc>
        <w:tc>
          <w:tcPr>
            <w:tcW w:w="2681" w:type="dxa"/>
            <w:shd w:val="clear" w:color="auto" w:fill="auto"/>
            <w:vAlign w:val="center"/>
          </w:tcPr>
          <w:p>
            <w:pPr>
              <w:jc w:val="left"/>
              <w:rPr>
                <w:rFonts w:hint="eastAsia" w:ascii="楷体_GB2312" w:hAnsi="宋体" w:eastAsia="楷体_GB2312" w:cs="楷体_GB2312"/>
                <w:i w:val="0"/>
                <w:color w:val="000000"/>
                <w:sz w:val="20"/>
                <w:szCs w:val="20"/>
                <w:u w:val="none"/>
              </w:rPr>
            </w:pPr>
          </w:p>
        </w:tc>
        <w:tc>
          <w:tcPr>
            <w:tcW w:w="1646" w:type="dxa"/>
            <w:shd w:val="clear" w:color="auto" w:fill="auto"/>
            <w:vAlign w:val="center"/>
          </w:tcPr>
          <w:p>
            <w:pPr>
              <w:rPr>
                <w:rFonts w:hint="eastAsia" w:ascii="楷体_GB2312" w:hAnsi="宋体" w:eastAsia="楷体_GB2312" w:cs="楷体_GB2312"/>
                <w:i w:val="0"/>
                <w:color w:val="000000"/>
                <w:sz w:val="20"/>
                <w:szCs w:val="20"/>
                <w:u w:val="none"/>
              </w:rPr>
            </w:pPr>
          </w:p>
        </w:tc>
        <w:tc>
          <w:tcPr>
            <w:tcW w:w="1054" w:type="dxa"/>
            <w:shd w:val="clear" w:color="auto" w:fill="auto"/>
            <w:vAlign w:val="center"/>
          </w:tcPr>
          <w:p>
            <w:pPr>
              <w:rPr>
                <w:rFonts w:hint="eastAsia" w:ascii="楷体_GB2312" w:hAnsi="宋体" w:eastAsia="楷体_GB2312" w:cs="楷体_GB2312"/>
                <w:i w:val="0"/>
                <w:color w:val="000000"/>
                <w:sz w:val="20"/>
                <w:szCs w:val="20"/>
                <w:u w:val="none"/>
              </w:rPr>
            </w:pPr>
          </w:p>
        </w:tc>
        <w:tc>
          <w:tcPr>
            <w:tcW w:w="1058" w:type="dxa"/>
            <w:shd w:val="clear" w:color="auto" w:fill="auto"/>
            <w:vAlign w:val="center"/>
          </w:tcPr>
          <w:p>
            <w:pPr>
              <w:rPr>
                <w:rFonts w:hint="eastAsia" w:ascii="楷体_GB2312" w:hAnsi="宋体" w:eastAsia="楷体_GB2312" w:cs="楷体_GB2312"/>
                <w:i w:val="0"/>
                <w:color w:val="000000"/>
                <w:sz w:val="20"/>
                <w:szCs w:val="20"/>
                <w:u w:val="none"/>
              </w:rPr>
            </w:pPr>
          </w:p>
        </w:tc>
        <w:tc>
          <w:tcPr>
            <w:tcW w:w="1062" w:type="dxa"/>
            <w:shd w:val="clear" w:color="auto" w:fill="auto"/>
            <w:vAlign w:val="center"/>
          </w:tcPr>
          <w:p>
            <w:pPr>
              <w:rPr>
                <w:rFonts w:hint="eastAsia" w:ascii="楷体_GB2312" w:hAnsi="宋体" w:eastAsia="楷体_GB2312" w:cs="楷体_GB2312"/>
                <w:i w:val="0"/>
                <w:color w:val="000000"/>
                <w:sz w:val="20"/>
                <w:szCs w:val="20"/>
                <w:u w:val="none"/>
              </w:rPr>
            </w:pPr>
          </w:p>
        </w:tc>
        <w:tc>
          <w:tcPr>
            <w:tcW w:w="1046" w:type="dxa"/>
            <w:shd w:val="clear" w:color="auto" w:fill="auto"/>
            <w:vAlign w:val="center"/>
          </w:tcPr>
          <w:p>
            <w:pPr>
              <w:jc w:val="left"/>
              <w:rPr>
                <w:rFonts w:hint="eastAsia" w:ascii="楷体_GB2312" w:hAnsi="宋体" w:eastAsia="楷体_GB2312" w:cs="楷体_GB2312"/>
                <w:i w:val="0"/>
                <w:color w:val="000000"/>
                <w:sz w:val="20"/>
                <w:szCs w:val="20"/>
                <w:u w:val="none"/>
              </w:rPr>
            </w:pPr>
          </w:p>
        </w:tc>
        <w:tc>
          <w:tcPr>
            <w:tcW w:w="859" w:type="dxa"/>
            <w:shd w:val="clear" w:color="auto" w:fill="auto"/>
            <w:vAlign w:val="center"/>
          </w:tcPr>
          <w:p>
            <w:pPr>
              <w:rPr>
                <w:rFonts w:hint="eastAsia" w:ascii="宋体" w:hAnsi="宋体" w:eastAsia="宋体" w:cs="宋体"/>
                <w:i w:val="0"/>
                <w:color w:val="000000"/>
                <w:sz w:val="24"/>
                <w:szCs w:val="24"/>
                <w:u w:val="none"/>
              </w:rPr>
            </w:pPr>
          </w:p>
        </w:tc>
        <w:tc>
          <w:tcPr>
            <w:tcW w:w="1484" w:type="dxa"/>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一级</w:t>
            </w:r>
            <w:r>
              <w:rPr>
                <w:rFonts w:hint="eastAsia" w:ascii="楷体_GB2312" w:hAnsi="宋体" w:eastAsia="楷体_GB2312" w:cs="楷体_GB2312"/>
                <w:b/>
                <w:i w:val="0"/>
                <w:color w:val="000000"/>
                <w:kern w:val="0"/>
                <w:sz w:val="20"/>
                <w:szCs w:val="20"/>
                <w:u w:val="none"/>
                <w:lang w:val="en-US" w:eastAsia="zh-CN" w:bidi="ar"/>
              </w:rPr>
              <w:br w:type="textWrapping"/>
            </w:r>
            <w:r>
              <w:rPr>
                <w:rFonts w:hint="eastAsia" w:ascii="楷体_GB2312" w:hAnsi="宋体" w:eastAsia="楷体_GB2312" w:cs="楷体_GB2312"/>
                <w:b/>
                <w:i w:val="0"/>
                <w:color w:val="000000"/>
                <w:kern w:val="0"/>
                <w:sz w:val="20"/>
                <w:szCs w:val="20"/>
                <w:u w:val="none"/>
                <w:lang w:val="en-US" w:eastAsia="zh-CN" w:bidi="ar"/>
              </w:rPr>
              <w:t>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二级</w:t>
            </w:r>
            <w:r>
              <w:rPr>
                <w:rFonts w:hint="eastAsia" w:ascii="楷体_GB2312" w:hAnsi="宋体" w:eastAsia="楷体_GB2312" w:cs="楷体_GB2312"/>
                <w:b/>
                <w:i w:val="0"/>
                <w:color w:val="000000"/>
                <w:kern w:val="0"/>
                <w:sz w:val="20"/>
                <w:szCs w:val="20"/>
                <w:u w:val="none"/>
                <w:lang w:val="en-US" w:eastAsia="zh-CN" w:bidi="ar"/>
              </w:rPr>
              <w:br w:type="textWrapping"/>
            </w:r>
            <w:r>
              <w:rPr>
                <w:rFonts w:hint="eastAsia" w:ascii="楷体_GB2312" w:hAnsi="宋体" w:eastAsia="楷体_GB2312" w:cs="楷体_GB2312"/>
                <w:b/>
                <w:i w:val="0"/>
                <w:color w:val="000000"/>
                <w:kern w:val="0"/>
                <w:sz w:val="20"/>
                <w:szCs w:val="20"/>
                <w:u w:val="none"/>
                <w:lang w:val="en-US" w:eastAsia="zh-CN" w:bidi="ar"/>
              </w:rPr>
              <w:t>指标</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三级指标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分值</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指标说明</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评分标准</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指标值计算公式和数据获取方式</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年初目标值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实际完成值</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得分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未完成原因分析与改进措施</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绩效指标分析与建议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1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过程</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预算管理（15分）</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资金使用合规性</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（5分）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部门（单位）使用预算资金是否符合相关的预算财务管理制度的规定，用以反映和考核部门（单位）预算资金的规范运行情况。</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1.符合国家财经法规和财务管理制度规定以及有关专项资金管理办法的规定；</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2.资金的拨付有完整的审批程序和手续；</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3.重大项目开支经过评估论证；</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4.符合部门预算批复的用途；</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5.不存在截留、挤占、挪用、虚列支出等情况。</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全部符合5分,有1项不符扣2分。</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财政部门批复的本年度部门预算数和决算数。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预算资金使用合规</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全年预算资金使用合规</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5" w:hRule="atLeast"/>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效果</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履职尽责（60分）</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项目产出</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（40分）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40</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_GB2312" w:hAnsi="宋体" w:eastAsia="楷体_GB2312" w:cs="楷体_GB2312"/>
                <w:i w:val="0"/>
                <w:color w:val="000000"/>
                <w:sz w:val="20"/>
                <w:szCs w:val="20"/>
                <w:u w:val="none"/>
              </w:rPr>
            </w:pP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1.若为定性指标，根据“三档”原则分别按照指标分值的100-80%（含）、80-50%（含）、50-10%来记分；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2.若为定量指标，完成值达到指标值，记满分；未达到指标值，按完成比率计分，正向指标（即指标值为≥*）得分＝实际完成值/年初目标值*该指标分值，反向指标（即指标值为≤*）得分＝年初目标值/实际完成值*该指标分值。</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财政部门批复的本年度部门预算数和决算数。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项目产出</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完成既定的预算项目产出</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37</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20"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楷体_GB2312" w:hAnsi="宋体" w:eastAsia="楷体_GB2312" w:cs="楷体_GB2312"/>
                <w:i w:val="0"/>
                <w:color w:val="000000"/>
                <w:sz w:val="20"/>
                <w:szCs w:val="20"/>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项目效益</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（20分）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20</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_GB2312" w:hAnsi="宋体" w:eastAsia="楷体_GB2312" w:cs="楷体_GB2312"/>
                <w:i w:val="0"/>
                <w:color w:val="000000"/>
                <w:sz w:val="20"/>
                <w:szCs w:val="20"/>
                <w:u w:val="none"/>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楷体_GB2312" w:hAnsi="宋体" w:eastAsia="楷体_GB2312" w:cs="楷体_GB2312"/>
                <w:i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财政部门批复的本年度部门预算数和决算数。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项目效益</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完成既定的预算项目效益</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18</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1424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1.“项目产出”和“项目效果”直接细化成部门年初绩效目标中的指标，并根据重要程度赋权。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绩效指标分析”是指参考历史数据、行业标准及绩效目标实际完成情况等相关资料，从“是否与项目密切相关，指标值是否可获取，指标值设置是否合理”等角度，从产出和效果类指标中找出需要改进的指标，并逐项提出次年的编制意见和建议。</w:t>
            </w:r>
          </w:p>
        </w:tc>
      </w:tr>
    </w:tbl>
    <w:p>
      <w:pPr>
        <w:widowControl/>
        <w:jc w:val="left"/>
        <w:rPr>
          <w:rFonts w:ascii="仿宋_GB2312" w:hAnsi="仿宋_GB2312" w:eastAsia="仿宋_GB2312" w:cs="仿宋_GB2312"/>
          <w:color w:val="000000"/>
          <w:kern w:val="0"/>
          <w:sz w:val="31"/>
          <w:szCs w:val="31"/>
        </w:rPr>
      </w:pPr>
    </w:p>
    <w:p>
      <w:pPr>
        <w:rPr>
          <w:rFonts w:ascii="黑体" w:hAnsi="黑体" w:eastAsia="黑体"/>
          <w:color w:val="000000"/>
          <w:kern w:val="0"/>
          <w:szCs w:val="32"/>
        </w:rPr>
        <w:sectPr>
          <w:pgSz w:w="16838" w:h="11906" w:orient="landscape"/>
          <w:pgMar w:top="1800" w:right="1440" w:bottom="1800" w:left="1440" w:header="851" w:footer="992" w:gutter="0"/>
          <w:cols w:space="425" w:num="1"/>
          <w:docGrid w:type="lines" w:linePitch="312" w:charSpace="0"/>
        </w:sectPr>
      </w:pPr>
    </w:p>
    <w:p>
      <w:pPr>
        <w:spacing w:line="560" w:lineRule="exact"/>
        <w:ind w:firstLine="640" w:firstLineChars="200"/>
        <w:rPr>
          <w:rFonts w:ascii="黑体" w:hAnsi="黑体" w:eastAsia="黑体"/>
          <w:szCs w:val="32"/>
        </w:rPr>
      </w:pPr>
      <w:r>
        <w:rPr>
          <w:rFonts w:hint="eastAsia" w:ascii="黑体" w:hAnsi="黑体" w:eastAsia="黑体"/>
          <w:color w:val="000000"/>
          <w:kern w:val="0"/>
          <w:szCs w:val="32"/>
        </w:rPr>
        <w:t>十一、其他重要事项说明</w:t>
      </w:r>
    </w:p>
    <w:p>
      <w:pPr>
        <w:widowControl/>
        <w:spacing w:line="560" w:lineRule="exact"/>
        <w:ind w:firstLine="643" w:firstLineChars="200"/>
        <w:jc w:val="left"/>
      </w:pPr>
      <w:r>
        <w:rPr>
          <w:rFonts w:hint="eastAsia" w:ascii="楷体_GB2312" w:hAnsi="宋体" w:eastAsia="楷体_GB2312" w:cs="楷体_GB2312"/>
          <w:b/>
          <w:color w:val="000000"/>
          <w:kern w:val="0"/>
          <w:szCs w:val="32"/>
        </w:rPr>
        <w:t>（一）机关运行经费支出情况说明。</w:t>
      </w:r>
      <w:r>
        <w:rPr>
          <w:rFonts w:ascii="楷体_GB2312" w:hAnsi="宋体" w:eastAsia="楷体_GB2312" w:cs="楷体_GB2312"/>
          <w:b/>
          <w:color w:val="000000"/>
          <w:kern w:val="0"/>
          <w:szCs w:val="32"/>
        </w:rPr>
        <w:t xml:space="preserve"> </w:t>
      </w:r>
    </w:p>
    <w:p>
      <w:pPr>
        <w:widowControl/>
        <w:spacing w:line="560" w:lineRule="exact"/>
        <w:ind w:firstLine="620" w:firstLineChars="200"/>
        <w:jc w:val="left"/>
        <w:rPr>
          <w:rFonts w:ascii="仿宋_GB2312" w:hAnsi="宋体" w:eastAsia="仿宋_GB2312" w:cs="仿宋_GB2312"/>
          <w:color w:val="000000"/>
          <w:kern w:val="0"/>
          <w:szCs w:val="32"/>
        </w:rPr>
      </w:pPr>
      <w:r>
        <w:rPr>
          <w:rFonts w:ascii="仿宋_GB2312" w:hAnsi="仿宋_GB2312" w:eastAsia="仿宋_GB2312" w:cs="仿宋_GB2312"/>
          <w:color w:val="000000"/>
          <w:kern w:val="0"/>
          <w:sz w:val="31"/>
          <w:szCs w:val="31"/>
        </w:rPr>
        <w:t>2019</w:t>
      </w:r>
      <w:r>
        <w:rPr>
          <w:rFonts w:hint="eastAsia" w:ascii="仿宋_GB2312" w:hAnsi="仿宋_GB2312" w:eastAsia="仿宋_GB2312" w:cs="仿宋_GB2312"/>
          <w:color w:val="000000"/>
          <w:kern w:val="0"/>
          <w:sz w:val="31"/>
          <w:szCs w:val="31"/>
        </w:rPr>
        <w:t>年度</w:t>
      </w:r>
      <w:r>
        <w:rPr>
          <w:rFonts w:hint="eastAsia" w:ascii="仿宋_GB2312" w:hAnsi="仿宋_GB2312" w:eastAsia="仿宋_GB2312" w:cs="仿宋_GB2312"/>
          <w:color w:val="000000"/>
          <w:kern w:val="0"/>
          <w:sz w:val="31"/>
          <w:szCs w:val="31"/>
          <w:lang w:eastAsia="zh-CN"/>
        </w:rPr>
        <w:t>本部门无</w:t>
      </w:r>
      <w:r>
        <w:rPr>
          <w:rFonts w:hint="eastAsia" w:ascii="仿宋_GB2312" w:hAnsi="仿宋_GB2312" w:eastAsia="仿宋_GB2312" w:cs="仿宋_GB2312"/>
          <w:color w:val="000000"/>
          <w:kern w:val="0"/>
          <w:sz w:val="31"/>
          <w:szCs w:val="31"/>
        </w:rPr>
        <w:t>机关运行经费</w:t>
      </w:r>
      <w:r>
        <w:rPr>
          <w:rFonts w:hint="eastAsia" w:ascii="仿宋_GB2312" w:hAnsi="仿宋_GB2312" w:eastAsia="仿宋_GB2312" w:cs="仿宋_GB2312"/>
          <w:color w:val="000000"/>
          <w:kern w:val="0"/>
          <w:sz w:val="31"/>
          <w:szCs w:val="31"/>
          <w:lang w:eastAsia="zh-CN"/>
        </w:rPr>
        <w:t>。</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（二）政府采购支出情况说明。</w:t>
      </w:r>
    </w:p>
    <w:p>
      <w:pPr>
        <w:widowControl/>
        <w:spacing w:line="560" w:lineRule="exact"/>
        <w:ind w:firstLine="640" w:firstLineChars="200"/>
        <w:jc w:val="left"/>
        <w:rPr>
          <w:rFonts w:hint="eastAsia" w:ascii="仿宋_GB2312" w:hAnsi="仿宋_GB2312" w:eastAsia="仿宋_GB2312" w:cs="仿宋_GB2312"/>
          <w:szCs w:val="32"/>
          <w:lang w:eastAsia="zh-CN"/>
        </w:rPr>
      </w:pPr>
      <w:r>
        <w:rPr>
          <w:rFonts w:ascii="仿宋_GB2312" w:hAnsi="仿宋_GB2312" w:eastAsia="仿宋_GB2312" w:cs="仿宋_GB2312"/>
          <w:szCs w:val="32"/>
        </w:rPr>
        <w:t>2019</w:t>
      </w:r>
      <w:r>
        <w:rPr>
          <w:rFonts w:hint="eastAsia" w:ascii="仿宋_GB2312" w:hAnsi="仿宋_GB2312" w:eastAsia="仿宋_GB2312" w:cs="仿宋_GB2312"/>
          <w:szCs w:val="32"/>
          <w:lang w:eastAsia="zh-CN"/>
        </w:rPr>
        <w:t>年度本部门无政府性采购支出。</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（三）国有资产占用及购置情况说明。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截至</w:t>
      </w:r>
      <w:r>
        <w:rPr>
          <w:rFonts w:ascii="仿宋_GB2312" w:hAnsi="仿宋_GB2312" w:eastAsia="仿宋_GB2312" w:cs="仿宋_GB2312"/>
          <w:szCs w:val="32"/>
        </w:rPr>
        <w:t>2019</w:t>
      </w:r>
      <w:r>
        <w:rPr>
          <w:rFonts w:hint="eastAsia" w:ascii="仿宋_GB2312" w:hAnsi="仿宋_GB2312" w:eastAsia="仿宋_GB2312" w:cs="仿宋_GB2312"/>
          <w:szCs w:val="32"/>
        </w:rPr>
        <w:t>年末，本单位共有车辆</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辆；单价</w:t>
      </w:r>
      <w:r>
        <w:rPr>
          <w:rFonts w:ascii="仿宋_GB2312" w:hAnsi="仿宋_GB2312" w:eastAsia="仿宋_GB2312" w:cs="仿宋_GB2312"/>
          <w:szCs w:val="32"/>
        </w:rPr>
        <w:t>50</w:t>
      </w:r>
      <w:r>
        <w:rPr>
          <w:rFonts w:hint="eastAsia" w:ascii="仿宋_GB2312" w:hAnsi="仿宋_GB2312" w:eastAsia="仿宋_GB2312" w:cs="仿宋_GB2312"/>
          <w:szCs w:val="32"/>
        </w:rPr>
        <w:t>万元以上的通用设备</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台（套）；单价</w:t>
      </w:r>
      <w:r>
        <w:rPr>
          <w:rFonts w:ascii="仿宋_GB2312" w:hAnsi="仿宋_GB2312" w:eastAsia="仿宋_GB2312" w:cs="仿宋_GB2312"/>
          <w:szCs w:val="32"/>
        </w:rPr>
        <w:t>100</w:t>
      </w:r>
      <w:r>
        <w:rPr>
          <w:rFonts w:hint="eastAsia" w:ascii="仿宋_GB2312" w:hAnsi="仿宋_GB2312" w:eastAsia="仿宋_GB2312" w:cs="仿宋_GB2312"/>
          <w:szCs w:val="32"/>
        </w:rPr>
        <w:t>万元以上的专用设备</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台（套）。</w:t>
      </w:r>
      <w:r>
        <w:rPr>
          <w:rFonts w:ascii="仿宋_GB2312" w:hAnsi="仿宋_GB2312" w:eastAsia="仿宋_GB2312" w:cs="仿宋_GB2312"/>
          <w:szCs w:val="32"/>
        </w:rPr>
        <w:t>2019</w:t>
      </w:r>
      <w:r>
        <w:rPr>
          <w:rFonts w:hint="eastAsia" w:ascii="仿宋_GB2312" w:hAnsi="仿宋_GB2312" w:eastAsia="仿宋_GB2312" w:cs="仿宋_GB2312"/>
          <w:szCs w:val="32"/>
        </w:rPr>
        <w:t>年当年购置车辆</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辆；购置单价</w:t>
      </w:r>
      <w:r>
        <w:rPr>
          <w:rFonts w:ascii="仿宋_GB2312" w:hAnsi="仿宋_GB2312" w:eastAsia="仿宋_GB2312" w:cs="仿宋_GB2312"/>
          <w:szCs w:val="32"/>
        </w:rPr>
        <w:t>50</w:t>
      </w:r>
      <w:r>
        <w:rPr>
          <w:rFonts w:hint="eastAsia" w:ascii="仿宋_GB2312" w:hAnsi="仿宋_GB2312" w:eastAsia="仿宋_GB2312" w:cs="仿宋_GB2312"/>
          <w:szCs w:val="32"/>
        </w:rPr>
        <w:t>万元以上的通用设备</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台（套）；购置单价</w:t>
      </w:r>
      <w:r>
        <w:rPr>
          <w:rFonts w:ascii="仿宋_GB2312" w:hAnsi="仿宋_GB2312" w:eastAsia="仿宋_GB2312" w:cs="仿宋_GB2312"/>
          <w:szCs w:val="32"/>
        </w:rPr>
        <w:t>100</w:t>
      </w:r>
      <w:r>
        <w:rPr>
          <w:rFonts w:hint="eastAsia" w:ascii="仿宋_GB2312" w:hAnsi="仿宋_GB2312" w:eastAsia="仿宋_GB2312" w:cs="仿宋_GB2312"/>
          <w:szCs w:val="32"/>
        </w:rPr>
        <w:t>万元以上的专用设备</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台（套）。</w:t>
      </w:r>
    </w:p>
    <w:p>
      <w:pPr>
        <w:spacing w:line="560" w:lineRule="exact"/>
        <w:ind w:firstLine="640"/>
        <w:rPr>
          <w:rFonts w:ascii="仿宋_GB2312" w:hAnsi="仿宋_GB2312" w:eastAsia="仿宋_GB2312" w:cs="仿宋_GB2312"/>
          <w:szCs w:val="32"/>
        </w:rPr>
      </w:pPr>
    </w:p>
    <w:p>
      <w:pPr>
        <w:numPr>
          <w:ilvl w:val="0"/>
          <w:numId w:val="5"/>
        </w:numPr>
        <w:jc w:val="center"/>
        <w:rPr>
          <w:rFonts w:ascii="黑体" w:hAnsi="宋体" w:eastAsia="黑体"/>
          <w:color w:val="000000"/>
          <w:kern w:val="0"/>
          <w:sz w:val="44"/>
          <w:szCs w:val="44"/>
        </w:rPr>
      </w:pPr>
      <w:r>
        <w:rPr>
          <w:rFonts w:hint="eastAsia" w:ascii="黑体" w:hAnsi="宋体" w:eastAsia="黑体"/>
          <w:color w:val="000000"/>
          <w:kern w:val="0"/>
          <w:sz w:val="44"/>
          <w:szCs w:val="44"/>
        </w:rPr>
        <w:t>专业名词解释</w:t>
      </w:r>
    </w:p>
    <w:p>
      <w:pPr>
        <w:rPr>
          <w:rFonts w:ascii="黑体" w:hAnsi="宋体" w:eastAsia="黑体"/>
          <w:color w:val="000000"/>
          <w:kern w:val="0"/>
          <w:sz w:val="44"/>
          <w:szCs w:val="44"/>
        </w:rPr>
      </w:pPr>
    </w:p>
    <w:p>
      <w:pPr>
        <w:widowControl/>
        <w:spacing w:line="560" w:lineRule="exact"/>
        <w:ind w:firstLine="640" w:firstLineChars="200"/>
        <w:jc w:val="left"/>
        <w:rPr>
          <w:rFonts w:ascii="仿宋_GB2312" w:hAnsi="仿宋_GB2312" w:eastAsia="仿宋_GB2312" w:cs="仿宋_GB2312"/>
          <w:szCs w:val="32"/>
        </w:rPr>
      </w:pPr>
      <w:r>
        <w:rPr>
          <w:rFonts w:hint="eastAsia" w:ascii="仿宋_GB2312" w:hAnsi="仿宋_GB2312" w:eastAsia="仿宋_GB2312" w:cs="仿宋_GB2312"/>
          <w:szCs w:val="32"/>
        </w:rPr>
        <w:t>文字说明。专业名词解释可由部门根据业务内容等自行选择。</w:t>
      </w:r>
    </w:p>
    <w:p>
      <w:pPr>
        <w:widowControl/>
        <w:spacing w:line="560" w:lineRule="exact"/>
        <w:ind w:firstLine="640" w:firstLineChars="200"/>
        <w:jc w:val="left"/>
        <w:rPr>
          <w:rFonts w:ascii="仿宋_GB2312" w:hAnsi="仿宋_GB2312" w:eastAsia="仿宋_GB2312" w:cs="仿宋_GB2312"/>
          <w:szCs w:val="32"/>
        </w:rPr>
      </w:pPr>
      <w:r>
        <w:rPr>
          <w:rFonts w:hint="eastAsia" w:ascii="仿宋_GB2312" w:hAnsi="仿宋_GB2312" w:eastAsia="仿宋_GB2312" w:cs="仿宋_GB2312"/>
          <w:szCs w:val="32"/>
        </w:rPr>
        <w:t>示例：</w:t>
      </w:r>
    </w:p>
    <w:p>
      <w:pPr>
        <w:spacing w:line="560" w:lineRule="exact"/>
        <w:ind w:firstLine="643" w:firstLineChars="200"/>
        <w:rPr>
          <w:rFonts w:ascii="仿宋_GB2312" w:hAnsi="仿宋_GB2312" w:eastAsia="仿宋_GB2312" w:cs="仿宋_GB2312"/>
          <w:szCs w:val="32"/>
        </w:rPr>
      </w:pPr>
      <w:r>
        <w:rPr>
          <w:rFonts w:ascii="仿宋_GB2312" w:hAnsi="仿宋_GB2312" w:eastAsia="仿宋_GB2312" w:cs="仿宋_GB2312"/>
          <w:b/>
          <w:bCs/>
          <w:szCs w:val="32"/>
        </w:rPr>
        <w:t>1.</w:t>
      </w:r>
      <w:r>
        <w:rPr>
          <w:rFonts w:hint="eastAsia" w:ascii="仿宋_GB2312" w:hAnsi="仿宋_GB2312" w:eastAsia="仿宋_GB2312" w:cs="仿宋_GB2312"/>
          <w:b/>
          <w:bCs/>
          <w:szCs w:val="32"/>
        </w:rPr>
        <w:t>基本支出</w:t>
      </w:r>
      <w:r>
        <w:rPr>
          <w:rFonts w:hint="eastAsia" w:ascii="仿宋_GB2312" w:hAnsi="仿宋_GB2312" w:eastAsia="仿宋_GB2312" w:cs="仿宋_GB2312"/>
          <w:szCs w:val="32"/>
        </w:rPr>
        <w:t>：指为保障机构正常运转、完成日常工作任务而发生的各项支出。</w:t>
      </w:r>
    </w:p>
    <w:p>
      <w:pPr>
        <w:spacing w:line="560" w:lineRule="exact"/>
        <w:ind w:firstLine="643" w:firstLineChars="200"/>
        <w:rPr>
          <w:rFonts w:ascii="仿宋_GB2312" w:hAnsi="仿宋_GB2312" w:eastAsia="仿宋_GB2312" w:cs="仿宋_GB2312"/>
          <w:szCs w:val="32"/>
        </w:rPr>
      </w:pPr>
      <w:r>
        <w:rPr>
          <w:rFonts w:ascii="仿宋_GB2312" w:hAnsi="仿宋_GB2312" w:eastAsia="仿宋_GB2312" w:cs="仿宋_GB2312"/>
          <w:b/>
          <w:bCs/>
          <w:szCs w:val="32"/>
        </w:rPr>
        <w:t>2.</w:t>
      </w:r>
      <w:r>
        <w:rPr>
          <w:rFonts w:hint="eastAsia" w:ascii="仿宋_GB2312" w:hAnsi="仿宋_GB2312" w:eastAsia="仿宋_GB2312" w:cs="仿宋_GB2312"/>
          <w:b/>
          <w:bCs/>
          <w:szCs w:val="32"/>
        </w:rPr>
        <w:t>项目支出</w:t>
      </w:r>
      <w:r>
        <w:rPr>
          <w:rFonts w:hint="eastAsia" w:ascii="仿宋_GB2312" w:hAnsi="仿宋_GB2312" w:eastAsia="仿宋_GB2312" w:cs="仿宋_GB2312"/>
          <w:szCs w:val="32"/>
        </w:rPr>
        <w:t>：指单位为完成特定的行政工作任务或事业发展目标所发生的各项支出。</w:t>
      </w:r>
    </w:p>
    <w:p>
      <w:pPr>
        <w:spacing w:line="560" w:lineRule="exact"/>
        <w:ind w:firstLine="640"/>
        <w:rPr>
          <w:rFonts w:ascii="仿宋_GB2312" w:hAnsi="仿宋_GB2312" w:eastAsia="仿宋_GB2312" w:cs="仿宋_GB2312"/>
          <w:szCs w:val="32"/>
        </w:rPr>
      </w:pPr>
      <w:r>
        <w:rPr>
          <w:rFonts w:ascii="仿宋_GB2312" w:hAnsi="仿宋_GB2312" w:eastAsia="仿宋_GB2312" w:cs="仿宋_GB2312"/>
          <w:b/>
          <w:bCs/>
          <w:szCs w:val="32"/>
        </w:rPr>
        <w:t>3.</w:t>
      </w:r>
      <w:r>
        <w:rPr>
          <w:rFonts w:hint="eastAsia" w:ascii="仿宋_GB2312" w:hAnsi="仿宋_GB2312" w:eastAsia="仿宋_GB2312" w:cs="仿宋_GB2312"/>
          <w:b/>
          <w:bCs/>
          <w:szCs w:val="32"/>
        </w:rPr>
        <w:t>“三公”经费</w:t>
      </w:r>
      <w:r>
        <w:rPr>
          <w:rFonts w:hint="eastAsia" w:ascii="仿宋_GB2312" w:hAnsi="仿宋_GB2312" w:eastAsia="仿宋_GB2312" w:cs="仿宋_GB2312"/>
          <w:szCs w:val="32"/>
        </w:rPr>
        <w:t>：指部门使用一般公共预算财政拨款安排的因公出国（境）费、公务用车购置及运行费和公务接待费支出。</w:t>
      </w:r>
    </w:p>
    <w:p>
      <w:pPr>
        <w:spacing w:line="560" w:lineRule="exact"/>
        <w:ind w:firstLine="640"/>
        <w:rPr>
          <w:rFonts w:ascii="仿宋_GB2312" w:hAnsi="仿宋_GB2312" w:eastAsia="仿宋_GB2312" w:cs="仿宋_GB2312"/>
          <w:szCs w:val="32"/>
        </w:rPr>
      </w:pPr>
      <w:r>
        <w:rPr>
          <w:rFonts w:ascii="仿宋_GB2312" w:hAnsi="仿宋_GB2312" w:eastAsia="仿宋_GB2312" w:cs="仿宋_GB2312"/>
          <w:b/>
          <w:bCs/>
          <w:szCs w:val="32"/>
        </w:rPr>
        <w:t>4.</w:t>
      </w:r>
      <w:r>
        <w:rPr>
          <w:rFonts w:hint="eastAsia" w:ascii="仿宋_GB2312" w:hAnsi="仿宋_GB2312" w:eastAsia="仿宋_GB2312" w:cs="仿宋_GB2312"/>
          <w:b/>
          <w:bCs/>
          <w:szCs w:val="32"/>
        </w:rPr>
        <w:t>财政拨款收入</w:t>
      </w:r>
      <w:r>
        <w:rPr>
          <w:rFonts w:hint="eastAsia" w:ascii="仿宋_GB2312" w:hAnsi="仿宋_GB2312" w:eastAsia="仿宋_GB2312" w:cs="仿宋_GB2312"/>
          <w:szCs w:val="32"/>
        </w:rPr>
        <w:t>：指本级财政当年拨付的资金。</w:t>
      </w:r>
    </w:p>
    <w:p>
      <w:pPr>
        <w:spacing w:line="560" w:lineRule="exact"/>
        <w:ind w:firstLine="640"/>
        <w:rPr>
          <w:rFonts w:ascii="仿宋_GB2312" w:hAnsi="宋体" w:eastAsia="仿宋_GB2312"/>
          <w:bCs/>
          <w:szCs w:val="32"/>
        </w:rPr>
      </w:pPr>
      <w:r>
        <w:rPr>
          <w:rFonts w:ascii="仿宋_GB2312" w:hAnsi="仿宋_GB2312" w:eastAsia="仿宋_GB2312" w:cs="仿宋_GB2312"/>
          <w:b/>
          <w:bCs/>
          <w:szCs w:val="32"/>
        </w:rPr>
        <w:t>5.</w:t>
      </w:r>
      <w:r>
        <w:rPr>
          <w:rFonts w:hint="eastAsia" w:ascii="仿宋_GB2312" w:hAnsi="仿宋_GB2312" w:eastAsia="仿宋_GB2312" w:cs="仿宋_GB2312"/>
          <w:b/>
          <w:bCs/>
          <w:szCs w:val="32"/>
        </w:rPr>
        <w:t>调整预算数：</w:t>
      </w:r>
      <w:r>
        <w:rPr>
          <w:rFonts w:hint="eastAsia" w:ascii="仿宋_GB2312" w:hAnsi="宋体" w:eastAsia="仿宋_GB2312"/>
          <w:bCs/>
          <w:szCs w:val="32"/>
        </w:rPr>
        <w:t>填列经调整后的全年预算数，包括年初预算数和预算调增调减数</w:t>
      </w:r>
      <w:r>
        <w:rPr>
          <w:rFonts w:hint="eastAsia" w:ascii="仿宋_GB2312" w:eastAsia="仿宋_GB2312"/>
          <w:bCs/>
          <w:szCs w:val="32"/>
        </w:rPr>
        <w:t>，即：调整预算数＝年初预算数＋预算调增数－预算调减数</w:t>
      </w:r>
      <w:r>
        <w:rPr>
          <w:rFonts w:hint="eastAsia" w:ascii="仿宋_GB2312" w:hAnsi="宋体" w:eastAsia="仿宋_GB2312"/>
          <w:bCs/>
          <w:szCs w:val="32"/>
        </w:rPr>
        <w:t>。</w:t>
      </w: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楷体" w:hAnsi="楷体" w:eastAsia="楷体" w:cs="楷体"/>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宋体"/>
    <w:panose1 w:val="00000000000000000000"/>
    <w:charset w:val="86"/>
    <w:family w:val="auto"/>
    <w:pitch w:val="default"/>
    <w:sig w:usb0="00000000" w:usb1="00000000" w:usb2="00000010" w:usb3="00000000" w:csb0="00040000" w:csb1="00000000"/>
  </w:font>
  <w:font w:name="方正小标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232710"/>
    <w:multiLevelType w:val="singleLevel"/>
    <w:tmpl w:val="9F232710"/>
    <w:lvl w:ilvl="0" w:tentative="0">
      <w:start w:val="1"/>
      <w:numFmt w:val="chineseCounting"/>
      <w:suff w:val="space"/>
      <w:lvlText w:val="第%1部分"/>
      <w:lvlJc w:val="left"/>
      <w:rPr>
        <w:rFonts w:hint="eastAsia" w:cs="Times New Roman"/>
      </w:rPr>
    </w:lvl>
  </w:abstractNum>
  <w:abstractNum w:abstractNumId="1">
    <w:nsid w:val="39BEA4A8"/>
    <w:multiLevelType w:val="singleLevel"/>
    <w:tmpl w:val="39BEA4A8"/>
    <w:lvl w:ilvl="0" w:tentative="0">
      <w:start w:val="4"/>
      <w:numFmt w:val="chineseCounting"/>
      <w:suff w:val="space"/>
      <w:lvlText w:val="第%1部分"/>
      <w:lvlJc w:val="left"/>
      <w:rPr>
        <w:rFonts w:hint="eastAsia" w:cs="Times New Roman"/>
      </w:rPr>
    </w:lvl>
  </w:abstractNum>
  <w:abstractNum w:abstractNumId="2">
    <w:nsid w:val="4E290741"/>
    <w:multiLevelType w:val="singleLevel"/>
    <w:tmpl w:val="4E290741"/>
    <w:lvl w:ilvl="0" w:tentative="0">
      <w:start w:val="3"/>
      <w:numFmt w:val="decimal"/>
      <w:suff w:val="nothing"/>
      <w:lvlText w:val="%1．"/>
      <w:lvlJc w:val="left"/>
      <w:rPr>
        <w:rFonts w:cs="Times New Roman"/>
      </w:rPr>
    </w:lvl>
  </w:abstractNum>
  <w:abstractNum w:abstractNumId="3">
    <w:nsid w:val="5F90EF47"/>
    <w:multiLevelType w:val="singleLevel"/>
    <w:tmpl w:val="5F90EF47"/>
    <w:lvl w:ilvl="0" w:tentative="0">
      <w:start w:val="3"/>
      <w:numFmt w:val="chineseCounting"/>
      <w:suff w:val="nothing"/>
      <w:lvlText w:val="%1、"/>
      <w:lvlJc w:val="left"/>
    </w:lvl>
  </w:abstractNum>
  <w:abstractNum w:abstractNumId="4">
    <w:nsid w:val="5F910EDA"/>
    <w:multiLevelType w:val="singleLevel"/>
    <w:tmpl w:val="5F910EDA"/>
    <w:lvl w:ilvl="0" w:tentative="0">
      <w:start w:val="6"/>
      <w:numFmt w:val="chineseCounting"/>
      <w:suff w:val="nothing"/>
      <w:lvlText w:val="%1、"/>
      <w:lvlJc w:val="left"/>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0E506C4"/>
    <w:rsid w:val="0003280B"/>
    <w:rsid w:val="000B6B70"/>
    <w:rsid w:val="00114A05"/>
    <w:rsid w:val="00153B05"/>
    <w:rsid w:val="001841F4"/>
    <w:rsid w:val="00193CF6"/>
    <w:rsid w:val="001A3F5E"/>
    <w:rsid w:val="001E4F30"/>
    <w:rsid w:val="001F3BDF"/>
    <w:rsid w:val="00207E2C"/>
    <w:rsid w:val="00260566"/>
    <w:rsid w:val="002C0EA2"/>
    <w:rsid w:val="002E533E"/>
    <w:rsid w:val="00333B4C"/>
    <w:rsid w:val="003C276B"/>
    <w:rsid w:val="00407E91"/>
    <w:rsid w:val="0043386A"/>
    <w:rsid w:val="004F622C"/>
    <w:rsid w:val="00521C76"/>
    <w:rsid w:val="00522ED8"/>
    <w:rsid w:val="005277AA"/>
    <w:rsid w:val="0057384A"/>
    <w:rsid w:val="00587012"/>
    <w:rsid w:val="00607885"/>
    <w:rsid w:val="00620CDE"/>
    <w:rsid w:val="006717B6"/>
    <w:rsid w:val="00673F8D"/>
    <w:rsid w:val="0068386E"/>
    <w:rsid w:val="006901FB"/>
    <w:rsid w:val="006E34A8"/>
    <w:rsid w:val="007140E4"/>
    <w:rsid w:val="0074032F"/>
    <w:rsid w:val="00753494"/>
    <w:rsid w:val="00801920"/>
    <w:rsid w:val="0086752E"/>
    <w:rsid w:val="008A5101"/>
    <w:rsid w:val="008B441C"/>
    <w:rsid w:val="0093369B"/>
    <w:rsid w:val="00946A5A"/>
    <w:rsid w:val="00964FD8"/>
    <w:rsid w:val="00A105EC"/>
    <w:rsid w:val="00A91295"/>
    <w:rsid w:val="00AB79D4"/>
    <w:rsid w:val="00B07433"/>
    <w:rsid w:val="00BB7725"/>
    <w:rsid w:val="00BF680F"/>
    <w:rsid w:val="00BF6E5C"/>
    <w:rsid w:val="00BF7ECE"/>
    <w:rsid w:val="00C470C8"/>
    <w:rsid w:val="00CE752B"/>
    <w:rsid w:val="00CF0F44"/>
    <w:rsid w:val="00D97EAC"/>
    <w:rsid w:val="00DB4620"/>
    <w:rsid w:val="00ED1599"/>
    <w:rsid w:val="00F0766B"/>
    <w:rsid w:val="00F7301A"/>
    <w:rsid w:val="010E3361"/>
    <w:rsid w:val="068B7849"/>
    <w:rsid w:val="086C1E64"/>
    <w:rsid w:val="09F56D6B"/>
    <w:rsid w:val="0B600718"/>
    <w:rsid w:val="10546FE1"/>
    <w:rsid w:val="1374208F"/>
    <w:rsid w:val="15916C1F"/>
    <w:rsid w:val="18634A0D"/>
    <w:rsid w:val="1AF22409"/>
    <w:rsid w:val="1C5144EA"/>
    <w:rsid w:val="1C645334"/>
    <w:rsid w:val="1D8B0C78"/>
    <w:rsid w:val="20B96E79"/>
    <w:rsid w:val="20E506C4"/>
    <w:rsid w:val="2256467C"/>
    <w:rsid w:val="249D3CAD"/>
    <w:rsid w:val="256264C3"/>
    <w:rsid w:val="2660352B"/>
    <w:rsid w:val="27F97DED"/>
    <w:rsid w:val="287C13F1"/>
    <w:rsid w:val="28FB2AB2"/>
    <w:rsid w:val="30DF4759"/>
    <w:rsid w:val="350A5D93"/>
    <w:rsid w:val="352F60A3"/>
    <w:rsid w:val="3669223E"/>
    <w:rsid w:val="366C12FC"/>
    <w:rsid w:val="374C18A1"/>
    <w:rsid w:val="3BFC6DCC"/>
    <w:rsid w:val="3C37745F"/>
    <w:rsid w:val="3C7A6DAB"/>
    <w:rsid w:val="3D904069"/>
    <w:rsid w:val="3FCA23EC"/>
    <w:rsid w:val="41942E54"/>
    <w:rsid w:val="424D60E4"/>
    <w:rsid w:val="42FA4769"/>
    <w:rsid w:val="43BC1030"/>
    <w:rsid w:val="4473548D"/>
    <w:rsid w:val="464B2A45"/>
    <w:rsid w:val="46E36CA1"/>
    <w:rsid w:val="4780708C"/>
    <w:rsid w:val="47964FBE"/>
    <w:rsid w:val="4A1752A2"/>
    <w:rsid w:val="4B18398F"/>
    <w:rsid w:val="50C46A00"/>
    <w:rsid w:val="52AC7AB3"/>
    <w:rsid w:val="54207C4C"/>
    <w:rsid w:val="544D3043"/>
    <w:rsid w:val="576930A7"/>
    <w:rsid w:val="596D661C"/>
    <w:rsid w:val="5F5027A5"/>
    <w:rsid w:val="65706DA4"/>
    <w:rsid w:val="65772FA8"/>
    <w:rsid w:val="69A157A9"/>
    <w:rsid w:val="6B3B79EC"/>
    <w:rsid w:val="6EAC6681"/>
    <w:rsid w:val="6ED21AF3"/>
    <w:rsid w:val="6F094735"/>
    <w:rsid w:val="71840673"/>
    <w:rsid w:val="73431FE5"/>
    <w:rsid w:val="74DC3FDD"/>
    <w:rsid w:val="758D7410"/>
    <w:rsid w:val="76A450BD"/>
    <w:rsid w:val="778B0394"/>
    <w:rsid w:val="7B6D5E4A"/>
    <w:rsid w:val="7E4737DD"/>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szCs w:val="20"/>
      <w:lang w:val="en-US" w:eastAsia="zh-CN" w:bidi="ar-SA"/>
    </w:rPr>
  </w:style>
  <w:style w:type="character" w:default="1" w:styleId="8">
    <w:name w:val="Default Paragraph Font"/>
    <w:semiHidden/>
    <w:uiPriority w:val="99"/>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Plain Text"/>
    <w:basedOn w:val="1"/>
    <w:link w:val="10"/>
    <w:qFormat/>
    <w:uiPriority w:val="99"/>
    <w:rPr>
      <w:rFonts w:ascii="宋体" w:hAnsi="Courier New" w:eastAsia="宋体"/>
      <w:sz w:val="21"/>
    </w:rPr>
  </w:style>
  <w:style w:type="paragraph" w:styleId="3">
    <w:name w:val="footer"/>
    <w:basedOn w:val="1"/>
    <w:link w:val="11"/>
    <w:qFormat/>
    <w:uiPriority w:val="99"/>
    <w:pPr>
      <w:tabs>
        <w:tab w:val="center" w:pos="4153"/>
        <w:tab w:val="right" w:pos="8306"/>
      </w:tabs>
      <w:snapToGrid w:val="0"/>
      <w:jc w:val="left"/>
    </w:pPr>
    <w:rPr>
      <w:sz w:val="18"/>
    </w:rPr>
  </w:style>
  <w:style w:type="paragraph" w:styleId="4">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next w:val="4"/>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bCs/>
    </w:rPr>
  </w:style>
  <w:style w:type="character" w:customStyle="1" w:styleId="10">
    <w:name w:val="Plain Text Char"/>
    <w:basedOn w:val="8"/>
    <w:link w:val="2"/>
    <w:semiHidden/>
    <w:qFormat/>
    <w:locked/>
    <w:uiPriority w:val="99"/>
    <w:rPr>
      <w:rFonts w:ascii="宋体" w:hAnsi="Courier New" w:cs="Courier New"/>
      <w:sz w:val="21"/>
      <w:szCs w:val="21"/>
    </w:rPr>
  </w:style>
  <w:style w:type="character" w:customStyle="1" w:styleId="11">
    <w:name w:val="Footer Char"/>
    <w:basedOn w:val="8"/>
    <w:link w:val="3"/>
    <w:semiHidden/>
    <w:qFormat/>
    <w:locked/>
    <w:uiPriority w:val="99"/>
    <w:rPr>
      <w:rFonts w:ascii="Calibri" w:hAnsi="Calibri" w:eastAsia="方正仿宋简体" w:cs="Times New Roman"/>
      <w:sz w:val="18"/>
      <w:szCs w:val="18"/>
    </w:rPr>
  </w:style>
  <w:style w:type="character" w:customStyle="1" w:styleId="12">
    <w:name w:val="Header Char"/>
    <w:basedOn w:val="8"/>
    <w:link w:val="4"/>
    <w:semiHidden/>
    <w:qFormat/>
    <w:locked/>
    <w:uiPriority w:val="99"/>
    <w:rPr>
      <w:rFonts w:ascii="Calibri" w:hAnsi="Calibri" w:eastAsia="方正仿宋简体" w:cs="Times New Roman"/>
      <w:sz w:val="18"/>
      <w:szCs w:val="18"/>
    </w:rPr>
  </w:style>
  <w:style w:type="character" w:customStyle="1" w:styleId="13">
    <w:name w:val="font11"/>
    <w:basedOn w:val="8"/>
    <w:qFormat/>
    <w:uiPriority w:val="99"/>
    <w:rPr>
      <w:rFonts w:ascii="宋体" w:hAnsi="宋体" w:eastAsia="宋体" w:cs="宋体"/>
      <w:b/>
      <w:color w:val="000000"/>
      <w:sz w:val="32"/>
      <w:szCs w:val="32"/>
      <w:u w:val="none"/>
    </w:rPr>
  </w:style>
  <w:style w:type="character" w:customStyle="1" w:styleId="14">
    <w:name w:val="font91"/>
    <w:basedOn w:val="8"/>
    <w:uiPriority w:val="99"/>
    <w:rPr>
      <w:rFonts w:ascii="宋体" w:hAnsi="宋体" w:eastAsia="宋体" w:cs="宋体"/>
      <w:color w:val="000000"/>
      <w:sz w:val="32"/>
      <w:szCs w:val="32"/>
      <w:u w:val="none"/>
    </w:rPr>
  </w:style>
  <w:style w:type="character" w:customStyle="1" w:styleId="15">
    <w:name w:val="font51"/>
    <w:basedOn w:val="8"/>
    <w:qFormat/>
    <w:uiPriority w:val="99"/>
    <w:rPr>
      <w:rFonts w:ascii="宋体" w:hAnsi="宋体" w:eastAsia="宋体" w:cs="宋体"/>
      <w:color w:val="000000"/>
      <w:sz w:val="20"/>
      <w:szCs w:val="20"/>
      <w:u w:val="none"/>
    </w:rPr>
  </w:style>
  <w:style w:type="character" w:customStyle="1" w:styleId="16">
    <w:name w:val="font101"/>
    <w:basedOn w:val="8"/>
    <w:qFormat/>
    <w:uiPriority w:val="99"/>
    <w:rPr>
      <w:rFonts w:ascii="宋体" w:hAnsi="宋体" w:eastAsia="宋体" w:cs="宋体"/>
      <w:color w:val="000000"/>
      <w:sz w:val="20"/>
      <w:szCs w:val="20"/>
      <w:u w:val="none"/>
    </w:rPr>
  </w:style>
  <w:style w:type="character" w:customStyle="1" w:styleId="17">
    <w:name w:val="font21"/>
    <w:basedOn w:val="8"/>
    <w:qFormat/>
    <w:uiPriority w:val="99"/>
    <w:rPr>
      <w:rFonts w:ascii="宋体" w:hAnsi="宋体" w:eastAsia="宋体" w:cs="宋体"/>
      <w:color w:val="000000"/>
      <w:sz w:val="18"/>
      <w:szCs w:val="18"/>
      <w:u w:val="none"/>
    </w:rPr>
  </w:style>
  <w:style w:type="character" w:customStyle="1" w:styleId="18">
    <w:name w:val="font112"/>
    <w:basedOn w:val="8"/>
    <w:uiPriority w:val="99"/>
    <w:rPr>
      <w:rFonts w:ascii="宋体" w:hAnsi="宋体" w:eastAsia="宋体" w:cs="宋体"/>
      <w:color w:val="000000"/>
      <w:sz w:val="20"/>
      <w:szCs w:val="20"/>
      <w:u w:val="none"/>
    </w:rPr>
  </w:style>
  <w:style w:type="character" w:customStyle="1" w:styleId="19">
    <w:name w:val="font61"/>
    <w:basedOn w:val="8"/>
    <w:qFormat/>
    <w:uiPriority w:val="99"/>
    <w:rPr>
      <w:rFonts w:ascii="宋体" w:hAnsi="宋体" w:eastAsia="宋体" w:cs="宋体"/>
      <w:color w:val="000000"/>
      <w:sz w:val="24"/>
      <w:szCs w:val="24"/>
      <w:u w:val="none"/>
    </w:rPr>
  </w:style>
  <w:style w:type="character" w:customStyle="1" w:styleId="20">
    <w:name w:val="font41"/>
    <w:basedOn w:val="8"/>
    <w:uiPriority w:val="0"/>
    <w:rPr>
      <w:rFonts w:hint="eastAsia" w:ascii="宋体" w:hAnsi="宋体" w:eastAsia="宋体" w:cs="宋体"/>
      <w:color w:val="000000"/>
      <w:sz w:val="16"/>
      <w:szCs w:val="16"/>
      <w:u w:val="none"/>
    </w:rPr>
  </w:style>
  <w:style w:type="character" w:customStyle="1" w:styleId="21">
    <w:name w:val="font111"/>
    <w:basedOn w:val="8"/>
    <w:qFormat/>
    <w:uiPriority w:val="0"/>
    <w:rPr>
      <w:rFonts w:hint="eastAsia" w:ascii="宋体" w:hAnsi="宋体" w:eastAsia="宋体" w:cs="宋体"/>
      <w:color w:val="000000"/>
      <w:sz w:val="16"/>
      <w:szCs w:val="16"/>
      <w:u w:val="none"/>
    </w:rPr>
  </w:style>
  <w:style w:type="character" w:customStyle="1" w:styleId="22">
    <w:name w:val="font01"/>
    <w:basedOn w:val="8"/>
    <w:qFormat/>
    <w:uiPriority w:val="0"/>
    <w:rPr>
      <w:rFonts w:hint="eastAsia" w:ascii="黑体" w:eastAsia="黑体" w:cs="黑体"/>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8.e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7.png"/><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27</Pages>
  <Words>1601</Words>
  <Characters>9129</Characters>
  <Lines>0</Lines>
  <Paragraphs>0</Paragraphs>
  <TotalTime>10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2020-10-09T09:12:00Z</dcterms:created>
  <dc:creator>lenovo</dc:creator>
  <cp:lastModifiedBy>执念</cp:lastModifiedBy>
  <cp:lastPrinted>2020-10-22T03:57:00Z</cp:lastPrinted>
  <dcterms:modified xsi:type="dcterms:W3CDTF">2020-10-28T06:45:40Z</dcterms:modified>
  <dc:title>西安市阎良区财政局</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