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rPr>
          <w:rFonts w:ascii="黑体" w:hAnsi="黑体" w:eastAsia="黑体"/>
          <w:szCs w:val="32"/>
        </w:rPr>
      </w:pPr>
    </w:p>
    <w:p>
      <w:pPr>
        <w:rPr>
          <w:rFonts w:ascii="黑体" w:hAnsi="黑体" w:eastAsia="黑体"/>
          <w:szCs w:val="32"/>
        </w:rPr>
      </w:pPr>
      <w:r>
        <w:rPr>
          <w:rFonts w:hint="eastAsia" w:ascii="黑体" w:hAnsi="黑体" w:eastAsia="黑体"/>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sz w:val="44"/>
          <w:szCs w:val="44"/>
        </w:rPr>
        <w:t>阎良区出租汽车管理所</w:t>
      </w:r>
    </w:p>
    <w:p>
      <w:pPr>
        <w:pStyle w:val="6"/>
        <w:shd w:val="clear" w:color="auto" w:fill="FFFFFF"/>
        <w:spacing w:before="0" w:beforeAutospacing="0" w:after="0" w:afterAutospacing="0" w:line="520" w:lineRule="exact"/>
        <w:jc w:val="center"/>
        <w:rPr>
          <w:rStyle w:val="10"/>
          <w:rFonts w:ascii="方正小标宋简体" w:hAnsi="方正小标宋简体" w:eastAsia="方正小标宋简体" w:cs="方正小标宋简体"/>
          <w:b w:val="0"/>
          <w:bCs w:val="0"/>
          <w:color w:val="000000"/>
          <w:sz w:val="44"/>
          <w:szCs w:val="44"/>
        </w:rPr>
      </w:pPr>
      <w:r>
        <w:rPr>
          <w:rStyle w:val="10"/>
          <w:rFonts w:hint="eastAsia" w:ascii="方正小标宋简体" w:hAnsi="方正小标宋简体" w:eastAsia="方正小标宋简体" w:cs="方正小标宋简体"/>
          <w:color w:val="000000"/>
          <w:sz w:val="44"/>
          <w:szCs w:val="44"/>
        </w:rPr>
        <w:t>2019年度部门决算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570" w:firstLineChars="800"/>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rPr>
      </w:pPr>
    </w:p>
    <w:p>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部门主要负责人审签情况：已审签</w:t>
      </w: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spacing w:line="560" w:lineRule="exact"/>
        <w:ind w:firstLine="640" w:firstLineChars="200"/>
        <w:jc w:val="left"/>
        <w:rPr>
          <w:rFonts w:ascii="黑体" w:hAnsi="宋体" w:eastAsia="黑体"/>
          <w:color w:val="000000"/>
          <w:kern w:val="0"/>
          <w:sz w:val="44"/>
          <w:szCs w:val="44"/>
        </w:rPr>
      </w:pPr>
      <w:r>
        <w:rPr>
          <w:rFonts w:hint="eastAsia" w:ascii="仿宋_GB2312" w:hAnsi="宋体" w:eastAsia="仿宋_GB2312" w:cs="宋体"/>
          <w:color w:val="000000"/>
          <w:kern w:val="0"/>
          <w:szCs w:val="32"/>
        </w:rPr>
        <w:t>西安市阎良区阎良区出租汽车管理所2019年度部门决算公开说明：</w:t>
      </w:r>
    </w:p>
    <w:p>
      <w:pPr>
        <w:pStyle w:val="6"/>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pPr>
        <w:pStyle w:val="6"/>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西安市阎良区阎良区出租汽车管理所属交通局下属事业单位，于2007年成立为财政全额拨款单位，内设机构1个，核定编制人数5人，现实有人数5人。</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为维护出租汽车运输市场秩序提供管理保障。编制出租汽车行业发展计划；组织办理出租汽车有关经营手续；出租汽车运输市场管理、维护运输经营秩序。</w:t>
      </w:r>
    </w:p>
    <w:p>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pPr>
        <w:widowControl/>
        <w:spacing w:line="560" w:lineRule="exact"/>
        <w:ind w:firstLine="640" w:firstLineChars="200"/>
        <w:jc w:val="left"/>
        <w:rPr>
          <w:rFonts w:ascii="仿宋" w:hAnsi="仿宋" w:eastAsia="仿宋" w:cs="楷体"/>
          <w:bCs/>
          <w:color w:val="000000"/>
          <w:kern w:val="0"/>
          <w:szCs w:val="32"/>
        </w:rPr>
      </w:pPr>
      <w:r>
        <w:rPr>
          <w:rFonts w:hint="eastAsia" w:ascii="仿宋" w:hAnsi="仿宋" w:eastAsia="仿宋" w:cs="楷体"/>
          <w:bCs/>
          <w:color w:val="000000"/>
          <w:kern w:val="0"/>
          <w:szCs w:val="32"/>
        </w:rPr>
        <w:t>内设科室：无</w:t>
      </w:r>
    </w:p>
    <w:p>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2019年本单位决算编制范围的单位共1个，属</w:t>
      </w:r>
      <w:r>
        <w:rPr>
          <w:rFonts w:ascii="仿宋_GB2312" w:hAnsi="仿宋_GB2312" w:eastAsia="仿宋_GB2312" w:cs="仿宋_GB2312"/>
          <w:color w:val="000000"/>
          <w:kern w:val="0"/>
          <w:sz w:val="31"/>
          <w:szCs w:val="31"/>
        </w:rPr>
        <w:t>二级预算</w:t>
      </w:r>
      <w:r>
        <w:rPr>
          <w:rFonts w:hint="eastAsia" w:ascii="仿宋_GB2312" w:hAnsi="仿宋_GB2312" w:eastAsia="仿宋_GB2312"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Cs w:val="32"/>
              </w:rPr>
            </w:pPr>
            <w:r>
              <w:rPr>
                <w:rFonts w:hint="eastAsia" w:ascii="黑体" w:hAnsi="黑体" w:eastAsia="黑体"/>
                <w:szCs w:val="32"/>
              </w:rPr>
              <w:t>序号</w:t>
            </w:r>
          </w:p>
        </w:tc>
        <w:tc>
          <w:tcPr>
            <w:tcW w:w="7278" w:type="dxa"/>
            <w:vAlign w:val="center"/>
          </w:tcPr>
          <w:p>
            <w:pPr>
              <w:jc w:val="center"/>
              <w:rPr>
                <w:rFonts w:ascii="黑体" w:hAnsi="黑体" w:eastAsia="黑体"/>
                <w:szCs w:val="32"/>
              </w:rPr>
            </w:pPr>
            <w:r>
              <w:rPr>
                <w:rFonts w:hint="eastAsia" w:ascii="黑体" w:hAnsi="黑体" w:eastAsia="黑体"/>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pPr>
              <w:jc w:val="center"/>
              <w:rPr>
                <w:rFonts w:ascii="仿宋_GB2312" w:hAnsi="仿宋_GB2312" w:eastAsia="仿宋_GB2312" w:cs="仿宋_GB2312"/>
                <w:szCs w:val="32"/>
              </w:rPr>
            </w:pPr>
            <w:r>
              <w:rPr>
                <w:rFonts w:hint="eastAsia" w:ascii="仿宋_GB2312" w:hAnsi="宋体" w:eastAsia="仿宋_GB2312" w:cs="宋体"/>
                <w:color w:val="000000"/>
                <w:kern w:val="0"/>
                <w:szCs w:val="32"/>
              </w:rPr>
              <w:t>西安市阎良区阎良区出租汽车管理所本机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p>
        </w:tc>
        <w:tc>
          <w:tcPr>
            <w:tcW w:w="7278" w:type="dxa"/>
            <w:vAlign w:val="center"/>
          </w:tcPr>
          <w:p>
            <w:pPr>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Cs w:val="32"/>
              </w:rPr>
            </w:pPr>
          </w:p>
        </w:tc>
        <w:tc>
          <w:tcPr>
            <w:tcW w:w="7278" w:type="dxa"/>
            <w:vAlign w:val="center"/>
          </w:tcPr>
          <w:p>
            <w:pPr>
              <w:rPr>
                <w:rFonts w:ascii="仿宋_GB2312" w:hAnsi="仿宋_GB2312" w:eastAsia="仿宋_GB2312" w:cs="仿宋_GB231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pPr>
              <w:rPr>
                <w:rFonts w:ascii="仿宋_GB2312" w:hAnsi="仿宋_GB2312" w:eastAsia="仿宋_GB2312" w:cs="仿宋_GB2312"/>
                <w:szCs w:val="32"/>
              </w:rPr>
            </w:pPr>
          </w:p>
        </w:tc>
        <w:tc>
          <w:tcPr>
            <w:tcW w:w="7278" w:type="dxa"/>
            <w:vAlign w:val="center"/>
          </w:tcPr>
          <w:p>
            <w:pPr>
              <w:rPr>
                <w:rFonts w:ascii="仿宋_GB2312" w:hAnsi="仿宋_GB2312" w:eastAsia="仿宋_GB2312" w:cs="仿宋_GB2312"/>
                <w:szCs w:val="32"/>
              </w:rPr>
            </w:pPr>
          </w:p>
        </w:tc>
      </w:tr>
    </w:tbl>
    <w:p>
      <w:pPr>
        <w:ind w:firstLine="640"/>
        <w:rPr>
          <w:rFonts w:ascii="黑体" w:hAnsi="黑体" w:eastAsia="黑体"/>
          <w:b/>
          <w:bCs/>
          <w:szCs w:val="32"/>
        </w:rPr>
      </w:pPr>
    </w:p>
    <w:p>
      <w:pPr>
        <w:ind w:firstLine="640"/>
        <w:rPr>
          <w:rFonts w:ascii="黑体" w:hAnsi="黑体" w:eastAsia="黑体"/>
          <w:b/>
          <w:bCs/>
          <w:szCs w:val="32"/>
        </w:rPr>
      </w:pPr>
    </w:p>
    <w:p>
      <w:pPr>
        <w:ind w:firstLine="640"/>
        <w:rPr>
          <w:rFonts w:ascii="黑体" w:hAnsi="黑体" w:eastAsia="黑体"/>
          <w:b/>
          <w:bCs/>
          <w:szCs w:val="32"/>
        </w:rPr>
      </w:pPr>
      <w:r>
        <w:rPr>
          <w:rFonts w:hint="eastAsia" w:ascii="黑体" w:hAnsi="黑体" w:eastAsia="黑体"/>
          <w:b/>
          <w:bCs/>
          <w:szCs w:val="32"/>
        </w:rPr>
        <w:t>三、部门人员情况</w:t>
      </w:r>
    </w:p>
    <w:p>
      <w:pPr>
        <w:spacing w:line="560" w:lineRule="exact"/>
        <w:ind w:firstLine="641"/>
        <w:rPr>
          <w:rFonts w:ascii="黑体" w:hAnsi="宋体" w:eastAsia="黑体"/>
          <w:color w:val="000000"/>
          <w:kern w:val="0"/>
          <w:sz w:val="44"/>
          <w:szCs w:val="44"/>
        </w:rPr>
      </w:pPr>
      <w:r>
        <w:rPr>
          <w:rFonts w:hint="eastAsia" w:ascii="仿宋_GB2312" w:hAnsi="仿宋_GB2312" w:eastAsia="仿宋_GB2312" w:cs="仿宋_GB2312"/>
          <w:szCs w:val="32"/>
        </w:rPr>
        <w:t>截止2019年底，本单位人员编制5人，其中行政编制0人、事业编制5人；实有人员5人，其中行政0人、事业5事业人。单位离退休人员0人。</w:t>
      </w:r>
    </w:p>
    <w:p>
      <w:pPr>
        <w:widowControl/>
        <w:jc w:val="center"/>
        <w:rPr>
          <w:rFonts w:ascii="黑体" w:hAnsi="宋体" w:eastAsia="黑体"/>
          <w:color w:val="000000"/>
          <w:kern w:val="0"/>
          <w:sz w:val="44"/>
          <w:szCs w:val="44"/>
        </w:rPr>
      </w:pPr>
      <w:r>
        <w:rPr>
          <w:rFonts w:hint="eastAsia" w:ascii="仿宋_GB2312" w:hAnsi="仿宋_GB2312" w:eastAsia="仿宋_GB2312" w:cs="仿宋_GB2312"/>
          <w:szCs w:val="32"/>
        </w:rPr>
        <w:drawing>
          <wp:inline distT="0" distB="0" distL="114300" distR="114300">
            <wp:extent cx="4756150" cy="2610485"/>
            <wp:effectExtent l="4445" t="5080" r="2095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numPr>
          <w:ilvl w:val="0"/>
          <w:numId w:val="1"/>
        </w:numPr>
        <w:jc w:val="center"/>
        <w:rPr>
          <w:sz w:val="44"/>
          <w:szCs w:val="44"/>
        </w:rPr>
      </w:pPr>
      <w:r>
        <w:rPr>
          <w:rFonts w:hint="eastAsia" w:ascii="黑体" w:hAnsi="宋体" w:eastAsia="黑体"/>
          <w:color w:val="000000"/>
          <w:kern w:val="0"/>
          <w:sz w:val="44"/>
          <w:szCs w:val="44"/>
        </w:rPr>
        <w:t>2020</w:t>
      </w:r>
      <w:r>
        <w:rPr>
          <w:rFonts w:ascii="黑体" w:hAnsi="宋体" w:eastAsia="黑体"/>
          <w:color w:val="000000"/>
          <w:kern w:val="0"/>
          <w:sz w:val="44"/>
          <w:szCs w:val="44"/>
        </w:rPr>
        <w:t>年度部门决算表</w:t>
      </w:r>
    </w:p>
    <w:tbl>
      <w:tblPr>
        <w:tblStyle w:val="7"/>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不涉及</w:t>
            </w: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textAlignment w:val="center"/>
        <w:rPr>
          <w:rFonts w:ascii="宋体" w:hAnsi="宋体" w:eastAsia="宋体" w:cs="宋体"/>
          <w:b/>
          <w:bCs/>
          <w:szCs w:val="32"/>
        </w:rPr>
      </w:pPr>
      <w:r>
        <w:rPr>
          <w:rFonts w:hint="eastAsia" w:ascii="宋体" w:hAnsi="宋体" w:cs="宋体"/>
          <w:b/>
          <w:color w:val="000000"/>
          <w:kern w:val="0"/>
          <w:sz w:val="40"/>
          <w:szCs w:val="40"/>
        </w:rPr>
        <w:br w:type="page"/>
      </w:r>
      <w:r>
        <w:rPr>
          <w:rFonts w:hint="eastAsia" w:ascii="宋体" w:hAnsi="宋体" w:eastAsia="宋体" w:cs="宋体"/>
          <w:b/>
          <w:bCs/>
          <w:szCs w:val="32"/>
        </w:rPr>
        <w:t>收入支出决算总表</w:t>
      </w:r>
    </w:p>
    <w:p>
      <w:pPr>
        <w:ind w:right="420"/>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1.25</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79.00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85.59</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r>
              <w:rPr>
                <w:rFonts w:hint="eastAsia" w:ascii="宋体" w:hAnsi="宋体" w:eastAsia="宋体" w:cs="宋体"/>
                <w:bCs/>
                <w:color w:val="000000"/>
                <w:sz w:val="21"/>
                <w:szCs w:val="21"/>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b/>
                <w:color w:val="000000"/>
                <w:sz w:val="21"/>
                <w:szCs w:val="21"/>
              </w:rPr>
              <w:t>85.59</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编制部门：西安市阎良区出租汽车管理所                          金额单位：万元</w:t>
      </w:r>
    </w:p>
    <w:tbl>
      <w:tblPr>
        <w:tblStyle w:val="7"/>
        <w:tblW w:w="8867" w:type="dxa"/>
        <w:tblInd w:w="0" w:type="dxa"/>
        <w:tblLayout w:type="fixed"/>
        <w:tblCellMar>
          <w:top w:w="15" w:type="dxa"/>
          <w:left w:w="15" w:type="dxa"/>
          <w:bottom w:w="15" w:type="dxa"/>
          <w:right w:w="15" w:type="dxa"/>
        </w:tblCellMar>
      </w:tblPr>
      <w:tblGrid>
        <w:gridCol w:w="927"/>
        <w:gridCol w:w="755"/>
        <w:gridCol w:w="855"/>
        <w:gridCol w:w="870"/>
        <w:gridCol w:w="720"/>
        <w:gridCol w:w="720"/>
        <w:gridCol w:w="1470"/>
        <w:gridCol w:w="750"/>
        <w:gridCol w:w="990"/>
        <w:gridCol w:w="810"/>
      </w:tblGrid>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755"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w:t>
            </w:r>
          </w:p>
          <w:p>
            <w:pPr>
              <w:ind w:firstLine="843" w:firstLineChars="400"/>
              <w:rPr>
                <w:rFonts w:ascii="宋体" w:hAnsi="宋体" w:eastAsia="宋体" w:cs="宋体"/>
                <w:b/>
                <w:color w:val="000000"/>
                <w:sz w:val="21"/>
                <w:szCs w:val="21"/>
              </w:rPr>
            </w:pPr>
            <w:r>
              <w:rPr>
                <w:rFonts w:hint="eastAsia" w:ascii="宋体" w:hAnsi="宋体" w:eastAsia="宋体" w:cs="宋体"/>
                <w:b/>
                <w:color w:val="000000"/>
                <w:sz w:val="21"/>
                <w:szCs w:val="21"/>
              </w:rPr>
              <w:t>收费</w:t>
            </w: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68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社会保障和就业支出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2140199</w:t>
            </w: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其他公路水路运输支出</w:t>
            </w: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编制部门：西安市阎良区出租汽车管理所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2101102</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2140199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其他公路水路运输支出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83"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2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0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5.34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1.25</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79.00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102" w:type="dxa"/>
            <w:tcBorders>
              <w:top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84"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85.59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85.59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85.59</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85.59</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85.89</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公开05表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一般公共服务</w:t>
            </w:r>
          </w:p>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76.58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财政事务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2010601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85.59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76.58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76.58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76.58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46.30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46.30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15.00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9.01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9.01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4.05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4.05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0.66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0.66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ascii="宋体" w:hAnsi="宋体" w:eastAsia="宋体" w:cs="宋体"/>
                <w:color w:val="000000"/>
                <w:kern w:val="0"/>
                <w:sz w:val="21"/>
                <w:szCs w:val="21"/>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0.11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0.11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0.67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0.67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ascii="宋体" w:hAnsi="宋体" w:eastAsia="宋体" w:cs="宋体"/>
                <w:color w:val="000000"/>
                <w:sz w:val="21"/>
                <w:szCs w:val="21"/>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编制部门：西安市阎良区出租汽车管理所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spacing w:line="560" w:lineRule="exact"/>
        <w:rPr>
          <w:rFonts w:ascii="黑体" w:hAnsi="宋体" w:eastAsia="黑体"/>
          <w:color w:val="000000"/>
          <w:kern w:val="0"/>
          <w:sz w:val="44"/>
          <w:szCs w:val="44"/>
        </w:rPr>
      </w:pPr>
    </w:p>
    <w:p>
      <w:pPr>
        <w:widowControl/>
        <w:spacing w:line="560" w:lineRule="exact"/>
        <w:ind w:firstLine="640" w:firstLineChars="200"/>
        <w:jc w:val="left"/>
        <w:rPr>
          <w:rFonts w:ascii="仿宋_GB2312" w:hAnsi="仿宋" w:eastAsia="仿宋_GB2312"/>
          <w:szCs w:val="32"/>
        </w:rPr>
      </w:pPr>
      <w:r>
        <w:rPr>
          <w:rFonts w:hint="eastAsia" w:ascii="黑体" w:hAnsi="黑体" w:eastAsia="黑体"/>
          <w:color w:val="000000"/>
          <w:kern w:val="0"/>
          <w:szCs w:val="32"/>
        </w:rPr>
        <w:t>一、收入支出决算总体情况说明</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1.本年度收入支出总体情况</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（1）2019年度本年收入合计</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w:t>
      </w:r>
      <w:r>
        <w:rPr>
          <w:rFonts w:hint="eastAsia" w:ascii="仿宋_GB2312" w:hAnsi="宋体" w:eastAsia="仿宋_GB2312" w:cs="仿宋_GB2312"/>
          <w:color w:val="000000"/>
          <w:kern w:val="0"/>
          <w:szCs w:val="32"/>
          <w:lang w:eastAsia="zh-CN"/>
        </w:rPr>
        <w:t>，</w:t>
      </w:r>
      <w:r>
        <w:rPr>
          <w:rFonts w:hint="eastAsia" w:ascii="仿宋_GB2312" w:hAnsi="宋体" w:eastAsia="仿宋_GB2312" w:cs="仿宋_GB2312"/>
          <w:color w:val="000000"/>
          <w:kern w:val="0"/>
          <w:szCs w:val="32"/>
          <w:lang w:val="en-US" w:eastAsia="zh-CN"/>
        </w:rPr>
        <w:t>2018年收入合计74.67万元</w:t>
      </w:r>
      <w:r>
        <w:rPr>
          <w:rFonts w:ascii="仿宋_GB2312" w:hAnsi="宋体" w:eastAsia="仿宋_GB2312" w:cs="仿宋_GB2312"/>
          <w:color w:val="000000"/>
          <w:kern w:val="0"/>
          <w:szCs w:val="32"/>
        </w:rPr>
        <w:t>，较上年</w:t>
      </w:r>
      <w:r>
        <w:rPr>
          <w:rFonts w:hint="eastAsia" w:ascii="仿宋_GB2312" w:hAnsi="宋体" w:eastAsia="仿宋_GB2312" w:cs="仿宋_GB2312"/>
          <w:color w:val="000000"/>
          <w:kern w:val="0"/>
          <w:szCs w:val="32"/>
          <w:lang w:val="en-US" w:eastAsia="zh-CN"/>
        </w:rPr>
        <w:t>本年预算增加14.6%，主要原因是执法人员增加及临聘人员经费增加</w:t>
      </w:r>
      <w:r>
        <w:rPr>
          <w:rFonts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（2）2019年度本年支出合计85.59万元，</w:t>
      </w:r>
      <w:r>
        <w:rPr>
          <w:rFonts w:hint="eastAsia" w:ascii="仿宋_GB2312" w:hAnsi="宋体" w:eastAsia="仿宋_GB2312" w:cs="仿宋_GB2312"/>
          <w:color w:val="000000"/>
          <w:kern w:val="0"/>
          <w:szCs w:val="32"/>
          <w:lang w:val="en-US" w:eastAsia="zh-CN"/>
        </w:rPr>
        <w:t>2018年支出总计74.67万元，</w:t>
      </w:r>
      <w:r>
        <w:rPr>
          <w:rFonts w:ascii="仿宋_GB2312" w:hAnsi="宋体" w:eastAsia="仿宋_GB2312" w:cs="仿宋_GB2312"/>
          <w:color w:val="000000"/>
          <w:kern w:val="0"/>
          <w:szCs w:val="32"/>
        </w:rPr>
        <w:t>较上年</w:t>
      </w:r>
      <w:r>
        <w:rPr>
          <w:rFonts w:hint="eastAsia" w:ascii="仿宋_GB2312" w:hAnsi="宋体" w:eastAsia="仿宋_GB2312" w:cs="仿宋_GB2312"/>
          <w:color w:val="000000"/>
          <w:kern w:val="0"/>
          <w:szCs w:val="32"/>
          <w:lang w:val="en-US" w:eastAsia="zh-CN"/>
        </w:rPr>
        <w:t>本年预算增加14.6%,主要原因是</w:t>
      </w:r>
      <w:r>
        <w:rPr>
          <w:rFonts w:hint="eastAsia" w:ascii="仿宋_GB2312" w:hAnsi="仿宋" w:eastAsia="仿宋_GB2312"/>
          <w:szCs w:val="32"/>
        </w:rPr>
        <w:t>执法人员增加及临聘人员工资增加</w:t>
      </w:r>
      <w:r>
        <w:rPr>
          <w:rFonts w:ascii="仿宋_GB2312" w:hAnsi="宋体" w:eastAsia="仿宋_GB2312" w:cs="仿宋_GB2312"/>
          <w:color w:val="000000"/>
          <w:kern w:val="0"/>
          <w:szCs w:val="32"/>
        </w:rPr>
        <w:t>。</w:t>
      </w:r>
    </w:p>
    <w:p>
      <w:pPr>
        <w:widowControl/>
        <w:spacing w:line="560" w:lineRule="exact"/>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drawing>
          <wp:anchor distT="0" distB="0" distL="114935" distR="114935" simplePos="0" relativeHeight="251658240" behindDoc="1" locked="0" layoutInCell="1" allowOverlap="1">
            <wp:simplePos x="0" y="0"/>
            <wp:positionH relativeFrom="column">
              <wp:posOffset>252095</wp:posOffset>
            </wp:positionH>
            <wp:positionV relativeFrom="paragraph">
              <wp:posOffset>30480</wp:posOffset>
            </wp:positionV>
            <wp:extent cx="3994150" cy="2352675"/>
            <wp:effectExtent l="19050" t="0" r="25400" b="0"/>
            <wp:wrapTight wrapText="bothSides">
              <wp:wrapPolygon>
                <wp:start x="-103" y="0"/>
                <wp:lineTo x="-103" y="21513"/>
                <wp:lineTo x="21737" y="21513"/>
                <wp:lineTo x="21737" y="0"/>
                <wp:lineTo x="-103"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ind w:firstLine="640" w:firstLineChars="200"/>
        <w:jc w:val="left"/>
        <w:rPr>
          <w:rFonts w:ascii="仿宋_GB2312" w:hAnsi="仿宋" w:eastAsia="仿宋_GB2312"/>
          <w:szCs w:val="32"/>
        </w:rPr>
      </w:pPr>
    </w:p>
    <w:p>
      <w:pPr>
        <w:widowControl/>
        <w:spacing w:line="560" w:lineRule="exact"/>
        <w:jc w:val="left"/>
        <w:rPr>
          <w:rFonts w:ascii="仿宋_GB2312" w:hAnsi="仿宋" w:eastAsia="仿宋_GB2312"/>
          <w:szCs w:val="32"/>
        </w:rPr>
      </w:pPr>
    </w:p>
    <w:p>
      <w:pPr>
        <w:widowControl/>
        <w:spacing w:line="560" w:lineRule="exact"/>
        <w:jc w:val="left"/>
        <w:rPr>
          <w:rFonts w:ascii="仿宋_GB2312" w:hAnsi="仿宋" w:eastAsia="仿宋_GB2312"/>
          <w:szCs w:val="32"/>
        </w:rPr>
      </w:pP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%；事业收入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%；经营收入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%；其他收入</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pPr>
        <w:widowControl/>
        <w:spacing w:line="560" w:lineRule="exact"/>
        <w:ind w:firstLine="640" w:firstLineChars="200"/>
        <w:jc w:val="left"/>
        <w:rPr>
          <w:rFonts w:ascii="仿宋_GB2312" w:hAnsi="宋体" w:eastAsia="仿宋_GB2312" w:cs="仿宋_GB2312"/>
          <w:color w:val="000000"/>
          <w:kern w:val="0"/>
          <w:szCs w:val="32"/>
        </w:rPr>
      </w:pP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黑体" w:hAnsi="黑体" w:eastAsia="黑体"/>
          <w:color w:val="000000"/>
          <w:kern w:val="0"/>
          <w:szCs w:val="32"/>
        </w:rPr>
        <w:drawing>
          <wp:anchor distT="0" distB="0" distL="114935" distR="114935" simplePos="0" relativeHeight="251660288" behindDoc="1" locked="0" layoutInCell="1" allowOverlap="1">
            <wp:simplePos x="0" y="0"/>
            <wp:positionH relativeFrom="column">
              <wp:posOffset>657225</wp:posOffset>
            </wp:positionH>
            <wp:positionV relativeFrom="paragraph">
              <wp:posOffset>43815</wp:posOffset>
            </wp:positionV>
            <wp:extent cx="3898900" cy="2105025"/>
            <wp:effectExtent l="19050" t="0" r="25400" b="0"/>
            <wp:wrapTight wrapText="bothSides">
              <wp:wrapPolygon>
                <wp:start x="-106" y="0"/>
                <wp:lineTo x="-106" y="21502"/>
                <wp:lineTo x="21741" y="21502"/>
                <wp:lineTo x="21741" y="0"/>
                <wp:lineTo x="-106" y="0"/>
              </wp:wrapPolygon>
            </wp:wrapTight>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widowControl/>
        <w:spacing w:line="560" w:lineRule="exact"/>
        <w:ind w:firstLine="640" w:firstLineChars="200"/>
        <w:jc w:val="left"/>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color w:val="000000"/>
          <w:kern w:val="0"/>
          <w:szCs w:val="32"/>
        </w:rPr>
      </w:pPr>
    </w:p>
    <w:p>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 xml:space="preserve">三、支出决算情况说明  </w:t>
      </w:r>
    </w:p>
    <w:p>
      <w:pPr>
        <w:widowControl/>
        <w:spacing w:line="560" w:lineRule="exact"/>
        <w:ind w:firstLine="640" w:firstLineChars="200"/>
        <w:jc w:val="left"/>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%；经营支出</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0.00</w:t>
      </w:r>
      <w:r>
        <w:rPr>
          <w:rFonts w:ascii="仿宋_GB2312" w:hAnsi="宋体" w:eastAsia="仿宋_GB2312" w:cs="仿宋_GB2312"/>
          <w:color w:val="000000"/>
          <w:kern w:val="0"/>
          <w:szCs w:val="32"/>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四、财政拨款收入支出决算总体情况说明  </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收入合计85.59万元，</w:t>
      </w:r>
      <w:r>
        <w:rPr>
          <w:rFonts w:ascii="仿宋_GB2312" w:hAnsi="宋体" w:eastAsia="仿宋_GB2312" w:cs="仿宋_GB2312"/>
          <w:color w:val="000000"/>
          <w:kern w:val="0"/>
          <w:szCs w:val="32"/>
        </w:rPr>
        <w:t>较上年</w:t>
      </w:r>
      <w:r>
        <w:rPr>
          <w:rFonts w:hint="eastAsia" w:ascii="仿宋_GB2312" w:hAnsi="宋体" w:eastAsia="仿宋_GB2312" w:cs="仿宋_GB2312"/>
          <w:color w:val="000000"/>
          <w:kern w:val="0"/>
          <w:szCs w:val="32"/>
          <w:lang w:val="en-US" w:eastAsia="zh-CN"/>
        </w:rPr>
        <w:t>本年预算增加14.6%，主要原因是执法人员增加及临聘人员经费增加</w:t>
      </w:r>
      <w:r>
        <w:rPr>
          <w:rFonts w:ascii="仿宋_GB2312" w:hAnsi="宋体" w:eastAsia="仿宋_GB2312" w:cs="仿宋_GB2312"/>
          <w:color w:val="000000"/>
          <w:kern w:val="0"/>
          <w:szCs w:val="32"/>
        </w:rPr>
        <w:t>。</w:t>
      </w:r>
    </w:p>
    <w:p>
      <w:pPr>
        <w:widowControl/>
        <w:spacing w:line="560" w:lineRule="exact"/>
        <w:ind w:firstLine="640" w:firstLineChars="200"/>
        <w:jc w:val="left"/>
        <w:rPr>
          <w:rFonts w:ascii="仿宋_GB2312" w:hAnsi="仿宋" w:eastAsia="仿宋_GB2312"/>
          <w:szCs w:val="32"/>
        </w:rPr>
      </w:pPr>
      <w:r>
        <w:rPr>
          <w:rFonts w:hint="eastAsia" w:ascii="仿宋_GB2312" w:hAnsi="仿宋" w:eastAsia="仿宋_GB2312"/>
          <w:szCs w:val="32"/>
        </w:rPr>
        <w:t>2019年度</w:t>
      </w:r>
      <w:r>
        <w:rPr>
          <w:rFonts w:ascii="仿宋_GB2312" w:hAnsi="宋体" w:eastAsia="仿宋_GB2312" w:cs="仿宋_GB2312"/>
          <w:color w:val="000000"/>
          <w:kern w:val="0"/>
          <w:szCs w:val="32"/>
        </w:rPr>
        <w:t>财政拨款</w:t>
      </w:r>
      <w:r>
        <w:rPr>
          <w:rFonts w:hint="eastAsia" w:ascii="仿宋_GB2312" w:hAnsi="仿宋" w:eastAsia="仿宋_GB2312"/>
          <w:szCs w:val="32"/>
        </w:rPr>
        <w:t>支出合计85.59万元，</w:t>
      </w:r>
      <w:r>
        <w:rPr>
          <w:rFonts w:ascii="仿宋_GB2312" w:hAnsi="宋体" w:eastAsia="仿宋_GB2312" w:cs="仿宋_GB2312"/>
          <w:color w:val="000000"/>
          <w:kern w:val="0"/>
          <w:szCs w:val="32"/>
        </w:rPr>
        <w:t>较上年</w:t>
      </w:r>
      <w:r>
        <w:rPr>
          <w:rFonts w:hint="eastAsia" w:ascii="仿宋_GB2312" w:hAnsi="宋体" w:eastAsia="仿宋_GB2312" w:cs="仿宋_GB2312"/>
          <w:color w:val="000000"/>
          <w:kern w:val="0"/>
          <w:szCs w:val="32"/>
          <w:lang w:val="en-US" w:eastAsia="zh-CN"/>
        </w:rPr>
        <w:t>本年预算增加14.6%，主要原因是执法人员增加及临聘人员经费增加</w:t>
      </w:r>
      <w:r>
        <w:rPr>
          <w:rFonts w:ascii="仿宋_GB2312" w:hAnsi="宋体" w:eastAsia="仿宋_GB2312" w:cs="仿宋_GB2312"/>
          <w:color w:val="000000"/>
          <w:kern w:val="0"/>
          <w:szCs w:val="32"/>
        </w:rPr>
        <w:t>。</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万元，占本年支出合计的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%。与</w:t>
      </w:r>
      <w:r>
        <w:rPr>
          <w:rFonts w:hint="eastAsia" w:ascii="仿宋_GB2312" w:hAnsi="宋体" w:eastAsia="仿宋_GB2312" w:cs="仿宋_GB2312"/>
          <w:color w:val="000000"/>
          <w:kern w:val="0"/>
          <w:szCs w:val="32"/>
        </w:rPr>
        <w:t>上年</w:t>
      </w:r>
      <w:r>
        <w:rPr>
          <w:rFonts w:ascii="仿宋_GB2312" w:hAnsi="宋体" w:eastAsia="仿宋_GB2312" w:cs="仿宋_GB2312"/>
          <w:color w:val="000000"/>
          <w:kern w:val="0"/>
          <w:szCs w:val="32"/>
        </w:rPr>
        <w:t>相比</w:t>
      </w:r>
      <w:r>
        <w:rPr>
          <w:rFonts w:hint="eastAsia"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pPr>
        <w:widowControl/>
        <w:spacing w:line="560" w:lineRule="exact"/>
        <w:ind w:firstLine="643" w:firstLineChars="200"/>
        <w:jc w:val="left"/>
      </w:pPr>
      <w:r>
        <w:rPr>
          <w:rFonts w:ascii="仿宋_GB2312" w:hAnsi="宋体" w:eastAsia="仿宋_GB2312" w:cs="仿宋_GB2312"/>
          <w:b/>
          <w:color w:val="000000"/>
          <w:kern w:val="0"/>
          <w:szCs w:val="32"/>
        </w:rPr>
        <w:t xml:space="preserve">1.一般公共服务支出（类）财政事务（款）行政运行（项）。 </w:t>
      </w:r>
    </w:p>
    <w:p>
      <w:pPr>
        <w:widowControl/>
        <w:spacing w:line="560" w:lineRule="exact"/>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85.59</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pPr>
        <w:spacing w:line="560" w:lineRule="exact"/>
        <w:ind w:firstLine="640" w:firstLineChars="200"/>
        <w:rPr>
          <w:rFonts w:ascii="仿宋_GB2312" w:hAnsi="仿宋" w:eastAsia="仿宋_GB2312"/>
          <w:szCs w:val="32"/>
        </w:rPr>
      </w:pPr>
      <w:r>
        <w:rPr>
          <w:rFonts w:hint="eastAsia" w:ascii="黑体" w:hAnsi="黑体" w:eastAsia="黑体"/>
          <w:color w:val="000000"/>
          <w:kern w:val="0"/>
          <w:szCs w:val="32"/>
        </w:rPr>
        <w:t xml:space="preserve">六、一般公共预算财政拨款基本支出决算情况说明 </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85.59</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76.58</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9.01</w:t>
      </w:r>
      <w:r>
        <w:rPr>
          <w:rFonts w:ascii="仿宋_GB2312" w:hAnsi="仿宋_GB2312" w:eastAsia="仿宋_GB2312" w:cs="仿宋_GB2312"/>
          <w:color w:val="000000"/>
          <w:kern w:val="0"/>
          <w:sz w:val="31"/>
          <w:szCs w:val="31"/>
        </w:rPr>
        <w:t>万元。</w:t>
      </w:r>
    </w:p>
    <w:p>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76.58</w:t>
      </w:r>
      <w:r>
        <w:rPr>
          <w:rFonts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rPr>
        <w:t>46.3万元、绩效工资15万元、养老保险7.49万元、职业年金1.08万元、医疗保险1.56万元、住房公积金5.16万元。</w:t>
      </w:r>
    </w:p>
    <w:p>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9.01</w:t>
      </w:r>
      <w:r>
        <w:rPr>
          <w:rFonts w:ascii="仿宋_GB2312" w:hAnsi="宋体" w:eastAsia="仿宋_GB2312" w:cs="仿宋_GB2312"/>
          <w:color w:val="000000"/>
          <w:kern w:val="0"/>
          <w:szCs w:val="32"/>
        </w:rPr>
        <w:t>万元，主要包括</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办公费</w:t>
      </w:r>
      <w:r>
        <w:rPr>
          <w:rFonts w:hint="eastAsia" w:ascii="仿宋_GB2312" w:hAnsi="宋体" w:eastAsia="仿宋_GB2312" w:cs="仿宋_GB2312"/>
          <w:color w:val="000000"/>
          <w:kern w:val="0"/>
          <w:szCs w:val="32"/>
        </w:rPr>
        <w:t>4.05万元、劳务费1万元、其他商品和服务支出2.18万元、其他交通费用0.34万元、维护费0.67万元、取暖费0.11万元、邮电费0.66万元。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七、一般公共预算财政拨款“三公”经费及会议费、培训费支出决算情况说明 </w:t>
      </w:r>
    </w:p>
    <w:p>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“三公”经费财政拨款支出决算中，因公出国（境）费支出决算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%；公务用车购置</w:t>
      </w:r>
      <w:r>
        <w:rPr>
          <w:rFonts w:hint="eastAsia" w:ascii="仿宋_GB2312" w:hAnsi="宋体" w:eastAsia="仿宋_GB2312" w:cs="仿宋_GB2312"/>
          <w:color w:val="000000"/>
          <w:kern w:val="0"/>
          <w:szCs w:val="32"/>
        </w:rPr>
        <w:t>费支出0万元，占0</w:t>
      </w:r>
      <w:r>
        <w:rPr>
          <w:rFonts w:ascii="仿宋_GB2312" w:hAnsi="宋体" w:eastAsia="仿宋_GB2312" w:cs="仿宋_GB2312"/>
          <w:color w:val="000000"/>
          <w:kern w:val="0"/>
          <w:szCs w:val="32"/>
        </w:rPr>
        <w:t>%；公务用车运行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%。具体情况如下：</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1.因公出国（境）支出情况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2019年度因公出国（境）团组</w:t>
      </w:r>
      <w:r>
        <w:rPr>
          <w:rFonts w:hint="eastAsia" w:ascii="仿宋_GB2312" w:hAnsi="仿宋_GB2312" w:eastAsia="仿宋_GB2312" w:cs="仿宋_GB2312"/>
          <w:szCs w:val="32"/>
        </w:rPr>
        <w:t>0个，0人次，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2.公务用车购置费用支出情况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pPr>
      <w:r>
        <w:rPr>
          <w:rFonts w:hint="eastAsia" w:ascii="仿宋_GB2312" w:hAnsi="仿宋" w:eastAsia="仿宋_GB2312"/>
          <w:szCs w:val="32"/>
        </w:rPr>
        <w:t>2019年度购置车辆</w:t>
      </w:r>
      <w:r>
        <w:rPr>
          <w:rFonts w:hint="eastAsia" w:ascii="仿宋_GB2312" w:hAnsi="仿宋_GB2312" w:eastAsia="仿宋_GB2312" w:cs="仿宋_GB2312"/>
          <w:szCs w:val="32"/>
        </w:rPr>
        <w:t>0台，</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3.公务用车运行维护费用支出情况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numPr>
          <w:ilvl w:val="0"/>
          <w:numId w:val="2"/>
        </w:num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pPr>
        <w:spacing w:line="560" w:lineRule="exact"/>
        <w:ind w:firstLine="640" w:firstLineChars="200"/>
        <w:rPr>
          <w:rFonts w:ascii="仿宋_GB2312" w:hAnsi="宋体" w:eastAsia="仿宋_GB2312" w:cs="仿宋_GB2312"/>
          <w:color w:val="000000"/>
          <w:kern w:val="0"/>
          <w:szCs w:val="32"/>
        </w:rPr>
      </w:pPr>
      <w:r>
        <w:rPr>
          <w:rFonts w:hint="eastAsia" w:ascii="仿宋_GB2312" w:hAnsi="仿宋" w:eastAsia="仿宋_GB2312"/>
          <w:szCs w:val="32"/>
        </w:rPr>
        <w:t>2019年度公务接待</w:t>
      </w:r>
      <w:r>
        <w:rPr>
          <w:rFonts w:hint="eastAsia" w:ascii="仿宋_GB2312" w:hAnsi="仿宋_GB2312" w:eastAsia="仿宋_GB2312" w:cs="仿宋_GB2312"/>
          <w:szCs w:val="32"/>
        </w:rPr>
        <w:t>0批次， 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w:t>
      </w:r>
      <w:r>
        <w:rPr>
          <w:rFonts w:hint="eastAsia" w:ascii="仿宋_GB2312" w:hAnsi="仿宋_GB2312" w:eastAsia="仿宋_GB2312" w:cs="仿宋_GB2312"/>
          <w:szCs w:val="32"/>
        </w:rPr>
        <w:t>（如没有支出填0）</w:t>
      </w:r>
      <w:r>
        <w:rPr>
          <w:rFonts w:ascii="仿宋_GB2312" w:hAnsi="宋体" w:eastAsia="仿宋_GB2312" w:cs="仿宋_GB2312"/>
          <w:color w:val="000000"/>
          <w:kern w:val="0"/>
          <w:szCs w:val="32"/>
        </w:rPr>
        <w:t>，完成预算的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p>
    <w:p>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八、政府性基金预算财政拨款收入支出情况说明 </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本部门无政府性基金决算收支，并已公开空表</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楷体_GB2312" w:hAnsi="宋体" w:eastAsia="楷体_GB2312" w:cs="楷体_GB2312"/>
          <w:b/>
          <w:color w:val="000000"/>
          <w:kern w:val="0"/>
          <w:szCs w:val="32"/>
        </w:rPr>
        <w:t xml:space="preserve">     </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年一般公共预算2个项目支出开展了绩效自评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0</w:t>
      </w:r>
      <w:r>
        <w:rPr>
          <w:rFonts w:ascii="仿宋_GB2312" w:hAnsi="仿宋_GB2312" w:eastAsia="仿宋_GB2312" w:cs="仿宋_GB2312"/>
          <w:szCs w:val="32"/>
        </w:rPr>
        <w:t>个，二级项目</w:t>
      </w:r>
      <w:r>
        <w:rPr>
          <w:rFonts w:hint="eastAsia" w:ascii="仿宋_GB2312" w:hAnsi="仿宋_GB2312" w:eastAsia="仿宋_GB2312" w:cs="仿宋_GB2312"/>
          <w:szCs w:val="32"/>
        </w:rPr>
        <w:t>2</w:t>
      </w:r>
      <w:r>
        <w:rPr>
          <w:rFonts w:ascii="仿宋_GB2312" w:hAnsi="仿宋_GB2312" w:eastAsia="仿宋_GB2312" w:cs="仿宋_GB2312"/>
          <w:szCs w:val="32"/>
        </w:rPr>
        <w:t>个，共涉及资金</w:t>
      </w:r>
      <w:r>
        <w:rPr>
          <w:rFonts w:hint="eastAsia" w:ascii="仿宋_GB2312" w:hAnsi="仿宋_GB2312" w:eastAsia="仿宋_GB2312" w:cs="仿宋_GB2312"/>
          <w:szCs w:val="32"/>
        </w:rPr>
        <w:t>19</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100</w:t>
      </w:r>
      <w:r>
        <w:rPr>
          <w:rFonts w:ascii="仿宋_GB2312" w:hAnsi="仿宋_GB2312" w:eastAsia="仿宋_GB2312" w:cs="仿宋_GB2312"/>
          <w:szCs w:val="32"/>
        </w:rPr>
        <w:t>%</w:t>
      </w:r>
      <w:r>
        <w:rPr>
          <w:rFonts w:hint="eastAsia" w:ascii="仿宋_GB2312" w:hAnsi="仿宋_GB2312" w:eastAsia="仿宋_GB2312" w:cs="仿宋_GB2312"/>
          <w:szCs w:val="32"/>
        </w:rPr>
        <w:t>；</w:t>
      </w:r>
      <w:r>
        <w:rPr>
          <w:rFonts w:ascii="仿宋_GB2312" w:hAnsi="仿宋_GB2312" w:eastAsia="仿宋_GB2312" w:cs="仿宋_GB2312"/>
          <w:color w:val="000000"/>
          <w:kern w:val="0"/>
          <w:sz w:val="31"/>
          <w:szCs w:val="31"/>
        </w:rPr>
        <w:t>组织对 2019年</w:t>
      </w:r>
      <w:r>
        <w:rPr>
          <w:rFonts w:hint="eastAsia" w:ascii="仿宋_GB2312" w:hAnsi="仿宋" w:eastAsia="仿宋_GB2312"/>
          <w:szCs w:val="32"/>
        </w:rPr>
        <w:t>度政府性</w:t>
      </w:r>
      <w:r>
        <w:rPr>
          <w:rFonts w:hint="eastAsia" w:ascii="仿宋_GB2312" w:hAnsi="仿宋_GB2312" w:eastAsia="仿宋_GB2312" w:cs="仿宋_GB2312"/>
          <w:szCs w:val="32"/>
        </w:rPr>
        <w:t>基金预算0个项目支出开展了绩效自评</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涉及项目</w:t>
      </w:r>
      <w:r>
        <w:rPr>
          <w:rFonts w:hint="eastAsia" w:ascii="仿宋_GB2312" w:hAnsi="仿宋_GB2312" w:eastAsia="仿宋_GB2312" w:cs="仿宋_GB2312"/>
          <w:szCs w:val="32"/>
        </w:rPr>
        <w:t>0</w:t>
      </w:r>
      <w:r>
        <w:rPr>
          <w:rFonts w:hint="eastAsia" w:ascii="仿宋_GB2312" w:hAnsi="仿宋_GB2312" w:eastAsia="仿宋_GB2312" w:cs="仿宋_GB2312"/>
          <w:color w:val="000000"/>
          <w:kern w:val="0"/>
          <w:sz w:val="31"/>
          <w:szCs w:val="31"/>
        </w:rPr>
        <w:t>个，</w:t>
      </w:r>
      <w:r>
        <w:rPr>
          <w:rFonts w:ascii="仿宋_GB2312" w:hAnsi="仿宋_GB2312" w:eastAsia="仿宋_GB2312" w:cs="仿宋_GB2312"/>
          <w:color w:val="000000"/>
          <w:kern w:val="0"/>
          <w:sz w:val="31"/>
          <w:szCs w:val="31"/>
        </w:rPr>
        <w:t>共涉及资金</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万元，占政府性基金预算项目支出总额的</w:t>
      </w:r>
      <w:r>
        <w:rPr>
          <w:rFonts w:hint="eastAsia" w:ascii="仿宋_GB2312" w:hAnsi="仿宋_GB2312" w:eastAsia="仿宋_GB2312" w:cs="仿宋_GB2312"/>
          <w:color w:val="000000"/>
          <w:kern w:val="0"/>
          <w:sz w:val="31"/>
          <w:szCs w:val="31"/>
        </w:rPr>
        <w:t>0</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w:t>
      </w:r>
    </w:p>
    <w:p>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rPr>
        <w:t>19</w:t>
      </w:r>
      <w:r>
        <w:rPr>
          <w:rFonts w:hint="eastAsia" w:ascii="仿宋_GB2312" w:hAnsi="仿宋_GB2312" w:eastAsia="仿宋_GB2312" w:cs="仿宋_GB2312"/>
          <w:szCs w:val="32"/>
        </w:rPr>
        <w:t>万元。</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w:t>
      </w:r>
      <w:r>
        <w:rPr>
          <w:rFonts w:ascii="仿宋_GB2312" w:hAnsi="仿宋_GB2312" w:eastAsia="仿宋_GB2312" w:cs="仿宋_GB2312"/>
          <w:color w:val="000000"/>
          <w:kern w:val="0"/>
          <w:sz w:val="31"/>
          <w:szCs w:val="31"/>
        </w:rPr>
        <w:t>西安市阎良区出租汽车管理所非税返还项目绩效自评综述：根据年初设定的绩效目标，项目自评得分</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16</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rPr>
        <w:t>保障出租汽车管理工作的正常有序开展。加强出租车在岗驾驶员培训教育工作</w:t>
      </w:r>
      <w:r>
        <w:rPr>
          <w:rFonts w:hint="eastAsia" w:ascii="仿宋_GB2312" w:hAnsi="仿宋_GB2312" w:eastAsia="仿宋_GB2312" w:cs="仿宋_GB2312"/>
          <w:color w:val="000000"/>
          <w:kern w:val="0"/>
          <w:sz w:val="31"/>
          <w:szCs w:val="31"/>
          <w:lang w:val="en-US" w:eastAsia="zh-CN"/>
        </w:rPr>
        <w:t>并且打击整治非法网约车，维护出租汽车客运市场。</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val="en-US" w:eastAsia="zh-CN"/>
        </w:rPr>
        <w:t>项目效果良好</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val="en-US" w:eastAsia="zh-CN"/>
        </w:rPr>
        <w:t>进一步加大出租汽车管理的日常工作，加强出租车在岗人员培训。</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w:t>
      </w:r>
      <w:r>
        <w:rPr>
          <w:rFonts w:ascii="仿宋_GB2312" w:hAnsi="仿宋_GB2312" w:eastAsia="仿宋_GB2312" w:cs="仿宋_GB2312"/>
          <w:color w:val="000000"/>
          <w:kern w:val="0"/>
          <w:sz w:val="31"/>
          <w:szCs w:val="31"/>
        </w:rPr>
        <w:t>西安市阎良区出租汽车管理所业务费项目绩效自评综述：根据年初设定的绩效目标，项目自评得分</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3</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p>
    <w:p>
      <w:pPr>
        <w:widowControl/>
        <w:spacing w:line="560" w:lineRule="exact"/>
        <w:ind w:firstLine="620" w:firstLineChars="200"/>
        <w:jc w:val="left"/>
        <w:rPr>
          <w:rFonts w:hint="default" w:ascii="仿宋_GB2312" w:hAnsi="仿宋_GB2312" w:eastAsia="仿宋_GB2312" w:cs="仿宋_GB2312"/>
          <w:color w:val="000000"/>
          <w:kern w:val="0"/>
          <w:sz w:val="31"/>
          <w:szCs w:val="31"/>
          <w:lang w:val="en-US" w:eastAsia="zh-CN"/>
        </w:rPr>
      </w:pPr>
      <w:r>
        <w:rPr>
          <w:rFonts w:ascii="仿宋_GB2312" w:hAnsi="仿宋_GB2312" w:eastAsia="仿宋_GB2312" w:cs="仿宋_GB2312"/>
          <w:color w:val="000000"/>
          <w:kern w:val="0"/>
          <w:sz w:val="31"/>
          <w:szCs w:val="31"/>
        </w:rPr>
        <w:t>通过项目实施</w:t>
      </w:r>
      <w:r>
        <w:rPr>
          <w:rFonts w:hint="eastAsia" w:ascii="仿宋_GB2312" w:hAnsi="仿宋_GB2312" w:eastAsia="仿宋_GB2312" w:cs="仿宋_GB2312"/>
          <w:color w:val="000000"/>
          <w:kern w:val="0"/>
          <w:sz w:val="31"/>
          <w:szCs w:val="31"/>
        </w:rPr>
        <w:t>对全区223辆出租车在岗驾驶员继续教育培训，每季度培训一次。</w:t>
      </w:r>
      <w:r>
        <w:rPr>
          <w:rFonts w:hint="eastAsia" w:ascii="仿宋_GB2312" w:hAnsi="仿宋_GB2312" w:eastAsia="仿宋_GB2312" w:cs="仿宋_GB2312"/>
          <w:color w:val="000000"/>
          <w:kern w:val="0"/>
          <w:sz w:val="31"/>
          <w:szCs w:val="31"/>
          <w:lang w:val="en-US" w:eastAsia="zh-CN"/>
        </w:rPr>
        <w:t>乘客投诉率降低了20%，通过打击非法网约车，减少不合法竞争，提高合法营运车辆收入增加了5%，有效维护了出租车和合法网约车的权益。提高合法营运车辆运营收入。</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lang w:val="en-US" w:eastAsia="zh-CN"/>
        </w:rPr>
        <w:t>项目效果良好</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lang w:val="en-US" w:eastAsia="zh-CN"/>
        </w:rPr>
        <w:t>对项目展开的各项指标进行量化考核，进一步细致跟进以便跟进产出效果使得完善</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95</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lang w:val="en-US" w:eastAsia="zh-CN"/>
        </w:rPr>
        <w:t>85.59</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lang w:val="en-US" w:eastAsia="zh-CN"/>
        </w:rPr>
        <w:t>85.59</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lang w:val="en-US" w:eastAsia="zh-CN"/>
        </w:rPr>
        <w:t>100</w:t>
      </w:r>
      <w:r>
        <w:rPr>
          <w:rFonts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主要产出和效果：按照省市安排部署，认真查摆问题，逐一整改完善</w:t>
      </w:r>
      <w:r>
        <w:rPr>
          <w:rFonts w:hint="eastAsia" w:ascii="仿宋_GB2312" w:hAnsi="仿宋_GB2312" w:eastAsia="仿宋_GB2312" w:cs="仿宋_GB2312"/>
          <w:color w:val="000000"/>
          <w:kern w:val="0"/>
          <w:sz w:val="31"/>
          <w:szCs w:val="31"/>
        </w:rPr>
        <w:t>。</w:t>
      </w:r>
    </w:p>
    <w:p>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主要工作绩效是</w:t>
      </w: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保障</w:t>
      </w:r>
      <w:r>
        <w:rPr>
          <w:rFonts w:hint="eastAsia" w:ascii="仿宋_GB2312" w:hAnsi="仿宋_GB2312" w:eastAsia="仿宋_GB2312" w:cs="仿宋_GB2312"/>
          <w:color w:val="000000"/>
          <w:kern w:val="0"/>
          <w:sz w:val="31"/>
          <w:szCs w:val="31"/>
          <w:lang w:val="en-US" w:eastAsia="zh-CN"/>
        </w:rPr>
        <w:t>了</w:t>
      </w:r>
      <w:r>
        <w:rPr>
          <w:rFonts w:hint="eastAsia" w:ascii="仿宋_GB2312" w:hAnsi="仿宋_GB2312" w:eastAsia="仿宋_GB2312" w:cs="仿宋_GB2312"/>
          <w:color w:val="000000"/>
          <w:kern w:val="0"/>
          <w:sz w:val="31"/>
          <w:szCs w:val="31"/>
        </w:rPr>
        <w:t>出租汽车管理工作的正常有序开展。加强</w:t>
      </w:r>
      <w:r>
        <w:rPr>
          <w:rFonts w:hint="eastAsia" w:ascii="仿宋_GB2312" w:hAnsi="仿宋_GB2312" w:eastAsia="仿宋_GB2312" w:cs="仿宋_GB2312"/>
          <w:color w:val="000000"/>
          <w:kern w:val="0"/>
          <w:sz w:val="31"/>
          <w:szCs w:val="31"/>
          <w:lang w:val="en-US" w:eastAsia="zh-CN"/>
        </w:rPr>
        <w:t>了</w:t>
      </w:r>
      <w:r>
        <w:rPr>
          <w:rFonts w:hint="eastAsia" w:ascii="仿宋_GB2312" w:hAnsi="仿宋_GB2312" w:eastAsia="仿宋_GB2312" w:cs="仿宋_GB2312"/>
          <w:color w:val="000000"/>
          <w:kern w:val="0"/>
          <w:sz w:val="31"/>
          <w:szCs w:val="31"/>
        </w:rPr>
        <w:t>出租车在岗驾驶员培训教育工作。</w:t>
      </w:r>
      <w:r>
        <w:rPr>
          <w:rFonts w:hint="eastAsia" w:ascii="仿宋_GB2312" w:hAnsi="仿宋_GB2312" w:eastAsia="仿宋_GB2312" w:cs="仿宋_GB2312"/>
          <w:color w:val="000000"/>
          <w:kern w:val="0"/>
          <w:sz w:val="31"/>
          <w:szCs w:val="31"/>
          <w:lang w:val="en-US" w:eastAsia="zh-CN"/>
        </w:rPr>
        <w:t>有效</w:t>
      </w:r>
      <w:r>
        <w:rPr>
          <w:rFonts w:hint="eastAsia" w:ascii="仿宋_GB2312" w:hAnsi="仿宋_GB2312" w:eastAsia="仿宋_GB2312" w:cs="仿宋_GB2312"/>
          <w:color w:val="000000"/>
          <w:kern w:val="0"/>
          <w:sz w:val="31"/>
          <w:szCs w:val="31"/>
        </w:rPr>
        <w:t>提升</w:t>
      </w:r>
      <w:r>
        <w:rPr>
          <w:rFonts w:hint="eastAsia" w:ascii="仿宋_GB2312" w:hAnsi="仿宋_GB2312" w:eastAsia="仿宋_GB2312" w:cs="仿宋_GB2312"/>
          <w:color w:val="000000"/>
          <w:kern w:val="0"/>
          <w:sz w:val="31"/>
          <w:szCs w:val="31"/>
          <w:lang w:val="en-US" w:eastAsia="zh-CN"/>
        </w:rPr>
        <w:t>了</w:t>
      </w:r>
      <w:r>
        <w:rPr>
          <w:rFonts w:hint="eastAsia" w:ascii="仿宋_GB2312" w:hAnsi="仿宋_GB2312" w:eastAsia="仿宋_GB2312" w:cs="仿宋_GB2312"/>
          <w:color w:val="000000"/>
          <w:kern w:val="0"/>
          <w:sz w:val="31"/>
          <w:szCs w:val="31"/>
        </w:rPr>
        <w:t>驾驶员服务水平，为乘客提供优质服务。维护</w:t>
      </w:r>
      <w:r>
        <w:rPr>
          <w:rFonts w:hint="eastAsia" w:ascii="仿宋_GB2312" w:hAnsi="仿宋_GB2312" w:eastAsia="仿宋_GB2312" w:cs="仿宋_GB2312"/>
          <w:color w:val="000000"/>
          <w:kern w:val="0"/>
          <w:sz w:val="31"/>
          <w:szCs w:val="31"/>
          <w:lang w:val="en-US" w:eastAsia="zh-CN"/>
        </w:rPr>
        <w:t>了</w:t>
      </w:r>
      <w:r>
        <w:rPr>
          <w:rFonts w:hint="eastAsia" w:ascii="仿宋_GB2312" w:hAnsi="仿宋_GB2312" w:eastAsia="仿宋_GB2312" w:cs="仿宋_GB2312"/>
          <w:color w:val="000000"/>
          <w:kern w:val="0"/>
          <w:sz w:val="31"/>
          <w:szCs w:val="31"/>
        </w:rPr>
        <w:t>出租车和合法网约车的权益，</w:t>
      </w:r>
      <w:r>
        <w:rPr>
          <w:rFonts w:hint="eastAsia" w:ascii="仿宋_GB2312" w:hAnsi="仿宋_GB2312" w:eastAsia="仿宋_GB2312" w:cs="仿宋_GB2312"/>
          <w:color w:val="000000"/>
          <w:kern w:val="0"/>
          <w:sz w:val="31"/>
          <w:szCs w:val="31"/>
          <w:lang w:val="en-US" w:eastAsia="zh-CN"/>
        </w:rPr>
        <w:t>积极</w:t>
      </w:r>
      <w:r>
        <w:rPr>
          <w:rFonts w:hint="eastAsia" w:ascii="仿宋_GB2312" w:hAnsi="仿宋_GB2312" w:eastAsia="仿宋_GB2312" w:cs="仿宋_GB2312"/>
          <w:color w:val="000000"/>
          <w:kern w:val="0"/>
          <w:sz w:val="31"/>
          <w:szCs w:val="31"/>
        </w:rPr>
        <w:t>提高</w:t>
      </w:r>
      <w:r>
        <w:rPr>
          <w:rFonts w:hint="eastAsia" w:ascii="仿宋_GB2312" w:hAnsi="仿宋_GB2312" w:eastAsia="仿宋_GB2312" w:cs="仿宋_GB2312"/>
          <w:color w:val="000000"/>
          <w:kern w:val="0"/>
          <w:sz w:val="31"/>
          <w:szCs w:val="31"/>
          <w:lang w:val="en-US" w:eastAsia="zh-CN"/>
        </w:rPr>
        <w:t>了</w:t>
      </w:r>
      <w:r>
        <w:rPr>
          <w:rFonts w:hint="eastAsia" w:ascii="仿宋_GB2312" w:hAnsi="仿宋_GB2312" w:eastAsia="仿宋_GB2312" w:cs="仿宋_GB2312"/>
          <w:color w:val="000000"/>
          <w:kern w:val="0"/>
          <w:sz w:val="31"/>
          <w:szCs w:val="31"/>
        </w:rPr>
        <w:t>合法营运车辆运营收入。</w:t>
      </w: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sectPr>
          <w:pgSz w:w="11906" w:h="16838"/>
          <w:pgMar w:top="1440" w:right="1800" w:bottom="1440" w:left="1800" w:header="851" w:footer="992" w:gutter="0"/>
          <w:cols w:space="425" w:num="1"/>
          <w:docGrid w:type="lines" w:linePitch="312" w:charSpace="0"/>
        </w:sectPr>
      </w:pPr>
      <w:bookmarkStart w:id="0" w:name="_1662907596"/>
      <w:bookmarkEnd w:id="0"/>
      <w:bookmarkStart w:id="1" w:name="_1662907161"/>
      <w:bookmarkEnd w:id="1"/>
      <w:bookmarkStart w:id="2" w:name="_1662907080"/>
      <w:bookmarkEnd w:id="2"/>
      <w:r>
        <w:rPr>
          <w:rFonts w:hint="eastAsia" w:ascii="仿宋_GB2312" w:hAnsi="仿宋_GB2312" w:eastAsia="仿宋_GB2312" w:cs="仿宋_GB2312"/>
          <w:color w:val="000000"/>
          <w:kern w:val="0"/>
          <w:sz w:val="31"/>
          <w:szCs w:val="31"/>
          <w:lang w:eastAsia="zh-CN"/>
        </w:rPr>
        <w:drawing>
          <wp:inline distT="0" distB="0" distL="114300" distR="114300">
            <wp:extent cx="6040120" cy="8495030"/>
            <wp:effectExtent l="0" t="0" r="17780" b="1270"/>
            <wp:docPr id="1" name="图片 1" descr="1603874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3874004(1)"/>
                    <pic:cNvPicPr>
                      <a:picLocks noChangeAspect="1"/>
                    </pic:cNvPicPr>
                  </pic:nvPicPr>
                  <pic:blipFill>
                    <a:blip r:embed="rId7"/>
                    <a:stretch>
                      <a:fillRect/>
                    </a:stretch>
                  </pic:blipFill>
                  <pic:spPr>
                    <a:xfrm>
                      <a:off x="0" y="0"/>
                      <a:ext cx="6040120" cy="8495030"/>
                    </a:xfrm>
                    <a:prstGeom prst="rect">
                      <a:avLst/>
                    </a:prstGeom>
                  </pic:spPr>
                </pic:pic>
              </a:graphicData>
            </a:graphic>
          </wp:inline>
        </w:drawing>
      </w:r>
      <w:bookmarkStart w:id="4" w:name="_GoBack"/>
      <w:bookmarkEnd w:id="4"/>
    </w:p>
    <w:p>
      <w:pPr>
        <w:rPr>
          <w:rFonts w:ascii="黑体" w:hAnsi="黑体" w:eastAsia="黑体"/>
          <w:color w:val="000000"/>
          <w:kern w:val="0"/>
          <w:szCs w:val="32"/>
        </w:rPr>
      </w:pPr>
      <w:bookmarkStart w:id="3" w:name="_1662907696"/>
      <w:bookmarkEnd w:id="3"/>
    </w:p>
    <w:p>
      <w:pPr>
        <w:rPr>
          <w:rFonts w:hint="eastAsia" w:ascii="黑体" w:hAnsi="黑体" w:eastAsia="黑体"/>
          <w:color w:val="000000"/>
          <w:kern w:val="0"/>
          <w:szCs w:val="32"/>
          <w:lang w:eastAsia="zh-CN"/>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color w:val="000000"/>
          <w:kern w:val="0"/>
          <w:szCs w:val="32"/>
          <w:lang w:eastAsia="zh-CN"/>
        </w:rPr>
        <w:drawing>
          <wp:inline distT="0" distB="0" distL="114300" distR="114300">
            <wp:extent cx="8843010" cy="6313805"/>
            <wp:effectExtent l="0" t="0" r="15240" b="10795"/>
            <wp:docPr id="4" name="图片 4" descr="1603874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3874844(1)"/>
                    <pic:cNvPicPr>
                      <a:picLocks noChangeAspect="1"/>
                    </pic:cNvPicPr>
                  </pic:nvPicPr>
                  <pic:blipFill>
                    <a:blip r:embed="rId8"/>
                    <a:stretch>
                      <a:fillRect/>
                    </a:stretch>
                  </pic:blipFill>
                  <pic:spPr>
                    <a:xfrm>
                      <a:off x="0" y="0"/>
                      <a:ext cx="8843010" cy="6313805"/>
                    </a:xfrm>
                    <a:prstGeom prst="rect">
                      <a:avLst/>
                    </a:prstGeom>
                  </pic:spPr>
                </pic:pic>
              </a:graphicData>
            </a:graphic>
          </wp:inline>
        </w:drawing>
      </w:r>
      <w:r>
        <w:rPr>
          <w:rFonts w:hint="eastAsia" w:ascii="黑体" w:hAnsi="黑体" w:eastAsia="黑体"/>
          <w:color w:val="000000"/>
          <w:kern w:val="0"/>
          <w:szCs w:val="32"/>
          <w:lang w:eastAsia="zh-CN"/>
        </w:rPr>
        <w:drawing>
          <wp:inline distT="0" distB="0" distL="114300" distR="114300">
            <wp:extent cx="8416925" cy="5273675"/>
            <wp:effectExtent l="0" t="0" r="3175" b="3175"/>
            <wp:docPr id="9" name="图片 9" descr="1603874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03874930(1)"/>
                    <pic:cNvPicPr>
                      <a:picLocks noChangeAspect="1"/>
                    </pic:cNvPicPr>
                  </pic:nvPicPr>
                  <pic:blipFill>
                    <a:blip r:embed="rId9"/>
                    <a:stretch>
                      <a:fillRect/>
                    </a:stretch>
                  </pic:blipFill>
                  <pic:spPr>
                    <a:xfrm>
                      <a:off x="0" y="0"/>
                      <a:ext cx="8416925" cy="5273675"/>
                    </a:xfrm>
                    <a:prstGeom prst="rect">
                      <a:avLst/>
                    </a:prstGeom>
                  </pic:spPr>
                </pic:pic>
              </a:graphicData>
            </a:graphic>
          </wp:inline>
        </w:drawing>
      </w:r>
    </w:p>
    <w:p>
      <w:pPr>
        <w:spacing w:line="560" w:lineRule="exact"/>
        <w:ind w:firstLine="640" w:firstLineChars="200"/>
        <w:rPr>
          <w:rFonts w:hint="eastAsia" w:ascii="黑体" w:hAnsi="黑体" w:eastAsia="黑体"/>
          <w:color w:val="000000"/>
          <w:kern w:val="0"/>
          <w:szCs w:val="32"/>
        </w:rPr>
      </w:pPr>
    </w:p>
    <w:p>
      <w:pPr>
        <w:spacing w:line="560" w:lineRule="exact"/>
        <w:ind w:firstLine="640" w:firstLineChars="200"/>
        <w:rPr>
          <w:rFonts w:hint="eastAsia" w:ascii="黑体" w:hAnsi="黑体" w:eastAsia="黑体"/>
          <w:color w:val="000000"/>
          <w:kern w:val="0"/>
          <w:szCs w:val="32"/>
        </w:rPr>
      </w:pPr>
    </w:p>
    <w:p>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pPr>
        <w:widowControl/>
        <w:spacing w:line="560" w:lineRule="exact"/>
        <w:ind w:firstLine="640" w:firstLineChars="200"/>
        <w:jc w:val="left"/>
        <w:rPr>
          <w:rFonts w:ascii="楷体_GB2312" w:hAnsi="宋体" w:eastAsia="楷体_GB2312" w:cs="楷体_GB2312"/>
          <w:b/>
          <w:color w:val="000000"/>
          <w:kern w:val="0"/>
          <w:szCs w:val="32"/>
        </w:rPr>
      </w:pPr>
      <w:r>
        <w:rPr>
          <w:rFonts w:hint="eastAsia" w:ascii="黑体" w:hAnsi="黑体" w:eastAsia="黑体"/>
          <w:color w:val="000000"/>
          <w:kern w:val="0"/>
          <w:szCs w:val="32"/>
          <w:lang w:eastAsia="zh-CN"/>
        </w:rPr>
        <w:drawing>
          <wp:inline distT="0" distB="0" distL="114300" distR="114300">
            <wp:extent cx="6186170" cy="3876040"/>
            <wp:effectExtent l="0" t="0" r="5080" b="10160"/>
            <wp:docPr id="6" name="图片 6" descr="1603874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3874930(1)"/>
                    <pic:cNvPicPr>
                      <a:picLocks noChangeAspect="1"/>
                    </pic:cNvPicPr>
                  </pic:nvPicPr>
                  <pic:blipFill>
                    <a:blip r:embed="rId9"/>
                    <a:stretch>
                      <a:fillRect/>
                    </a:stretch>
                  </pic:blipFill>
                  <pic:spPr>
                    <a:xfrm>
                      <a:off x="0" y="0"/>
                      <a:ext cx="6186170" cy="3876040"/>
                    </a:xfrm>
                    <a:prstGeom prst="rect">
                      <a:avLst/>
                    </a:prstGeom>
                  </pic:spPr>
                </pic:pic>
              </a:graphicData>
            </a:graphic>
          </wp:inline>
        </w:drawing>
      </w:r>
      <w:r>
        <w:rPr>
          <w:rFonts w:hint="eastAsia" w:ascii="仿宋_GB2312" w:hAnsi="仿宋_GB2312" w:eastAsia="仿宋_GB2312" w:cs="仿宋_GB2312"/>
          <w:szCs w:val="32"/>
        </w:rPr>
        <w:t>本单位2019年无运行经费</w:t>
      </w:r>
      <w:r>
        <w:rPr>
          <w:rFonts w:hint="eastAsia" w:ascii="楷体_GB2312" w:hAnsi="宋体" w:eastAsia="楷体_GB2312" w:cs="楷体_GB2312"/>
          <w:b/>
          <w:color w:val="000000"/>
          <w:kern w:val="0"/>
          <w:szCs w:val="32"/>
        </w:rPr>
        <w:t>（二）政府采购支出情况说明。</w:t>
      </w:r>
    </w:p>
    <w:p>
      <w:pPr>
        <w:spacing w:line="560" w:lineRule="exact"/>
        <w:ind w:firstLine="640"/>
        <w:rPr>
          <w:rFonts w:ascii="仿宋_GB2312" w:hAnsi="仿宋_GB2312" w:eastAsia="仿宋_GB2312" w:cs="仿宋_GB2312"/>
          <w:szCs w:val="32"/>
        </w:rPr>
      </w:pPr>
      <w:r>
        <w:rPr>
          <w:rFonts w:ascii="仿宋_GB2312" w:hAnsi="仿宋_GB2312" w:eastAsia="仿宋_GB2312" w:cs="仿宋_GB2312"/>
          <w:szCs w:val="32"/>
        </w:rPr>
        <w:t>本单位</w:t>
      </w:r>
      <w:r>
        <w:rPr>
          <w:rFonts w:hint="eastAsia" w:ascii="仿宋_GB2312" w:hAnsi="仿宋_GB2312" w:eastAsia="仿宋_GB2312" w:cs="仿宋_GB2312"/>
          <w:szCs w:val="32"/>
        </w:rPr>
        <w:t>2019年度无政府采购支出</w:t>
      </w:r>
    </w:p>
    <w:p>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截至</w:t>
      </w:r>
      <w:r>
        <w:rPr>
          <w:rFonts w:hint="eastAsia" w:ascii="黑体" w:hAnsi="黑体" w:eastAsia="黑体"/>
          <w:color w:val="000000"/>
          <w:kern w:val="0"/>
          <w:szCs w:val="32"/>
          <w:lang w:eastAsia="zh-CN"/>
        </w:rPr>
        <w:drawing>
          <wp:inline distT="0" distB="0" distL="114300" distR="114300">
            <wp:extent cx="5274310" cy="3304540"/>
            <wp:effectExtent l="0" t="0" r="2540" b="10160"/>
            <wp:docPr id="7" name="图片 7" descr="16038749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03874930(1)"/>
                    <pic:cNvPicPr>
                      <a:picLocks noChangeAspect="1"/>
                    </pic:cNvPicPr>
                  </pic:nvPicPr>
                  <pic:blipFill>
                    <a:blip r:embed="rId9"/>
                    <a:stretch>
                      <a:fillRect/>
                    </a:stretch>
                  </pic:blipFill>
                  <pic:spPr>
                    <a:xfrm>
                      <a:off x="0" y="0"/>
                      <a:ext cx="5274310" cy="3304540"/>
                    </a:xfrm>
                    <a:prstGeom prst="rect">
                      <a:avLst/>
                    </a:prstGeom>
                  </pic:spPr>
                </pic:pic>
              </a:graphicData>
            </a:graphic>
          </wp:inline>
        </w:drawing>
      </w:r>
      <w:r>
        <w:rPr>
          <w:rFonts w:hint="eastAsia" w:ascii="仿宋_GB2312" w:hAnsi="仿宋_GB2312" w:eastAsia="仿宋_GB2312" w:cs="仿宋_GB2312"/>
          <w:szCs w:val="32"/>
        </w:rPr>
        <w:t>2019年末，本单位共有车辆0辆；单价50万元以上的通用设备0台（套）；单价100万元以上的专用设备0台（套）。201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pPr>
        <w:spacing w:line="560" w:lineRule="exact"/>
        <w:ind w:firstLine="640"/>
        <w:rPr>
          <w:rFonts w:ascii="仿宋_GB2312" w:hAnsi="仿宋_GB2312" w:eastAsia="仿宋_GB2312" w:cs="仿宋_GB2312"/>
          <w:szCs w:val="32"/>
        </w:rPr>
      </w:pPr>
    </w:p>
    <w:p>
      <w:pPr>
        <w:numPr>
          <w:ilvl w:val="0"/>
          <w:numId w:val="3"/>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rPr>
          <w:rFonts w:ascii="黑体" w:hAnsi="宋体" w:eastAsia="黑体"/>
          <w:color w:val="000000"/>
          <w:kern w:val="0"/>
          <w:sz w:val="44"/>
          <w:szCs w:val="44"/>
        </w:rPr>
      </w:pP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文字说明。专业名词解释可由部门根据业务内容等自行选择。</w:t>
      </w:r>
    </w:p>
    <w:p>
      <w:pPr>
        <w:widowControl/>
        <w:spacing w:line="560" w:lineRule="exact"/>
        <w:ind w:firstLine="640" w:firstLineChars="200"/>
        <w:jc w:val="left"/>
        <w:rPr>
          <w:rFonts w:ascii="仿宋_GB2312" w:hAnsi="仿宋_GB2312" w:eastAsia="仿宋_GB2312" w:cs="仿宋_GB2312"/>
          <w:szCs w:val="32"/>
        </w:rPr>
      </w:pPr>
      <w:r>
        <w:rPr>
          <w:rFonts w:hint="eastAsia" w:ascii="仿宋_GB2312" w:hAnsi="仿宋_GB2312" w:eastAsia="仿宋_GB2312" w:cs="仿宋_GB2312"/>
          <w:szCs w:val="32"/>
        </w:rPr>
        <w:t>示例：</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jc w:val="left"/>
        <w:rPr>
          <w:rFonts w:ascii="楷体" w:hAnsi="楷体" w:eastAsia="楷体" w:cs="楷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abstractNum w:abstractNumId="2">
    <w:nsid w:val="4E290741"/>
    <w:multiLevelType w:val="singleLevel"/>
    <w:tmpl w:val="4E290741"/>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0E506C4"/>
    <w:rsid w:val="00030092"/>
    <w:rsid w:val="00063D69"/>
    <w:rsid w:val="000674B2"/>
    <w:rsid w:val="00070E8D"/>
    <w:rsid w:val="000B5CC3"/>
    <w:rsid w:val="000D3D0F"/>
    <w:rsid w:val="000E46F6"/>
    <w:rsid w:val="00111849"/>
    <w:rsid w:val="001A0550"/>
    <w:rsid w:val="001A5AC1"/>
    <w:rsid w:val="001B6587"/>
    <w:rsid w:val="001F6EE2"/>
    <w:rsid w:val="002E5CA0"/>
    <w:rsid w:val="003A6A92"/>
    <w:rsid w:val="00404660"/>
    <w:rsid w:val="00437A88"/>
    <w:rsid w:val="00497E6F"/>
    <w:rsid w:val="00555796"/>
    <w:rsid w:val="00573C6E"/>
    <w:rsid w:val="00613964"/>
    <w:rsid w:val="00615B65"/>
    <w:rsid w:val="00662154"/>
    <w:rsid w:val="006F1A3A"/>
    <w:rsid w:val="00774D95"/>
    <w:rsid w:val="00825743"/>
    <w:rsid w:val="008A061D"/>
    <w:rsid w:val="00966268"/>
    <w:rsid w:val="009E0D9A"/>
    <w:rsid w:val="00A03E23"/>
    <w:rsid w:val="00A517D2"/>
    <w:rsid w:val="00A73EAB"/>
    <w:rsid w:val="00AD705E"/>
    <w:rsid w:val="00BC1BF3"/>
    <w:rsid w:val="00C62812"/>
    <w:rsid w:val="00C64309"/>
    <w:rsid w:val="00C96EB9"/>
    <w:rsid w:val="00CA39EB"/>
    <w:rsid w:val="00D27676"/>
    <w:rsid w:val="00EB71B9"/>
    <w:rsid w:val="00F45753"/>
    <w:rsid w:val="00FB5F3D"/>
    <w:rsid w:val="00FE2D1F"/>
    <w:rsid w:val="010E3361"/>
    <w:rsid w:val="068B7849"/>
    <w:rsid w:val="086C1E64"/>
    <w:rsid w:val="09F56D6B"/>
    <w:rsid w:val="0D7D36EF"/>
    <w:rsid w:val="15916C1F"/>
    <w:rsid w:val="18634A0D"/>
    <w:rsid w:val="1AF22409"/>
    <w:rsid w:val="1D8B0C78"/>
    <w:rsid w:val="20B96E79"/>
    <w:rsid w:val="20E506C4"/>
    <w:rsid w:val="2256467C"/>
    <w:rsid w:val="256264C3"/>
    <w:rsid w:val="2660352B"/>
    <w:rsid w:val="271C4A47"/>
    <w:rsid w:val="287C13F1"/>
    <w:rsid w:val="28FB2AB2"/>
    <w:rsid w:val="2B9455D0"/>
    <w:rsid w:val="2E0C37F5"/>
    <w:rsid w:val="30DF4759"/>
    <w:rsid w:val="350A5D93"/>
    <w:rsid w:val="3669223E"/>
    <w:rsid w:val="366C12FC"/>
    <w:rsid w:val="3BFC6DCC"/>
    <w:rsid w:val="3C7A6DAB"/>
    <w:rsid w:val="3D904069"/>
    <w:rsid w:val="3F511B24"/>
    <w:rsid w:val="3FCA23EC"/>
    <w:rsid w:val="41455C24"/>
    <w:rsid w:val="41942E54"/>
    <w:rsid w:val="424D60E4"/>
    <w:rsid w:val="42FA4769"/>
    <w:rsid w:val="43BC1030"/>
    <w:rsid w:val="47964FBE"/>
    <w:rsid w:val="4A1752A2"/>
    <w:rsid w:val="4B18398F"/>
    <w:rsid w:val="4F7320CD"/>
    <w:rsid w:val="50C46A00"/>
    <w:rsid w:val="52AC7AB3"/>
    <w:rsid w:val="54207C4C"/>
    <w:rsid w:val="544D3043"/>
    <w:rsid w:val="596D661C"/>
    <w:rsid w:val="5EEF432D"/>
    <w:rsid w:val="5F5027A5"/>
    <w:rsid w:val="65706DA4"/>
    <w:rsid w:val="69A157A9"/>
    <w:rsid w:val="6B3B79EC"/>
    <w:rsid w:val="6EAC6681"/>
    <w:rsid w:val="6F094735"/>
    <w:rsid w:val="71840673"/>
    <w:rsid w:val="73431FE5"/>
    <w:rsid w:val="773F08B9"/>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qFormat/>
    <w:uiPriority w:val="0"/>
    <w:rPr>
      <w:rFonts w:hint="eastAsia" w:ascii="宋体" w:hAnsi="宋体" w:eastAsia="宋体" w:cs="宋体"/>
      <w:color w:val="000000"/>
      <w:sz w:val="24"/>
      <w:szCs w:val="24"/>
      <w:u w:val="none"/>
    </w:rPr>
  </w:style>
  <w:style w:type="character" w:customStyle="1" w:styleId="18">
    <w:name w:val="批注框文本 Char"/>
    <w:basedOn w:val="9"/>
    <w:link w:val="3"/>
    <w:qFormat/>
    <w:uiPriority w:val="0"/>
    <w:rPr>
      <w:rFonts w:ascii="Calibri" w:hAnsi="Calibri" w:eastAsia="方正仿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708946322067594"/>
          <c:y val="0.176595744680851"/>
          <c:w val="0.885367793240557"/>
          <c:h val="0.598439716312057"/>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delete val="1"/>
          </c:dLbls>
          <c:cat>
            <c:strRef>
              <c:f>Sheet1!$A$2:$A$4</c:f>
              <c:strCache>
                <c:ptCount val="3"/>
                <c:pt idx="0">
                  <c:v>实有人数</c:v>
                </c:pt>
                <c:pt idx="1">
                  <c:v>事业编制</c:v>
                </c:pt>
                <c:pt idx="2">
                  <c:v>离退休人数</c:v>
                </c:pt>
              </c:strCache>
            </c:strRef>
          </c:cat>
          <c:val>
            <c:numRef>
              <c:f>Sheet1!$B$2:$B$4</c:f>
              <c:numCache>
                <c:formatCode>General</c:formatCode>
                <c:ptCount val="3"/>
                <c:pt idx="0">
                  <c:v>5</c:v>
                </c:pt>
                <c:pt idx="1">
                  <c:v>5</c:v>
                </c:pt>
                <c:pt idx="2">
                  <c:v>0</c:v>
                </c:pt>
              </c:numCache>
            </c:numRef>
          </c:val>
        </c:ser>
        <c:ser>
          <c:idx val="1"/>
          <c:order val="1"/>
          <c:tx>
            <c:strRef>
              <c:f>Sheet1!$C$1</c:f>
              <c:strCache>
                <c:ptCount val="1"/>
                <c:pt idx="0">
                  <c:v>2019</c:v>
                </c:pt>
              </c:strCache>
            </c:strRef>
          </c:tx>
          <c:spPr>
            <a:solidFill>
              <a:schemeClr val="accent2"/>
            </a:solidFill>
            <a:ln>
              <a:noFill/>
            </a:ln>
            <a:effectLst/>
          </c:spPr>
          <c:invertIfNegative val="0"/>
          <c:dLbls>
            <c:delete val="1"/>
          </c:dLbls>
          <c:cat>
            <c:strRef>
              <c:f>Sheet1!$A$2:$A$4</c:f>
              <c:strCache>
                <c:ptCount val="3"/>
                <c:pt idx="0">
                  <c:v>实有人数</c:v>
                </c:pt>
                <c:pt idx="1">
                  <c:v>事业编制</c:v>
                </c:pt>
                <c:pt idx="2">
                  <c:v>离退休人数</c:v>
                </c:pt>
              </c:strCache>
            </c:strRef>
          </c:cat>
          <c:val>
            <c:numRef>
              <c:f>Sheet1!$C$2:$C$4</c:f>
              <c:numCache>
                <c:formatCode>General</c:formatCode>
                <c:ptCount val="3"/>
                <c:pt idx="0">
                  <c:v>5</c:v>
                </c:pt>
                <c:pt idx="1">
                  <c:v>5</c:v>
                </c:pt>
                <c:pt idx="2">
                  <c:v>0</c:v>
                </c:pt>
              </c:numCache>
            </c:numRef>
          </c:val>
        </c:ser>
        <c:dLbls>
          <c:showLegendKey val="0"/>
          <c:showVal val="0"/>
          <c:showCatName val="0"/>
          <c:showSerName val="0"/>
          <c:showPercent val="0"/>
          <c:showBubbleSize val="0"/>
        </c:dLbls>
        <c:gapWidth val="219"/>
        <c:overlap val="-27"/>
        <c:axId val="125186432"/>
        <c:axId val="143602816"/>
      </c:barChart>
      <c:catAx>
        <c:axId val="1251864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3602816"/>
        <c:crosses val="autoZero"/>
        <c:auto val="1"/>
        <c:lblAlgn val="ctr"/>
        <c:lblOffset val="100"/>
        <c:noMultiLvlLbl val="0"/>
      </c:catAx>
      <c:valAx>
        <c:axId val="1436028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186432"/>
        <c:crosses val="autoZero"/>
        <c:crossBetween val="between"/>
      </c:valAx>
      <c:spPr>
        <a:noFill/>
        <a:ln>
          <a:noFill/>
        </a:ln>
        <a:effectLst/>
      </c:spPr>
    </c:plotArea>
    <c:legend>
      <c:legendPos val="b"/>
      <c:layout>
        <c:manualLayout>
          <c:xMode val="edge"/>
          <c:yMode val="edge"/>
          <c:x val="0.333797216699801"/>
          <c:y val="0.913711583924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对比图</a:t>
            </a:r>
          </a:p>
        </c:rich>
      </c:tx>
      <c:layout>
        <c:manualLayout>
          <c:xMode val="edge"/>
          <c:yMode val="edge"/>
          <c:x val="0.386051373954602"/>
          <c:y val="0.025"/>
        </c:manualLayout>
      </c:layout>
      <c:overlay val="0"/>
      <c:spPr>
        <a:noFill/>
        <a:ln>
          <a:noFill/>
        </a:ln>
        <a:effectLst/>
      </c:spPr>
    </c:title>
    <c:autoTitleDeleted val="0"/>
    <c:plotArea>
      <c:layout>
        <c:manualLayout>
          <c:layoutTarget val="inner"/>
          <c:xMode val="edge"/>
          <c:yMode val="edge"/>
          <c:x val="0.0612305854241338"/>
          <c:y val="0.278125"/>
          <c:w val="0.934289127837514"/>
          <c:h val="0.644958333333335"/>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收入总额</c:v>
                </c:pt>
                <c:pt idx="1">
                  <c:v>支出总额</c:v>
                </c:pt>
              </c:strCache>
            </c:strRef>
          </c:cat>
          <c:val>
            <c:numRef>
              <c:f>Sheet1!$B$2:$B$3</c:f>
              <c:numCache>
                <c:formatCode>General</c:formatCode>
                <c:ptCount val="2"/>
                <c:pt idx="0">
                  <c:v>74.67</c:v>
                </c:pt>
                <c:pt idx="1">
                  <c:v>74.67</c:v>
                </c:pt>
              </c:numCache>
            </c:numRef>
          </c:val>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收入总额</c:v>
                </c:pt>
                <c:pt idx="1">
                  <c:v>支出总额</c:v>
                </c:pt>
              </c:strCache>
            </c:strRef>
          </c:cat>
          <c:val>
            <c:numRef>
              <c:f>Sheet1!$C$2:$C$3</c:f>
              <c:numCache>
                <c:formatCode>General</c:formatCode>
                <c:ptCount val="2"/>
                <c:pt idx="0">
                  <c:v>85.59</c:v>
                </c:pt>
                <c:pt idx="1">
                  <c:v>85.59</c:v>
                </c:pt>
              </c:numCache>
            </c:numRef>
          </c:val>
        </c:ser>
        <c:dLbls>
          <c:showLegendKey val="0"/>
          <c:showVal val="1"/>
          <c:showCatName val="0"/>
          <c:showSerName val="0"/>
          <c:showPercent val="0"/>
          <c:showBubbleSize val="0"/>
        </c:dLbls>
        <c:gapWidth val="444"/>
        <c:overlap val="-90"/>
        <c:axId val="143768192"/>
        <c:axId val="60912000"/>
      </c:barChart>
      <c:catAx>
        <c:axId val="143768192"/>
        <c:scaling>
          <c:orientation val="minMax"/>
        </c:scaling>
        <c:delete val="0"/>
        <c:axPos val="b"/>
        <c:majorGridlines>
          <c:spPr>
            <a:ln w="9525" cap="flat" cmpd="sng" algn="ctr">
              <a:solidFill>
                <a:schemeClr val="tx1">
                  <a:lumMod val="15000"/>
                  <a:lumOff val="85000"/>
                </a:schemeClr>
              </a:solidFill>
              <a:prstDash val="solid"/>
              <a:round/>
            </a:ln>
            <a:effectLst/>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60912000"/>
        <c:crosses val="autoZero"/>
        <c:auto val="1"/>
        <c:lblAlgn val="ctr"/>
        <c:lblOffset val="100"/>
        <c:noMultiLvlLbl val="0"/>
      </c:catAx>
      <c:valAx>
        <c:axId val="60912000"/>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3768192"/>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对比图</a:t>
            </a:r>
          </a:p>
        </c:rich>
      </c:tx>
      <c:layout>
        <c:manualLayout>
          <c:xMode val="edge"/>
          <c:yMode val="edge"/>
          <c:x val="0.405129251530363"/>
          <c:y val="0.030398163792279"/>
        </c:manualLayout>
      </c:layout>
      <c:overlay val="0"/>
      <c:spPr>
        <a:noFill/>
        <a:ln>
          <a:noFill/>
        </a:ln>
        <a:effectLst/>
      </c:spPr>
    </c:title>
    <c:autoTitleDeleted val="0"/>
    <c:plotArea>
      <c:layout>
        <c:manualLayout>
          <c:layoutTarget val="inner"/>
          <c:xMode val="edge"/>
          <c:yMode val="edge"/>
          <c:x val="0.00488599348534202"/>
          <c:y val="0.24306579939668"/>
          <c:w val="0.934289127837513"/>
          <c:h val="0.644958333333335"/>
        </c:manualLayout>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收入总额</c:v>
                </c:pt>
              </c:strCache>
            </c:strRef>
          </c:cat>
          <c:val>
            <c:numRef>
              <c:f>Sheet1!$B$2</c:f>
              <c:numCache>
                <c:formatCode>General</c:formatCode>
                <c:ptCount val="1"/>
                <c:pt idx="0">
                  <c:v>74.67</c:v>
                </c:pt>
              </c:numCache>
            </c:numRef>
          </c:val>
        </c:ser>
        <c:ser>
          <c:idx val="1"/>
          <c:order val="1"/>
          <c:tx>
            <c:strRef>
              <c:f>Sheet1!$C$1</c:f>
              <c:strCache>
                <c:ptCount val="1"/>
                <c:pt idx="0">
                  <c:v>2019</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收入总额</c:v>
                </c:pt>
              </c:strCache>
            </c:strRef>
          </c:cat>
          <c:val>
            <c:numRef>
              <c:f>Sheet1!$C$2</c:f>
              <c:numCache>
                <c:formatCode>General</c:formatCode>
                <c:ptCount val="1"/>
                <c:pt idx="0">
                  <c:v>85.59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收入总额</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444"/>
        <c:overlap val="-90"/>
        <c:axId val="143596544"/>
        <c:axId val="143651584"/>
      </c:barChart>
      <c:catAx>
        <c:axId val="143596544"/>
        <c:scaling>
          <c:orientation val="minMax"/>
        </c:scaling>
        <c:delete val="0"/>
        <c:axPos val="b"/>
        <c:majorGridlines>
          <c:spPr>
            <a:ln w="9525" cap="flat" cmpd="sng" algn="ctr">
              <a:solidFill>
                <a:schemeClr val="tx1">
                  <a:lumMod val="15000"/>
                  <a:lumOff val="85000"/>
                </a:schemeClr>
              </a:solidFill>
              <a:prstDash val="solid"/>
              <a:round/>
            </a:ln>
            <a:effectLst/>
          </c:spPr>
        </c:majorGridlines>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43651584"/>
        <c:crosses val="autoZero"/>
        <c:auto val="1"/>
        <c:lblAlgn val="ctr"/>
        <c:lblOffset val="100"/>
        <c:noMultiLvlLbl val="0"/>
      </c:catAx>
      <c:valAx>
        <c:axId val="143651584"/>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3596544"/>
        <c:crosses val="autoZero"/>
        <c:crossBetween val="between"/>
      </c:valAx>
      <c:spPr>
        <a:noFill/>
        <a:ln>
          <a:noFill/>
        </a:ln>
        <a:effectLst/>
      </c:spPr>
    </c:plotArea>
    <c:legend>
      <c:legendPos val="t"/>
      <c:legendEntry>
        <c:idx val="2"/>
        <c:delete val="1"/>
      </c:legendEntry>
      <c:layout>
        <c:manualLayout>
          <c:xMode val="edge"/>
          <c:yMode val="edge"/>
          <c:x val="0.558876221498371"/>
          <c:y val="0.2096530920060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868300-A8EF-467D-A0D4-2DF0E46ECA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1347</Words>
  <Characters>7678</Characters>
  <Lines>63</Lines>
  <Paragraphs>18</Paragraphs>
  <TotalTime>1</TotalTime>
  <ScaleCrop>false</ScaleCrop>
  <LinksUpToDate>false</LinksUpToDate>
  <CharactersWithSpaces>9007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2020-10-28T07:53:00Z</cp:lastPrinted>
  <dcterms:modified xsi:type="dcterms:W3CDTF">2020-10-28T08:50:06Z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