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宋体"/>
          <w:b/>
          <w:bCs/>
          <w:sz w:val="44"/>
          <w:szCs w:val="44"/>
        </w:rPr>
      </w:pPr>
    </w:p>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西安市阎良区医疗卫生信息化管理中心</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bookmarkStart w:id="0" w:name="_GoBack"/>
      <w:bookmarkEnd w:id="0"/>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lang w:val="en-US" w:eastAsia="zh-CN"/>
        </w:rPr>
      </w:pPr>
      <w:r>
        <w:rPr>
          <w:rFonts w:hint="eastAsia" w:ascii="宋体" w:hAnsi="宋体" w:eastAsia="宋体" w:cs="宋体"/>
          <w:b/>
          <w:bCs/>
          <w:szCs w:val="32"/>
        </w:rPr>
        <w:t>保密审查情况：</w:t>
      </w:r>
      <w:r>
        <w:rPr>
          <w:rFonts w:hint="eastAsia" w:ascii="宋体" w:hAnsi="宋体" w:eastAsia="宋体" w:cs="宋体"/>
          <w:b/>
          <w:bCs/>
          <w:szCs w:val="32"/>
          <w:lang w:eastAsia="zh-CN"/>
        </w:rPr>
        <w:t>可以公开</w:t>
      </w:r>
    </w:p>
    <w:p>
      <w:pPr>
        <w:spacing w:line="400" w:lineRule="exact"/>
        <w:jc w:val="center"/>
        <w:rPr>
          <w:rFonts w:ascii="宋体" w:hAnsi="宋体" w:eastAsia="宋体" w:cs="宋体"/>
          <w:b/>
          <w:bCs/>
          <w:szCs w:val="32"/>
        </w:rPr>
      </w:pPr>
    </w:p>
    <w:p>
      <w:pPr>
        <w:spacing w:line="400" w:lineRule="exact"/>
        <w:ind w:firstLine="2088" w:firstLineChars="650"/>
        <w:rPr>
          <w:rFonts w:hint="eastAsia" w:ascii="宋体" w:eastAsia="宋体" w:cs="宋体"/>
          <w:b/>
          <w:bCs/>
          <w:szCs w:val="32"/>
          <w:lang w:eastAsia="zh-CN"/>
        </w:rPr>
      </w:pPr>
      <w:r>
        <w:rPr>
          <w:rFonts w:hint="eastAsia" w:ascii="宋体" w:hAnsi="宋体" w:eastAsia="宋体" w:cs="宋体"/>
          <w:b/>
          <w:bCs/>
          <w:szCs w:val="32"/>
        </w:rPr>
        <w:t>部门主要负责人审签情况：</w:t>
      </w:r>
      <w:r>
        <w:rPr>
          <w:rFonts w:hint="eastAsia" w:ascii="宋体" w:hAnsi="宋体" w:eastAsia="宋体" w:cs="宋体"/>
          <w:b/>
          <w:bCs/>
          <w:szCs w:val="32"/>
          <w:lang w:eastAsia="zh-CN"/>
        </w:rPr>
        <w:t>杨锋</w:t>
      </w:r>
    </w:p>
    <w:p>
      <w:pPr>
        <w:jc w:val="center"/>
        <w:rPr>
          <w:rFonts w:ascii="黑体" w:hAnsi="宋体" w:eastAsia="黑体"/>
          <w:b/>
          <w:color w:val="000000"/>
          <w:kern w:val="0"/>
          <w:sz w:val="56"/>
          <w:szCs w:val="5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西安市阎良区医疗卫生信息化管理中心</w:t>
      </w:r>
    </w:p>
    <w:p>
      <w:pPr>
        <w:spacing w:line="560" w:lineRule="exact"/>
        <w:ind w:firstLine="723" w:firstLineChars="200"/>
        <w:jc w:val="center"/>
        <w:rPr>
          <w:rFonts w:ascii="宋体" w:hAnsi="宋体" w:eastAsia="宋体"/>
          <w:b/>
          <w:color w:val="000000"/>
          <w:kern w:val="0"/>
          <w:sz w:val="36"/>
          <w:szCs w:val="36"/>
        </w:rPr>
      </w:pPr>
      <w:r>
        <w:rPr>
          <w:rFonts w:ascii="宋体" w:hAnsi="宋体" w:eastAsia="宋体" w:cs="宋体"/>
          <w:b/>
          <w:color w:val="000000"/>
          <w:kern w:val="0"/>
          <w:sz w:val="36"/>
          <w:szCs w:val="36"/>
        </w:rPr>
        <w:t>2019</w:t>
      </w:r>
      <w:r>
        <w:rPr>
          <w:rFonts w:hint="eastAsia" w:ascii="宋体" w:hAnsi="宋体" w:eastAsia="宋体" w:cs="宋体"/>
          <w:b/>
          <w:color w:val="000000"/>
          <w:kern w:val="0"/>
          <w:sz w:val="36"/>
          <w:szCs w:val="36"/>
        </w:rPr>
        <w:t>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snapToGrid w:val="0"/>
        <w:spacing w:line="588" w:lineRule="exact"/>
        <w:ind w:firstLine="640" w:firstLineChars="200"/>
        <w:rPr>
          <w:rFonts w:hint="eastAsia" w:ascii="仿宋_GB2312" w:hAnsi="仿宋" w:eastAsia="仿宋_GB2312"/>
          <w:sz w:val="32"/>
          <w:szCs w:val="32"/>
        </w:rPr>
      </w:pPr>
      <w:r>
        <w:rPr>
          <w:rFonts w:hint="eastAsia" w:ascii="仿宋_GB2312" w:eastAsia="仿宋_GB2312"/>
          <w:sz w:val="32"/>
          <w:szCs w:val="32"/>
        </w:rPr>
        <w:t>贯彻执行国家、省市医疗卫生信息化工作的方针、政策和规划标准；负责全区医疗卫生信息网络系统的建设组织协调、监督管理以及日常维护工作；负责卫生信息数据库的规划、建立和管理，向医疗机构和患者提供信息咨询服务；负责对辖区公共卫生管理、医疗管理、医疗保障等信息指导、统计分析和质量评估。</w:t>
      </w:r>
    </w:p>
    <w:p>
      <w:pPr>
        <w:widowControl/>
        <w:spacing w:line="560" w:lineRule="exact"/>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autoSpaceDE w:val="0"/>
        <w:autoSpaceDN w:val="0"/>
        <w:spacing w:line="520" w:lineRule="exact"/>
        <w:ind w:firstLine="562"/>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lang w:val="zh-CN"/>
        </w:rPr>
        <w:t>本部门共有机构数</w:t>
      </w:r>
      <w:r>
        <w:rPr>
          <w:rFonts w:hint="eastAsia" w:ascii="仿宋_GB2312" w:hAnsi="仿宋_GB2312" w:eastAsia="仿宋_GB2312" w:cs="仿宋_GB2312"/>
          <w:bCs/>
          <w:szCs w:val="32"/>
        </w:rPr>
        <w:t>1</w:t>
      </w:r>
      <w:r>
        <w:rPr>
          <w:rFonts w:hint="eastAsia" w:ascii="仿宋_GB2312" w:hAnsi="仿宋_GB2312" w:eastAsia="仿宋_GB2312" w:cs="仿宋_GB2312"/>
          <w:bCs/>
          <w:kern w:val="0"/>
          <w:szCs w:val="32"/>
          <w:lang w:val="zh-CN"/>
        </w:rPr>
        <w:t>个，属于全额预算单位。</w:t>
      </w:r>
    </w:p>
    <w:p>
      <w:pPr>
        <w:widowControl/>
        <w:spacing w:line="560" w:lineRule="exact"/>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both"/>
              <w:rPr>
                <w:rFonts w:ascii="仿宋_GB2312" w:hAnsi="仿宋_GB2312" w:eastAsia="仿宋_GB2312" w:cs="仿宋_GB2312"/>
                <w:szCs w:val="32"/>
              </w:rPr>
            </w:pPr>
            <w:r>
              <w:rPr>
                <w:rFonts w:hint="eastAsia" w:ascii="华文中宋" w:hAnsi="华文中宋" w:eastAsia="华文中宋"/>
                <w:b/>
                <w:bCs/>
                <w:sz w:val="36"/>
                <w:szCs w:val="36"/>
                <w:lang w:eastAsia="zh-CN"/>
              </w:rPr>
              <w:t>西安市阎良区医疗卫生信息化管理中心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hint="eastAsia" w:ascii="黑体" w:hAnsi="黑体" w:eastAsia="黑体"/>
          <w:b/>
          <w:bCs/>
          <w:szCs w:val="32"/>
        </w:rPr>
      </w:pPr>
    </w:p>
    <w:p>
      <w:pPr>
        <w:ind w:firstLine="640"/>
        <w:rPr>
          <w:rFonts w:hint="eastAsia"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w:t>
      </w:r>
      <w:r>
        <w:rPr>
          <w:rFonts w:hint="eastAsia" w:ascii="仿宋_GB2312" w:hAnsi="仿宋" w:eastAsia="仿宋_GB2312"/>
          <w:sz w:val="32"/>
          <w:szCs w:val="32"/>
        </w:rPr>
        <w:t>我</w:t>
      </w:r>
      <w:r>
        <w:rPr>
          <w:rFonts w:hint="eastAsia" w:ascii="仿宋_GB2312" w:hAnsi="仿宋" w:eastAsia="仿宋_GB2312"/>
          <w:sz w:val="32"/>
          <w:szCs w:val="32"/>
          <w:lang w:eastAsia="zh-CN"/>
        </w:rPr>
        <w:t>中心是事业</w:t>
      </w:r>
      <w:r>
        <w:rPr>
          <w:rFonts w:hint="eastAsia" w:ascii="仿宋_GB2312" w:hAnsi="仿宋" w:eastAsia="仿宋_GB2312"/>
          <w:sz w:val="32"/>
          <w:szCs w:val="32"/>
        </w:rPr>
        <w:t>单位，编制</w:t>
      </w:r>
      <w:r>
        <w:rPr>
          <w:rFonts w:hint="eastAsia" w:ascii="仿宋_GB2312" w:hAnsi="仿宋" w:eastAsia="仿宋_GB2312"/>
          <w:sz w:val="32"/>
          <w:szCs w:val="32"/>
          <w:lang w:val="en-US" w:eastAsia="zh-CN"/>
        </w:rPr>
        <w:t>6</w:t>
      </w:r>
      <w:r>
        <w:rPr>
          <w:rFonts w:hint="eastAsia" w:ascii="仿宋_GB2312" w:hAnsi="仿宋" w:eastAsia="仿宋_GB2312"/>
          <w:sz w:val="32"/>
          <w:szCs w:val="32"/>
        </w:rPr>
        <w:t>人，</w:t>
      </w:r>
      <w:r>
        <w:rPr>
          <w:rFonts w:hint="eastAsia" w:ascii="仿宋_GB2312" w:hAnsi="仿宋" w:eastAsia="仿宋_GB2312"/>
          <w:sz w:val="32"/>
          <w:szCs w:val="32"/>
          <w:lang w:eastAsia="zh-CN"/>
        </w:rPr>
        <w:t>年初</w:t>
      </w:r>
      <w:r>
        <w:rPr>
          <w:rFonts w:hint="eastAsia" w:ascii="仿宋_GB2312" w:hAnsi="仿宋" w:eastAsia="仿宋_GB2312"/>
          <w:sz w:val="32"/>
          <w:szCs w:val="32"/>
          <w:lang w:val="en-US" w:eastAsia="zh-CN"/>
        </w:rPr>
        <w:t>5人，</w:t>
      </w:r>
      <w:r>
        <w:rPr>
          <w:rFonts w:hint="eastAsia" w:ascii="仿宋_GB2312" w:hAnsi="仿宋" w:eastAsia="仿宋_GB2312"/>
          <w:sz w:val="32"/>
          <w:szCs w:val="32"/>
        </w:rPr>
        <w:t>年末在编在职</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w:t>
      </w:r>
      <w:r>
        <w:rPr>
          <w:rFonts w:hint="eastAsia" w:ascii="黑体" w:hAnsi="宋体" w:eastAsia="黑体"/>
          <w:color w:val="000000"/>
          <w:kern w:val="0"/>
          <w:sz w:val="44"/>
          <w:szCs w:val="44"/>
          <w:lang w:eastAsia="zh-CN"/>
        </w:rPr>
        <w:t>人</w:t>
      </w:r>
      <w:r>
        <w:rPr>
          <w:rFonts w:hint="eastAsia" w:ascii="黑体" w:hAnsi="宋体" w:eastAsia="黑体"/>
          <w:color w:val="000000"/>
          <w:kern w:val="0"/>
          <w:sz w:val="44"/>
          <w:szCs w:val="44"/>
        </w:rPr>
        <w:t>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043"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209"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本部门无政府性基金预算财政拨款</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100.82</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2" w:type="dxa"/>
        <w:tblInd w:w="15" w:type="dxa"/>
        <w:tblLayout w:type="fixed"/>
        <w:tblCellMar>
          <w:top w:w="15" w:type="dxa"/>
          <w:left w:w="15" w:type="dxa"/>
          <w:bottom w:w="15" w:type="dxa"/>
          <w:right w:w="15" w:type="dxa"/>
        </w:tblCellMar>
      </w:tblPr>
      <w:tblGrid>
        <w:gridCol w:w="823"/>
        <w:gridCol w:w="1337"/>
        <w:gridCol w:w="720"/>
        <w:gridCol w:w="720"/>
        <w:gridCol w:w="900"/>
        <w:gridCol w:w="900"/>
        <w:gridCol w:w="720"/>
        <w:gridCol w:w="932"/>
        <w:gridCol w:w="990"/>
        <w:gridCol w:w="810"/>
      </w:tblGrid>
      <w:tr>
        <w:tblPrEx>
          <w:tblCellMar>
            <w:top w:w="15" w:type="dxa"/>
            <w:left w:w="15" w:type="dxa"/>
            <w:bottom w:w="15" w:type="dxa"/>
            <w:right w:w="15"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82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3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106.55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社会保障和就业支出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行政事业单位离退休</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机关事业单位基本养老保险缴费支出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2080506</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机关事业单位职业年金缴费支出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卫生健康支出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100.82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100.82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卫生健康管理事务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2100199</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其他卫生健康管理事务支出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21003</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基层医疗卫生机构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2100301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城市社区卫生机构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公共卫生</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2100407</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其他专业公共卫生机构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538"/>
        <w:gridCol w:w="936"/>
        <w:gridCol w:w="986"/>
        <w:gridCol w:w="1077"/>
        <w:gridCol w:w="1109"/>
        <w:gridCol w:w="908"/>
        <w:gridCol w:w="1345"/>
      </w:tblGrid>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63.48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行政事业单位离退休</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2080506</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机关事业单位职业年金缴费支出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100.82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57.75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基层医疗卫生机构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城市社区卫生机构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公共卫生</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2100407</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其他专业公共卫生机构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1621" w:type="dxa"/>
            <w:gridSpan w:val="2"/>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事业单位医疗</w:t>
            </w:r>
          </w:p>
        </w:tc>
        <w:tc>
          <w:tcPr>
            <w:tcW w:w="936" w:type="dxa"/>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986" w:type="dxa"/>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1077" w:type="dxa"/>
          </w:tcPr>
          <w:p>
            <w:pPr>
              <w:jc w:val="center"/>
              <w:rPr>
                <w:rFonts w:ascii="宋体" w:hAnsi="宋体" w:eastAsia="宋体" w:cs="宋体"/>
                <w:color w:val="000000"/>
                <w:sz w:val="21"/>
                <w:szCs w:val="21"/>
              </w:rPr>
            </w:pPr>
          </w:p>
        </w:tc>
        <w:tc>
          <w:tcPr>
            <w:tcW w:w="1109" w:type="dxa"/>
          </w:tcPr>
          <w:p>
            <w:pPr>
              <w:jc w:val="center"/>
            </w:pPr>
          </w:p>
        </w:tc>
        <w:tc>
          <w:tcPr>
            <w:tcW w:w="908" w:type="dxa"/>
          </w:tcPr>
          <w:p>
            <w:pPr>
              <w:jc w:val="center"/>
            </w:pPr>
          </w:p>
        </w:tc>
        <w:tc>
          <w:tcPr>
            <w:tcW w:w="1345" w:type="dxa"/>
          </w:tcPr>
          <w:p>
            <w:pPr>
              <w:jc w:val="cente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100.52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100.52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02"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106.55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106.55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106.55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106.55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106.55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106.55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西安市阎良区医疗卫生信息化管理中心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106.55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63.48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61.28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73"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70"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4.95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2080506</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机关事业单位职业年金缴费支出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100.82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57.75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55.55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48.56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5.49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43.07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基层医疗卫生机构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城市社区卫生机构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其他专业公共卫生机构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51.07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638"/>
        <w:gridCol w:w="1440"/>
        <w:gridCol w:w="1260"/>
        <w:gridCol w:w="1167"/>
        <w:gridCol w:w="1155"/>
      </w:tblGrid>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44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63.48</w:t>
            </w:r>
          </w:p>
        </w:tc>
        <w:tc>
          <w:tcPr>
            <w:tcW w:w="126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61.28</w:t>
            </w:r>
          </w:p>
        </w:tc>
        <w:tc>
          <w:tcPr>
            <w:tcW w:w="116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2.21</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p>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工资福利支出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61.28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61.28</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18.55</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18.55</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30102</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津贴补贴</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2.19</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2.19</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30107</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绩效工资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27.4</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27.4</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30108</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4.95</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4.95</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30109</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职业年金缴费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30110</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职工基本医疗保险缴费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1.18</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30112</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其他社会保障缴费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30113</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5.92</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5.92</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商品和服务支出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办公费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0.53</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30202</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印刷费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0.42</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一、收入支出决算总体情况说明</w:t>
      </w:r>
      <w:r>
        <w:rPr>
          <w:rFonts w:ascii="黑体" w:hAnsi="黑体" w:eastAsia="黑体"/>
          <w:color w:val="000000"/>
          <w:kern w:val="0"/>
          <w:szCs w:val="32"/>
        </w:rPr>
        <w:t xml:space="preserve"> </w:t>
      </w:r>
    </w:p>
    <w:p>
      <w:pPr>
        <w:autoSpaceDE w:val="0"/>
        <w:autoSpaceDN w:val="0"/>
        <w:spacing w:line="520" w:lineRule="exact"/>
        <w:ind w:firstLine="562"/>
        <w:rPr>
          <w:rFonts w:hint="eastAsia" w:ascii="仿宋_GB2312" w:hAnsi="仿宋_GB2312" w:eastAsia="仿宋_GB2312" w:cs="仿宋_GB2312"/>
          <w:bCs/>
          <w:szCs w:val="32"/>
        </w:rPr>
      </w:pPr>
      <w:r>
        <w:rPr>
          <w:rFonts w:hint="eastAsia" w:ascii="仿宋_GB2312" w:hAnsi="仿宋_GB2312" w:eastAsia="仿宋_GB2312" w:cs="仿宋_GB2312"/>
          <w:bCs/>
          <w:szCs w:val="32"/>
        </w:rPr>
        <w:t>2019年决算总收入比2018年决算总收入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4.23</w:t>
      </w:r>
      <w:r>
        <w:rPr>
          <w:rFonts w:hint="eastAsia" w:ascii="仿宋_GB2312" w:hAnsi="仿宋_GB2312" w:eastAsia="仿宋_GB2312" w:cs="仿宋_GB2312"/>
          <w:bCs/>
          <w:szCs w:val="32"/>
        </w:rPr>
        <w:t>万元，其中财政补助收入减少</w:t>
      </w:r>
      <w:r>
        <w:rPr>
          <w:rFonts w:hint="eastAsia" w:ascii="仿宋_GB2312" w:hAnsi="仿宋_GB2312" w:eastAsia="仿宋_GB2312" w:cs="仿宋_GB2312"/>
          <w:bCs/>
          <w:szCs w:val="32"/>
          <w:lang w:val="en-US" w:eastAsia="zh-CN"/>
        </w:rPr>
        <w:t>4.23</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rPr>
        <w:t>财政拨款收入减少主要是2019年财政投资补助项目相对去年较少；</w:t>
      </w:r>
    </w:p>
    <w:p>
      <w:pPr>
        <w:autoSpaceDE w:val="0"/>
        <w:autoSpaceDN w:val="0"/>
        <w:spacing w:line="520" w:lineRule="exact"/>
        <w:ind w:firstLine="562"/>
        <w:rPr>
          <w:rFonts w:hint="eastAsia" w:ascii="仿宋" w:hAnsi="仿宋" w:eastAsia="仿宋"/>
          <w:bCs/>
          <w:szCs w:val="32"/>
          <w:lang w:val="en-US" w:eastAsia="zh-CN"/>
        </w:rPr>
      </w:pPr>
      <w:r>
        <w:rPr>
          <w:rFonts w:hint="eastAsia" w:ascii="仿宋_GB2312" w:hAnsi="仿宋_GB2312" w:eastAsia="仿宋_GB2312" w:cs="仿宋_GB2312"/>
          <w:bCs/>
          <w:szCs w:val="32"/>
          <w:lang w:val="en-US" w:eastAsia="zh-CN"/>
        </w:rPr>
        <w:t>图示：</w:t>
      </w:r>
      <w:r>
        <w:rPr>
          <w:rFonts w:hint="eastAsia" w:ascii="仿宋" w:hAnsi="仿宋" w:eastAsia="仿宋"/>
          <w:bCs/>
          <w:szCs w:val="32"/>
          <w:lang w:val="en-US" w:eastAsia="zh-CN"/>
        </w:rPr>
        <w:t xml:space="preserve"> </w:t>
      </w:r>
    </w:p>
    <w:p>
      <w:pPr>
        <w:autoSpaceDE w:val="0"/>
        <w:autoSpaceDN w:val="0"/>
        <w:spacing w:line="520" w:lineRule="exact"/>
        <w:ind w:firstLine="562"/>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单位：万元</w:t>
      </w:r>
    </w:p>
    <w:p>
      <w:pPr>
        <w:widowControl/>
        <w:spacing w:line="240" w:lineRule="auto"/>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Cs w:val="32"/>
          <w:lang w:val="en-US" w:eastAsia="zh-CN"/>
        </w:rPr>
        <w:object>
          <v:shape id="_x0000_i1025" o:spt="75" type="#_x0000_t75" style="height:222.75pt;width:204.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widowControl/>
        <w:spacing w:line="560" w:lineRule="exact"/>
        <w:jc w:val="left"/>
        <w:rPr>
          <w:rFonts w:hint="eastAsia" w:ascii="仿宋" w:hAnsi="仿宋" w:eastAsia="仿宋"/>
          <w:bCs/>
          <w:szCs w:val="32"/>
        </w:rPr>
      </w:pPr>
      <w:r>
        <w:rPr>
          <w:rFonts w:hint="eastAsia" w:ascii="仿宋_GB2312" w:hAnsi="仿宋_GB2312" w:eastAsia="仿宋_GB2312" w:cs="仿宋_GB2312"/>
          <w:bCs/>
          <w:szCs w:val="32"/>
          <w:lang w:val="en-US" w:eastAsia="zh-CN"/>
        </w:rPr>
        <w:t xml:space="preserve">   </w:t>
      </w:r>
      <w:r>
        <w:rPr>
          <w:rFonts w:hint="eastAsia" w:ascii="仿宋_GB2312" w:hAnsi="仿宋_GB2312" w:eastAsia="仿宋_GB2312" w:cs="仿宋_GB2312"/>
          <w:bCs/>
          <w:szCs w:val="32"/>
        </w:rPr>
        <w:t>2019年决算总支出比2018年决算总支出减少</w:t>
      </w:r>
      <w:r>
        <w:rPr>
          <w:rFonts w:hint="eastAsia" w:ascii="仿宋_GB2312" w:hAnsi="仿宋_GB2312" w:eastAsia="仿宋_GB2312" w:cs="仿宋_GB2312"/>
          <w:bCs/>
          <w:szCs w:val="32"/>
          <w:lang w:val="en-US" w:eastAsia="zh-CN"/>
        </w:rPr>
        <w:t>4.23</w:t>
      </w:r>
      <w:r>
        <w:rPr>
          <w:rFonts w:hint="eastAsia" w:ascii="仿宋_GB2312" w:hAnsi="仿宋_GB2312" w:eastAsia="仿宋_GB2312" w:cs="仿宋_GB2312"/>
          <w:bCs/>
          <w:szCs w:val="32"/>
        </w:rPr>
        <w:t>万元，主要2019年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经费支出减少，本年度单位按照国家有关规定节约了开支，下一步将制定出详细的且合理合规的支出方案</w:t>
      </w:r>
      <w:r>
        <w:rPr>
          <w:rFonts w:hint="eastAsia" w:ascii="仿宋" w:hAnsi="仿宋" w:eastAsia="仿宋"/>
          <w:bCs/>
          <w:szCs w:val="32"/>
        </w:rPr>
        <w:t>。</w:t>
      </w: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p>
    <w:p>
      <w:pPr>
        <w:widowControl/>
        <w:spacing w:line="560" w:lineRule="exact"/>
        <w:jc w:val="left"/>
        <w:rPr>
          <w:rFonts w:hint="eastAsia" w:ascii="仿宋" w:hAnsi="仿宋" w:eastAsia="仿宋"/>
          <w:bCs/>
          <w:sz w:val="21"/>
          <w:szCs w:val="21"/>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 xml:space="preserve"> </w:t>
      </w:r>
    </w:p>
    <w:p>
      <w:pPr>
        <w:widowControl/>
        <w:spacing w:line="560" w:lineRule="exact"/>
        <w:jc w:val="left"/>
        <w:rPr>
          <w:rFonts w:hint="eastAsia" w:ascii="仿宋" w:hAnsi="仿宋" w:eastAsia="仿宋"/>
          <w:bCs/>
          <w:sz w:val="32"/>
          <w:szCs w:val="32"/>
          <w:lang w:val="en-US" w:eastAsia="zh-CN"/>
        </w:rPr>
      </w:pPr>
      <w:r>
        <w:rPr>
          <w:rFonts w:hint="eastAsia" w:ascii="仿宋_GB2312" w:hAnsi="仿宋_GB2312" w:eastAsia="仿宋_GB2312" w:cs="仿宋_GB2312"/>
          <w:bCs/>
          <w:sz w:val="32"/>
          <w:szCs w:val="32"/>
          <w:lang w:val="en-US" w:eastAsia="zh-CN"/>
        </w:rPr>
        <w:t>图示</w:t>
      </w:r>
      <w:r>
        <w:rPr>
          <w:rFonts w:hint="eastAsia" w:ascii="仿宋" w:hAnsi="仿宋" w:eastAsia="仿宋"/>
          <w:bCs/>
          <w:sz w:val="32"/>
          <w:szCs w:val="32"/>
          <w:lang w:val="en-US" w:eastAsia="zh-CN"/>
        </w:rPr>
        <w:t>：</w:t>
      </w:r>
    </w:p>
    <w:p>
      <w:pPr>
        <w:widowControl/>
        <w:spacing w:line="560" w:lineRule="exact"/>
        <w:jc w:val="left"/>
        <w:rPr>
          <w:rFonts w:hint="eastAsia" w:ascii="仿宋" w:hAnsi="仿宋" w:eastAsia="仿宋"/>
          <w:bCs/>
          <w:szCs w:val="32"/>
          <w:lang w:val="en-US" w:eastAsia="zh-CN"/>
        </w:rPr>
      </w:pPr>
      <w:r>
        <w:rPr>
          <w:rFonts w:hint="eastAsia" w:ascii="仿宋" w:hAnsi="仿宋" w:eastAsia="仿宋"/>
          <w:bCs/>
          <w:sz w:val="32"/>
          <w:szCs w:val="32"/>
          <w:lang w:val="en-US" w:eastAsia="zh-CN"/>
        </w:rPr>
        <w:t xml:space="preserve">  </w:t>
      </w:r>
      <w:r>
        <w:rPr>
          <w:rFonts w:hint="eastAsia" w:ascii="仿宋" w:hAnsi="仿宋" w:eastAsia="仿宋"/>
          <w:bCs/>
          <w:sz w:val="21"/>
          <w:szCs w:val="21"/>
          <w:lang w:val="en-US" w:eastAsia="zh-CN"/>
        </w:rPr>
        <w:t xml:space="preserve">                                                      单位：万元</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object>
          <v:shape id="_x0000_i1026" o:spt="75" type="#_x0000_t75" style="height:222.75pt;width:204.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pPr>
        <w:widowControl/>
        <w:spacing w:line="560" w:lineRule="exact"/>
        <w:jc w:val="left"/>
        <w:rPr>
          <w:rFonts w:ascii="黑体" w:hAnsi="黑体" w:eastAsia="黑体"/>
          <w:color w:val="000000"/>
          <w:kern w:val="0"/>
          <w:szCs w:val="32"/>
        </w:rPr>
      </w:pPr>
      <w:r>
        <w:rPr>
          <w:rFonts w:hint="eastAsia" w:ascii="黑体" w:hAnsi="黑体" w:eastAsia="黑体"/>
          <w:color w:val="000000"/>
          <w:kern w:val="0"/>
          <w:szCs w:val="32"/>
          <w:lang w:val="en-US" w:eastAsia="zh-CN"/>
        </w:rPr>
        <w:t xml:space="preserve">  </w:t>
      </w:r>
      <w:r>
        <w:rPr>
          <w:rFonts w:hint="eastAsia" w:ascii="黑体" w:hAnsi="黑体" w:eastAsia="黑体"/>
          <w:color w:val="000000"/>
          <w:kern w:val="0"/>
          <w:szCs w:val="32"/>
        </w:rPr>
        <w:t>二、收入决算情况说明</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rPr>
        <w:t>2019年度收入合计</w:t>
      </w:r>
      <w:r>
        <w:rPr>
          <w:rFonts w:hint="eastAsia" w:ascii="仿宋_GB2312" w:hAnsi="仿宋_GB2312" w:eastAsia="仿宋_GB2312" w:cs="仿宋_GB2312"/>
          <w:bCs/>
          <w:szCs w:val="32"/>
          <w:lang w:val="en-US" w:eastAsia="zh-CN"/>
        </w:rPr>
        <w:t>106.55</w:t>
      </w:r>
      <w:r>
        <w:rPr>
          <w:rFonts w:hint="eastAsia" w:ascii="仿宋_GB2312" w:hAnsi="仿宋_GB2312" w:eastAsia="仿宋_GB2312" w:cs="仿宋_GB2312"/>
          <w:bCs/>
          <w:szCs w:val="32"/>
        </w:rPr>
        <w:t>万元，其中：财政拨款收入</w:t>
      </w:r>
      <w:r>
        <w:rPr>
          <w:rFonts w:hint="eastAsia" w:ascii="仿宋_GB2312" w:hAnsi="仿宋_GB2312" w:eastAsia="仿宋_GB2312" w:cs="仿宋_GB2312"/>
          <w:bCs/>
          <w:szCs w:val="32"/>
          <w:lang w:val="en-US" w:eastAsia="zh-CN"/>
        </w:rPr>
        <w:t>106.55</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100</w:t>
      </w:r>
      <w:r>
        <w:rPr>
          <w:rFonts w:hint="eastAsia" w:ascii="仿宋_GB2312" w:hAnsi="仿宋_GB2312" w:eastAsia="仿宋_GB2312" w:cs="仿宋_GB2312"/>
          <w:bCs/>
          <w:szCs w:val="32"/>
        </w:rPr>
        <w:t>%；</w:t>
      </w:r>
      <w:r>
        <w:rPr>
          <w:rFonts w:hint="eastAsia" w:ascii="仿宋_GB2312" w:hAnsi="仿宋_GB2312" w:eastAsia="仿宋_GB2312" w:cs="仿宋_GB2312"/>
          <w:bCs/>
          <w:szCs w:val="32"/>
          <w:lang w:eastAsia="zh-CN"/>
        </w:rPr>
        <w:t>图示：</w:t>
      </w:r>
    </w:p>
    <w:p>
      <w:pPr>
        <w:widowControl/>
        <w:spacing w:line="240" w:lineRule="auto"/>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object>
          <v:shape id="_x0000_i1027" o:spt="75" type="#_x0000_t75" style="height:222.75pt;width:204.7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pPr>
        <w:widowControl/>
        <w:numPr>
          <w:ilvl w:val="0"/>
          <w:numId w:val="2"/>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支出决算情况说明</w:t>
      </w:r>
      <w:r>
        <w:rPr>
          <w:rFonts w:ascii="黑体" w:hAnsi="黑体" w:eastAsia="黑体"/>
          <w:color w:val="000000"/>
          <w:kern w:val="0"/>
          <w:szCs w:val="32"/>
        </w:rPr>
        <w:t xml:space="preserve">  </w:t>
      </w:r>
    </w:p>
    <w:p>
      <w:pPr>
        <w:widowControl/>
        <w:spacing w:line="560" w:lineRule="exact"/>
        <w:ind w:firstLine="64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106.55</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63.48</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62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43.07</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28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28" o:spt="75" type="#_x0000_t75" style="height:222.75pt;width:258.7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w:t>
      </w:r>
      <w:r>
        <w:rPr>
          <w:rFonts w:hint="eastAsia" w:ascii="仿宋_GB2312" w:hAnsi="仿宋" w:eastAsia="仿宋_GB2312"/>
          <w:szCs w:val="32"/>
          <w:lang w:val="en-US" w:eastAsia="zh-CN"/>
        </w:rPr>
        <w:t>4.23</w:t>
      </w:r>
      <w:r>
        <w:rPr>
          <w:rFonts w:hint="eastAsia" w:ascii="仿宋_GB2312" w:hAnsi="仿宋" w:eastAsia="仿宋_GB2312"/>
          <w:szCs w:val="32"/>
        </w:rPr>
        <w:t>万元，主要原因</w:t>
      </w:r>
      <w:r>
        <w:rPr>
          <w:rFonts w:hint="eastAsia" w:ascii="仿宋_GB2312" w:hAnsi="仿宋_GB2312" w:eastAsia="仿宋_GB2312" w:cs="仿宋_GB2312"/>
          <w:bCs/>
          <w:szCs w:val="32"/>
        </w:rPr>
        <w:t>主要是2019年财政投资补助项目相对去年较少</w:t>
      </w:r>
      <w:r>
        <w:rPr>
          <w:rFonts w:hint="eastAsia" w:ascii="仿宋_GB2312" w:hAnsi="仿宋_GB2312" w:eastAsia="仿宋_GB2312" w:cs="仿宋_GB2312"/>
          <w:szCs w:val="32"/>
        </w:rPr>
        <w:t>。</w:t>
      </w:r>
    </w:p>
    <w:p>
      <w:pPr>
        <w:widowControl/>
        <w:spacing w:line="560" w:lineRule="exact"/>
        <w:jc w:val="left"/>
        <w:rPr>
          <w:rFonts w:hint="eastAsia" w:ascii="仿宋" w:hAnsi="仿宋" w:eastAsia="仿宋"/>
          <w:bCs/>
          <w:szCs w:val="32"/>
        </w:rPr>
      </w:pPr>
      <w:r>
        <w:rPr>
          <w:rFonts w:hint="eastAsia" w:ascii="仿宋_GB2312" w:hAnsi="仿宋" w:eastAsia="仿宋_GB2312"/>
          <w:szCs w:val="32"/>
          <w:lang w:val="en-US" w:eastAsia="zh-CN"/>
        </w:rPr>
        <w:t xml:space="preserve">    </w:t>
      </w: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支出总体情况及比上年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4.23</w:t>
      </w:r>
      <w:r>
        <w:rPr>
          <w:rFonts w:hint="eastAsia" w:ascii="仿宋_GB2312" w:hAnsi="仿宋" w:eastAsia="仿宋_GB2312"/>
          <w:szCs w:val="32"/>
        </w:rPr>
        <w:t>万元，主要原因</w:t>
      </w:r>
      <w:r>
        <w:rPr>
          <w:rFonts w:hint="eastAsia" w:ascii="仿宋_GB2312" w:hAnsi="仿宋_GB2312" w:eastAsia="仿宋_GB2312" w:cs="仿宋_GB2312"/>
          <w:bCs/>
          <w:szCs w:val="32"/>
        </w:rPr>
        <w:t>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 w:hAnsi="仿宋" w:eastAsia="仿宋"/>
          <w:bCs/>
          <w:szCs w:val="32"/>
        </w:rPr>
        <w:t>。</w:t>
      </w:r>
    </w:p>
    <w:p>
      <w:pPr>
        <w:autoSpaceDE w:val="0"/>
        <w:autoSpaceDN w:val="0"/>
        <w:spacing w:line="520" w:lineRule="exact"/>
        <w:ind w:firstLine="562"/>
        <w:jc w:val="left"/>
        <w:rPr>
          <w:rFonts w:hint="eastAsia" w:ascii="仿宋_GB2312" w:hAnsi="仿宋_GB2312" w:eastAsia="仿宋_GB2312" w:cs="仿宋_GB2312"/>
          <w:bCs/>
          <w:kern w:val="0"/>
          <w:szCs w:val="32"/>
          <w:lang w:eastAsia="zh-CN"/>
        </w:rPr>
      </w:pPr>
      <w:r>
        <w:rPr>
          <w:rFonts w:hint="eastAsia" w:ascii="仿宋_GB2312" w:hAnsi="仿宋_GB2312" w:eastAsia="仿宋_GB2312" w:cs="仿宋_GB2312"/>
          <w:bCs/>
          <w:kern w:val="0"/>
          <w:szCs w:val="32"/>
          <w:lang w:eastAsia="zh-CN"/>
        </w:rPr>
        <w:t>图示：</w:t>
      </w:r>
    </w:p>
    <w:p>
      <w:pPr>
        <w:autoSpaceDE w:val="0"/>
        <w:autoSpaceDN w:val="0"/>
        <w:spacing w:line="240" w:lineRule="auto"/>
        <w:ind w:firstLine="562"/>
        <w:rPr>
          <w:rFonts w:hint="eastAsia" w:ascii="仿宋" w:hAnsi="仿宋" w:eastAsia="仿宋"/>
          <w:b/>
          <w:bCs/>
          <w:sz w:val="28"/>
          <w:szCs w:val="28"/>
          <w:lang w:eastAsia="zh-CN"/>
        </w:rPr>
      </w:pPr>
    </w:p>
    <w:p>
      <w:pPr>
        <w:autoSpaceDE w:val="0"/>
        <w:autoSpaceDN w:val="0"/>
        <w:spacing w:line="240" w:lineRule="auto"/>
        <w:ind w:firstLine="562"/>
        <w:rPr>
          <w:rFonts w:hint="eastAsia" w:ascii="仿宋" w:hAnsi="仿宋" w:eastAsia="仿宋"/>
          <w:b/>
          <w:bCs/>
          <w:sz w:val="28"/>
          <w:szCs w:val="28"/>
          <w:lang w:eastAsia="zh-CN"/>
        </w:rPr>
      </w:pPr>
      <w:r>
        <w:rPr>
          <w:rFonts w:hint="eastAsia" w:ascii="仿宋" w:hAnsi="仿宋" w:eastAsia="仿宋"/>
          <w:b/>
          <w:bCs/>
          <w:sz w:val="28"/>
          <w:szCs w:val="28"/>
          <w:lang w:eastAsia="zh-CN"/>
        </w:rPr>
        <w:object>
          <v:shape id="_x0000_i1029"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jc w:val="left"/>
        <w:rPr>
          <w:rFonts w:hint="eastAsia" w:ascii="仿宋" w:hAnsi="仿宋" w:eastAsia="仿宋"/>
          <w:bCs/>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106.55</w:t>
      </w:r>
      <w:r>
        <w:rPr>
          <w:rFonts w:hint="eastAsia"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4.23</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仿宋_GB2312" w:eastAsia="仿宋_GB2312" w:cs="仿宋_GB2312"/>
          <w:bCs/>
          <w:szCs w:val="32"/>
        </w:rPr>
        <w:t>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_GB2312" w:hAnsi="仿宋_GB2312" w:eastAsia="仿宋_GB2312" w:cs="仿宋_GB2312"/>
          <w:bCs/>
          <w:szCs w:val="32"/>
          <w:lang w:eastAsia="zh-CN"/>
        </w:rPr>
        <w:t>项目支出较上年有所减少</w:t>
      </w:r>
      <w:r>
        <w:rPr>
          <w:rFonts w:hint="eastAsia" w:ascii="仿宋" w:hAnsi="仿宋" w:eastAsia="仿宋"/>
          <w:bCs/>
          <w:szCs w:val="32"/>
        </w:rPr>
        <w:t>。</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autoSpaceDE w:val="0"/>
        <w:autoSpaceDN w:val="0"/>
        <w:spacing w:line="240" w:lineRule="auto"/>
        <w:jc w:val="left"/>
        <w:rPr>
          <w:rFonts w:hint="eastAsia" w:ascii="仿宋" w:hAnsi="仿宋" w:eastAsia="仿宋"/>
          <w:bCs/>
          <w:kern w:val="0"/>
          <w:szCs w:val="32"/>
          <w:lang w:eastAsia="zh-CN"/>
        </w:rPr>
      </w:pPr>
      <w:r>
        <w:rPr>
          <w:rFonts w:hint="eastAsia" w:ascii="仿宋" w:hAnsi="仿宋" w:eastAsia="仿宋"/>
          <w:bCs/>
          <w:kern w:val="0"/>
          <w:szCs w:val="32"/>
          <w:lang w:eastAsia="zh-CN"/>
        </w:rPr>
        <w:object>
          <v:shape id="_x0000_i1030" o:spt="75" type="#_x0000_t75" style="height:222.75pt;width:204.75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pPr>
        <w:spacing w:line="560" w:lineRule="exac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lang w:val="en-US" w:eastAsia="zh-CN"/>
        </w:rPr>
        <w:t xml:space="preserve">    </w:t>
      </w:r>
      <w:r>
        <w:rPr>
          <w:rFonts w:hint="eastAsia" w:ascii="楷体_GB2312" w:hAnsi="宋体" w:eastAsia="楷体_GB2312" w:cs="楷体_GB2312"/>
          <w:b/>
          <w:color w:val="000000"/>
          <w:kern w:val="0"/>
          <w:szCs w:val="32"/>
        </w:rPr>
        <w:t>（二）财政拨款支出决算具体情况说明。</w:t>
      </w:r>
    </w:p>
    <w:p>
      <w:pPr>
        <w:spacing w:line="560" w:lineRule="exact"/>
        <w:ind w:firstLine="640" w:firstLineChars="200"/>
        <w:rPr>
          <w:rFonts w:ascii="楷体_GB2312" w:hAnsi="宋体" w:eastAsia="楷体_GB2312" w:cs="楷体_GB2312"/>
          <w:b/>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98.23</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106.55</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142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基本支出：</w:t>
      </w:r>
      <w:r>
        <w:rPr>
          <w:rFonts w:ascii="仿宋_GB2312" w:hAnsi="宋体" w:eastAsia="仿宋_GB2312" w:cs="仿宋_GB2312"/>
          <w:b/>
          <w:color w:val="000000"/>
          <w:kern w:val="0"/>
          <w:szCs w:val="32"/>
        </w:rPr>
        <w:t xml:space="preserve"> </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58.65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63.48</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w:t>
      </w:r>
      <w:r>
        <w:rPr>
          <w:rFonts w:hint="eastAsia" w:ascii="仿宋_GB2312" w:hAnsi="宋体" w:eastAsia="仿宋_GB2312" w:cs="仿宋_GB2312"/>
          <w:color w:val="000000"/>
          <w:kern w:val="0"/>
          <w:szCs w:val="32"/>
          <w:lang w:val="en-US" w:eastAsia="zh-CN"/>
        </w:rPr>
        <w:t>61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。其中：工资福利支出</w:t>
      </w:r>
      <w:r>
        <w:rPr>
          <w:rFonts w:hint="eastAsia" w:ascii="仿宋_GB2312" w:hAnsi="宋体" w:eastAsia="仿宋_GB2312" w:cs="仿宋_GB2312"/>
          <w:color w:val="000000"/>
          <w:kern w:val="0"/>
          <w:szCs w:val="32"/>
          <w:lang w:val="en-US" w:eastAsia="zh-CN"/>
        </w:rPr>
        <w:t>61.28</w:t>
      </w:r>
      <w:r>
        <w:rPr>
          <w:rFonts w:hint="eastAsia" w:ascii="仿宋_GB2312" w:hAnsi="宋体" w:eastAsia="仿宋_GB2312" w:cs="仿宋_GB2312"/>
          <w:color w:val="000000"/>
          <w:kern w:val="0"/>
          <w:szCs w:val="32"/>
        </w:rPr>
        <w:t>万元。决算数大于预算数的主要原因是人员工资的增加、绩效增量的发放及对个人和家庭的补助。</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31" o:spt="75" type="#_x0000_t75" style="height:222.75pt;width:204.7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2" w:firstLineChars="150"/>
        <w:jc w:val="left"/>
        <w:rPr>
          <w:rFonts w:ascii="仿宋_GB2312" w:hAnsi="宋体" w:eastAsia="仿宋_GB2312" w:cs="仿宋_GB2312"/>
          <w:b/>
          <w:color w:val="000000"/>
          <w:kern w:val="0"/>
          <w:szCs w:val="32"/>
        </w:rPr>
      </w:pPr>
      <w:r>
        <w:rPr>
          <w:rFonts w:ascii="仿宋_GB2312" w:hAnsi="宋体" w:eastAsia="仿宋_GB2312" w:cs="仿宋_GB2312"/>
          <w:b/>
          <w:color w:val="000000"/>
          <w:kern w:val="0"/>
          <w:szCs w:val="32"/>
        </w:rPr>
        <w:t>2</w:t>
      </w:r>
      <w:r>
        <w:rPr>
          <w:rFonts w:hint="eastAsia" w:ascii="仿宋_GB2312" w:hAnsi="宋体" w:eastAsia="仿宋_GB2312" w:cs="仿宋_GB2312"/>
          <w:b/>
          <w:color w:val="000000"/>
          <w:kern w:val="0"/>
          <w:szCs w:val="32"/>
        </w:rPr>
        <w:t>、项目支出：</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32</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43.07</w:t>
      </w:r>
      <w:r>
        <w:rPr>
          <w:rFonts w:hint="eastAsia" w:ascii="仿宋_GB2312" w:hAnsi="宋体" w:eastAsia="仿宋_GB2312" w:cs="仿宋_GB2312"/>
          <w:color w:val="000000"/>
          <w:kern w:val="0"/>
          <w:szCs w:val="32"/>
        </w:rPr>
        <w:t>万元，其中：商品和服务支出</w:t>
      </w:r>
      <w:r>
        <w:rPr>
          <w:rFonts w:hint="eastAsia" w:ascii="仿宋_GB2312" w:hAnsi="宋体" w:eastAsia="仿宋_GB2312" w:cs="仿宋_GB2312"/>
          <w:color w:val="000000"/>
          <w:kern w:val="0"/>
          <w:szCs w:val="32"/>
          <w:lang w:val="en-US" w:eastAsia="zh-CN"/>
        </w:rPr>
        <w:t>2.21</w:t>
      </w:r>
      <w:r>
        <w:rPr>
          <w:rFonts w:hint="eastAsia" w:ascii="仿宋_GB2312" w:hAnsi="宋体" w:eastAsia="仿宋_GB2312" w:cs="仿宋_GB2312"/>
          <w:color w:val="000000"/>
          <w:kern w:val="0"/>
          <w:szCs w:val="32"/>
        </w:rPr>
        <w:t>万元，决算数大于预算数的主要原因是</w:t>
      </w:r>
      <w:r>
        <w:rPr>
          <w:rFonts w:hint="eastAsia" w:ascii="楷体" w:hAnsi="楷体" w:eastAsia="楷体"/>
          <w:bCs/>
          <w:sz w:val="28"/>
          <w:szCs w:val="28"/>
        </w:rPr>
        <w:t>为全区人民身体健康提供医疗卫生信息服务。全区医疗卫生信息网络系统的建设、组织、协调、监督管理以及日常维护；卫生信息数据库规划、建立和管理；向医疗机构和患者提供信息咨询；辖区公共卫生管理、医疗管理、医疗保障等信息指导、统计分析和质量评估。</w:t>
      </w:r>
    </w:p>
    <w:p>
      <w:pPr>
        <w:numPr>
          <w:ilvl w:val="0"/>
          <w:numId w:val="3"/>
        </w:num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一般公共预算财政拨款基本支出决算情况说明</w:t>
      </w:r>
      <w:r>
        <w:rPr>
          <w:rFonts w:ascii="黑体" w:hAnsi="黑体" w:eastAsia="黑体"/>
          <w:color w:val="000000"/>
          <w:kern w:val="0"/>
          <w:szCs w:val="32"/>
        </w:rPr>
        <w:t xml:space="preserve"> </w:t>
      </w:r>
    </w:p>
    <w:p>
      <w:pPr>
        <w:numPr>
          <w:ilvl w:val="0"/>
          <w:numId w:val="0"/>
        </w:numPr>
        <w:spacing w:line="560" w:lineRule="exac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val="en-US" w:eastAsia="zh-CN"/>
        </w:rPr>
        <w:t xml:space="preserve">    </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106.55</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61.28</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bCs/>
          <w:color w:val="000000"/>
          <w:kern w:val="0"/>
          <w:szCs w:val="32"/>
        </w:rPr>
        <w:t>人员经费</w:t>
      </w:r>
      <w:r>
        <w:rPr>
          <w:rFonts w:hint="eastAsia" w:ascii="仿宋_GB2312" w:hAnsi="宋体" w:eastAsia="仿宋_GB2312" w:cs="仿宋_GB2312"/>
          <w:color w:val="000000"/>
          <w:kern w:val="0"/>
          <w:szCs w:val="32"/>
          <w:lang w:val="en-US" w:eastAsia="zh-CN"/>
        </w:rPr>
        <w:t>61.28</w:t>
      </w:r>
      <w:r>
        <w:rPr>
          <w:rFonts w:hint="eastAsia"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lang w:val="en-US" w:eastAsia="zh-CN"/>
        </w:rPr>
        <w:t>21.52</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16.33</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奖金</w:t>
      </w:r>
      <w:r>
        <w:rPr>
          <w:rFonts w:hint="eastAsia" w:ascii="仿宋_GB2312" w:hAnsi="宋体" w:eastAsia="仿宋_GB2312" w:cs="仿宋_GB2312"/>
          <w:color w:val="000000"/>
          <w:kern w:val="0"/>
          <w:szCs w:val="32"/>
          <w:lang w:val="en-US" w:eastAsia="zh-CN"/>
        </w:rPr>
        <w:t>16</w:t>
      </w:r>
      <w:r>
        <w:rPr>
          <w:rFonts w:hint="eastAsia" w:ascii="仿宋_GB2312" w:hAnsi="宋体" w:eastAsia="仿宋_GB2312" w:cs="仿宋_GB2312"/>
          <w:color w:val="000000"/>
          <w:kern w:val="0"/>
          <w:szCs w:val="32"/>
        </w:rPr>
        <w:t>万元，机关事业单位基本养老保险</w:t>
      </w:r>
      <w:r>
        <w:rPr>
          <w:rFonts w:hint="eastAsia" w:ascii="仿宋_GB2312" w:hAnsi="宋体" w:eastAsia="仿宋_GB2312" w:cs="仿宋_GB2312"/>
          <w:color w:val="000000"/>
          <w:kern w:val="0"/>
          <w:szCs w:val="32"/>
          <w:lang w:val="en-US" w:eastAsia="zh-CN"/>
        </w:rPr>
        <w:t>5.21</w:t>
      </w:r>
      <w:r>
        <w:rPr>
          <w:rFonts w:hint="eastAsia" w:ascii="仿宋_GB2312" w:hAnsi="宋体" w:eastAsia="仿宋_GB2312" w:cs="仿宋_GB2312"/>
          <w:color w:val="000000"/>
          <w:kern w:val="0"/>
          <w:szCs w:val="32"/>
        </w:rPr>
        <w:t>万元，基本医疗保险缴费</w:t>
      </w:r>
      <w:r>
        <w:rPr>
          <w:rFonts w:hint="eastAsia" w:ascii="仿宋_GB2312" w:hAnsi="宋体" w:eastAsia="仿宋_GB2312" w:cs="仿宋_GB2312"/>
          <w:color w:val="000000"/>
          <w:kern w:val="0"/>
          <w:szCs w:val="32"/>
          <w:lang w:val="en-US" w:eastAsia="zh-CN"/>
        </w:rPr>
        <w:t>1.43</w:t>
      </w:r>
      <w:r>
        <w:rPr>
          <w:rFonts w:hint="eastAsia" w:ascii="仿宋_GB2312" w:hAnsi="宋体" w:eastAsia="仿宋_GB2312" w:cs="仿宋_GB2312"/>
          <w:color w:val="000000"/>
          <w:kern w:val="0"/>
          <w:szCs w:val="32"/>
        </w:rPr>
        <w:t>万元，住房公积</w:t>
      </w:r>
      <w:r>
        <w:rPr>
          <w:rFonts w:hint="eastAsia" w:ascii="仿宋_GB2312" w:hAnsi="宋体" w:eastAsia="仿宋_GB2312" w:cs="仿宋_GB2312"/>
          <w:color w:val="000000"/>
          <w:kern w:val="0"/>
          <w:szCs w:val="32"/>
          <w:lang w:eastAsia="zh-CN"/>
        </w:rPr>
        <w:t>金</w:t>
      </w:r>
      <w:r>
        <w:rPr>
          <w:rFonts w:hint="eastAsia" w:ascii="仿宋_GB2312" w:hAnsi="宋体" w:eastAsia="仿宋_GB2312" w:cs="仿宋_GB2312"/>
          <w:color w:val="000000"/>
          <w:kern w:val="0"/>
          <w:szCs w:val="32"/>
          <w:lang w:val="en-US" w:eastAsia="zh-CN"/>
        </w:rPr>
        <w:t>5.62</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年度本部门无因公出国（境）支出。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年度本部门无购置车辆。</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w:t>
      </w:r>
      <w:r>
        <w:rPr>
          <w:rFonts w:hint="eastAsia" w:ascii="仿宋_GB2312" w:hAnsi="仿宋" w:eastAsia="仿宋_GB2312"/>
          <w:szCs w:val="32"/>
          <w:lang w:eastAsia="zh-CN"/>
        </w:rPr>
        <w:t>无</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w:t>
      </w:r>
    </w:p>
    <w:p>
      <w:pPr>
        <w:numPr>
          <w:ilvl w:val="0"/>
          <w:numId w:val="4"/>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年度本部门无公务接待</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31.25</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 w:eastAsia="仿宋_GB2312"/>
          <w:szCs w:val="32"/>
          <w:lang w:val="en-US" w:eastAsia="zh-CN"/>
        </w:rPr>
        <w:t>31.25</w:t>
      </w:r>
      <w:r>
        <w:rPr>
          <w:rFonts w:hint="eastAsia" w:ascii="仿宋_GB2312" w:hAnsi="仿宋_GB2312" w:eastAsia="仿宋_GB2312" w:cs="仿宋_GB2312"/>
          <w:szCs w:val="32"/>
        </w:rPr>
        <w:t>万元。</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31.25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31.25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楷体" w:hAnsi="楷体" w:eastAsia="楷体"/>
          <w:bCs/>
          <w:sz w:val="28"/>
          <w:szCs w:val="28"/>
        </w:rPr>
        <w:t>为全区人民身体健康提供医疗卫生信息服务。全区医疗卫生信息网络系统的建设、组织、协调、监督管理以及日常维护；卫生信息数据库规划、建立和管理；向医疗机构和患者提供信息咨询；辖区公共卫生管理、医疗管理、医疗保障等信息指导、统计分析和质量评估。</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分。全年预算数</w:t>
      </w:r>
      <w:r>
        <w:rPr>
          <w:rFonts w:hint="eastAsia" w:ascii="仿宋_GB2312" w:hAnsi="仿宋" w:eastAsia="仿宋_GB2312"/>
          <w:szCs w:val="32"/>
          <w:lang w:val="en-US" w:eastAsia="zh-CN"/>
        </w:rPr>
        <w:t>98.23</w:t>
      </w:r>
      <w:r>
        <w:rPr>
          <w:rFonts w:ascii="仿宋_GB2312" w:hAnsi="仿宋_GB2312" w:eastAsia="仿宋_GB2312" w:cs="仿宋_GB2312"/>
          <w:color w:val="000000"/>
          <w:kern w:val="0"/>
          <w:sz w:val="31"/>
          <w:szCs w:val="31"/>
        </w:rPr>
        <w:t>万元，执行数</w:t>
      </w:r>
      <w:r>
        <w:rPr>
          <w:rFonts w:hint="eastAsia" w:ascii="仿宋_GB2312" w:hAnsi="仿宋" w:eastAsia="仿宋_GB2312"/>
          <w:szCs w:val="32"/>
          <w:lang w:val="en-US" w:eastAsia="zh-CN"/>
        </w:rPr>
        <w:t>106.55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楷体" w:hAnsi="楷体" w:eastAsia="楷体"/>
          <w:bCs/>
          <w:sz w:val="28"/>
          <w:szCs w:val="28"/>
        </w:rPr>
        <w:t>为全区人民身体健康提供医疗卫生信息服务。全区医疗卫生信息网络系统的建设、组织、协调、监督管理以及日常维护；卫生信息数据库规划、建立和管理；向医疗机构和患者提供信息咨询；辖区公共卫生管理、医疗管理、医疗保障等信息指导、统计分析和质量评估。</w:t>
      </w:r>
    </w:p>
    <w:p>
      <w:pPr>
        <w:widowControl/>
        <w:spacing w:line="560" w:lineRule="exact"/>
        <w:ind w:firstLine="640" w:firstLineChars="200"/>
        <w:jc w:val="left"/>
        <w:rPr>
          <w:rFonts w:hint="eastAsia" w:ascii="楷体" w:hAnsi="楷体" w:eastAsia="楷体"/>
          <w:bCs/>
          <w:sz w:val="28"/>
          <w:szCs w:val="28"/>
        </w:rPr>
      </w:pPr>
      <w:r>
        <w:rPr>
          <w:rFonts w:hint="eastAsia" w:ascii="仿宋_GB2312" w:eastAsia="仿宋_GB2312"/>
          <w:sz w:val="32"/>
          <w:szCs w:val="32"/>
        </w:rPr>
        <w:t>主要工作绩效是：</w:t>
      </w:r>
      <w:r>
        <w:rPr>
          <w:rFonts w:hint="eastAsia" w:ascii="楷体" w:hAnsi="楷体" w:eastAsia="楷体"/>
          <w:bCs/>
          <w:sz w:val="28"/>
          <w:szCs w:val="28"/>
        </w:rPr>
        <w:t>加强网络安全管理，开展网络安全排查与漏洞修复。</w:t>
      </w:r>
    </w:p>
    <w:p>
      <w:pPr>
        <w:widowControl/>
        <w:spacing w:line="560" w:lineRule="exact"/>
        <w:ind w:firstLine="560" w:firstLineChars="200"/>
        <w:jc w:val="left"/>
        <w:rPr>
          <w:rFonts w:hint="eastAsia" w:ascii="楷体" w:hAnsi="楷体" w:eastAsia="楷体"/>
          <w:bCs/>
          <w:sz w:val="28"/>
          <w:szCs w:val="28"/>
        </w:rPr>
      </w:pPr>
      <w:r>
        <w:rPr>
          <w:rFonts w:hint="eastAsia" w:ascii="楷体" w:hAnsi="楷体" w:eastAsia="楷体"/>
          <w:bCs/>
          <w:sz w:val="28"/>
          <w:szCs w:val="28"/>
        </w:rPr>
        <w:t>全面开展区域医药卫生信息平台网络安全排查，针对排查出的内外网混用、网络安全设施不足、制度建立不完善等问题，联合运维商共同制定专项整改方案。目前已完成以下工作：</w:t>
      </w:r>
    </w:p>
    <w:p>
      <w:pPr>
        <w:widowControl/>
        <w:spacing w:line="560" w:lineRule="exact"/>
        <w:ind w:firstLine="560" w:firstLineChars="200"/>
        <w:jc w:val="left"/>
        <w:rPr>
          <w:rFonts w:hint="eastAsia" w:ascii="楷体" w:hAnsi="楷体" w:eastAsia="楷体"/>
          <w:bCs/>
          <w:sz w:val="28"/>
          <w:szCs w:val="28"/>
        </w:rPr>
      </w:pPr>
      <w:r>
        <w:rPr>
          <w:rFonts w:hint="eastAsia" w:ascii="楷体" w:hAnsi="楷体" w:eastAsia="楷体"/>
          <w:bCs/>
          <w:sz w:val="28"/>
          <w:szCs w:val="28"/>
        </w:rPr>
        <w:t>一是实现卫生专网与互联网隔离；</w:t>
      </w:r>
    </w:p>
    <w:p>
      <w:pPr>
        <w:widowControl/>
        <w:spacing w:line="560" w:lineRule="exact"/>
        <w:ind w:firstLine="560" w:firstLineChars="200"/>
        <w:jc w:val="left"/>
        <w:rPr>
          <w:rFonts w:hint="eastAsia" w:ascii="楷体" w:hAnsi="楷体" w:eastAsia="楷体"/>
          <w:bCs/>
          <w:sz w:val="28"/>
          <w:szCs w:val="28"/>
        </w:rPr>
      </w:pPr>
      <w:r>
        <w:rPr>
          <w:rFonts w:hint="eastAsia" w:ascii="楷体" w:hAnsi="楷体" w:eastAsia="楷体"/>
          <w:bCs/>
          <w:sz w:val="28"/>
          <w:szCs w:val="28"/>
        </w:rPr>
        <w:t>二是启用云主机数据备份、堡垒机、下一代防火墙、日志审计等安全加固设备；</w:t>
      </w:r>
    </w:p>
    <w:p>
      <w:pPr>
        <w:widowControl/>
        <w:spacing w:line="560" w:lineRule="exact"/>
        <w:ind w:firstLine="560" w:firstLineChars="200"/>
        <w:jc w:val="left"/>
        <w:rPr>
          <w:rFonts w:hint="eastAsia" w:ascii="楷体" w:hAnsi="楷体" w:eastAsia="楷体"/>
          <w:bCs/>
          <w:sz w:val="28"/>
          <w:szCs w:val="28"/>
        </w:rPr>
      </w:pPr>
      <w:r>
        <w:rPr>
          <w:rFonts w:hint="eastAsia" w:ascii="楷体" w:hAnsi="楷体" w:eastAsia="楷体"/>
          <w:bCs/>
          <w:sz w:val="28"/>
          <w:szCs w:val="28"/>
        </w:rPr>
        <w:t>三是对信息系统中居民重要信息数据的访问、导出权限进行控制；</w:t>
      </w:r>
    </w:p>
    <w:p>
      <w:pPr>
        <w:widowControl/>
        <w:spacing w:line="560" w:lineRule="exact"/>
        <w:ind w:firstLine="560" w:firstLineChars="200"/>
        <w:jc w:val="left"/>
        <w:rPr>
          <w:rFonts w:hint="eastAsia" w:ascii="楷体" w:hAnsi="楷体" w:eastAsia="楷体"/>
          <w:bCs/>
          <w:sz w:val="28"/>
          <w:szCs w:val="28"/>
        </w:rPr>
      </w:pPr>
      <w:r>
        <w:rPr>
          <w:rFonts w:hint="eastAsia" w:ascii="楷体" w:hAnsi="楷体" w:eastAsia="楷体"/>
          <w:bCs/>
          <w:sz w:val="28"/>
          <w:szCs w:val="28"/>
        </w:rPr>
        <w:t>四是在单位内部签订了《网络与信息安全保密承诺书》，落实信息管理员责任。</w:t>
      </w:r>
    </w:p>
    <w:p>
      <w:pPr>
        <w:widowControl/>
        <w:spacing w:line="560" w:lineRule="exact"/>
        <w:ind w:firstLine="560" w:firstLineChars="200"/>
        <w:jc w:val="left"/>
        <w:rPr>
          <w:rFonts w:hint="eastAsia" w:ascii="楷体" w:hAnsi="楷体" w:eastAsia="楷体"/>
          <w:bCs/>
          <w:sz w:val="28"/>
          <w:szCs w:val="28"/>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发现的问题及原因：</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项目服务质量还有待提高</w:t>
      </w:r>
      <w:r>
        <w:rPr>
          <w:rFonts w:hint="eastAsia" w:ascii="仿宋_GB2312" w:eastAsia="仿宋_GB2312"/>
          <w:sz w:val="32"/>
          <w:szCs w:val="32"/>
          <w:lang w:eastAsia="zh-CN"/>
        </w:rPr>
        <w:t>，</w:t>
      </w:r>
      <w:r>
        <w:rPr>
          <w:rFonts w:hint="eastAsia" w:ascii="仿宋_GB2312" w:eastAsia="仿宋_GB2312"/>
          <w:sz w:val="32"/>
          <w:szCs w:val="32"/>
        </w:rPr>
        <w:t>个别项目业务资料还存在不完整、不规范现象。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下一步改进措施：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加强制度管理。严格贯彻既有相关文件制度，对照专项资金管理办法和各项具体办法，加强专项资金的管理，做好年初有目标、年中有计划、年末有结果。</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进一步加快项目支出进度。针对个别项目资金支出率低的问题，将分析支出率低的原因并采取相关措施。加快项目支出进度，协调各业务部门，并加强项目实施单位项目督导，保障项目的正常开展。</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sz w:val="31"/>
          <w:szCs w:val="31"/>
        </w:rPr>
      </w:pPr>
    </w:p>
    <w:tbl>
      <w:tblPr>
        <w:tblStyle w:val="6"/>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1049"/>
        <w:gridCol w:w="870"/>
        <w:gridCol w:w="1710"/>
        <w:gridCol w:w="1335"/>
        <w:gridCol w:w="1185"/>
        <w:gridCol w:w="688"/>
        <w:gridCol w:w="512"/>
        <w:gridCol w:w="59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914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区级预算（项目）绩效目标自评表</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49" w:type="dxa"/>
            <w:gridSpan w:val="10"/>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专项（项目）名称</w:t>
            </w:r>
          </w:p>
        </w:tc>
        <w:tc>
          <w:tcPr>
            <w:tcW w:w="69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基本公共卫生服务经费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西安市卫生健康局</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西安市阎良区振兴卫生院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98.23</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106.55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98.23</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106.55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Style w:val="21"/>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Bdr>
                <w:bottom w:val="single" w:color="FFFFFF" w:sz="4" w:space="0"/>
              </w:pBdr>
              <w:tabs>
                <w:tab w:val="left" w:pos="8050"/>
                <w:tab w:val="left" w:pos="8094"/>
              </w:tabs>
              <w:topLinePunct/>
              <w:spacing w:line="560" w:lineRule="exact"/>
              <w:ind w:firstLine="225" w:firstLineChars="150"/>
              <w:rPr>
                <w:rFonts w:hint="eastAsia" w:ascii="仿宋_GB2312" w:eastAsia="仿宋_GB2312"/>
                <w:sz w:val="15"/>
                <w:szCs w:val="15"/>
              </w:rPr>
            </w:pPr>
            <w:r>
              <w:rPr>
                <w:rFonts w:hint="eastAsia" w:ascii="楷体_GB2312" w:eastAsia="楷体_GB2312"/>
                <w:sz w:val="15"/>
                <w:szCs w:val="15"/>
              </w:rPr>
              <w:t>继续推进并完善</w:t>
            </w:r>
            <w:r>
              <w:rPr>
                <w:rFonts w:hint="eastAsia" w:ascii="楷体_GB2312" w:eastAsia="楷体_GB2312"/>
                <w:sz w:val="15"/>
                <w:szCs w:val="15"/>
                <w:lang w:eastAsia="zh-CN"/>
              </w:rPr>
              <w:t>流动人口计划生育</w:t>
            </w:r>
            <w:r>
              <w:rPr>
                <w:rFonts w:hint="eastAsia" w:ascii="楷体_GB2312" w:eastAsia="楷体_GB2312"/>
                <w:sz w:val="15"/>
                <w:szCs w:val="15"/>
              </w:rPr>
              <w:t>卫生服务模式，</w:t>
            </w:r>
            <w:r>
              <w:rPr>
                <w:rFonts w:hint="eastAsia" w:ascii="楷体_GB2312" w:eastAsia="楷体_GB2312"/>
                <w:sz w:val="15"/>
                <w:szCs w:val="15"/>
                <w:lang w:eastAsia="zh-CN"/>
              </w:rPr>
              <w:t>对全区流动人口计划生育</w:t>
            </w:r>
            <w:r>
              <w:rPr>
                <w:rFonts w:ascii="仿宋_GB2312" w:hAnsi="仿宋" w:eastAsia="仿宋_GB2312"/>
                <w:sz w:val="15"/>
                <w:szCs w:val="15"/>
              </w:rPr>
              <w:t>服务稳步推进。</w:t>
            </w:r>
            <w:r>
              <w:rPr>
                <w:rFonts w:hint="eastAsia" w:ascii="仿宋_GB2312" w:hAnsi="仿宋" w:eastAsia="仿宋_GB2312"/>
                <w:sz w:val="15"/>
                <w:szCs w:val="15"/>
                <w:lang w:eastAsia="zh-CN"/>
              </w:rPr>
              <w:t>加强宣传流动人口计划生育管理工作，为全区流动人口管理打好基础。</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30" w:lineRule="exact"/>
              <w:ind w:firstLine="480" w:firstLineChars="200"/>
              <w:jc w:val="left"/>
              <w:rPr>
                <w:rFonts w:hint="eastAsia" w:ascii="楷体" w:hAnsi="楷体" w:eastAsia="楷体" w:cs="楷体"/>
                <w:sz w:val="24"/>
              </w:rPr>
            </w:pPr>
            <w:r>
              <w:rPr>
                <w:rFonts w:hint="eastAsia" w:ascii="楷体" w:hAnsi="楷体" w:eastAsia="楷体" w:cs="楷体"/>
                <w:sz w:val="24"/>
              </w:rPr>
              <w:t>加强网络安全管理，开展网络安全排查与漏洞修复。</w:t>
            </w:r>
          </w:p>
          <w:p>
            <w:pPr>
              <w:adjustRightInd w:val="0"/>
              <w:snapToGrid w:val="0"/>
              <w:spacing w:line="430" w:lineRule="exact"/>
              <w:ind w:firstLine="480" w:firstLineChars="200"/>
              <w:jc w:val="left"/>
              <w:rPr>
                <w:rFonts w:hint="eastAsia" w:ascii="仿宋" w:hAnsi="仿宋" w:eastAsia="仿宋" w:cs="仿宋"/>
                <w:sz w:val="24"/>
              </w:rPr>
            </w:pPr>
            <w:r>
              <w:rPr>
                <w:rFonts w:hint="eastAsia" w:ascii="仿宋" w:hAnsi="仿宋" w:eastAsia="仿宋" w:cs="仿宋"/>
                <w:sz w:val="24"/>
              </w:rPr>
              <w:t>全面开展区域医药卫生信息平台网络安全排查，针对排查出的内外网混用、网络安全设施不足、制度建立不完善等问题，联合运维商共同制定专项整改方案</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服务范围、途径、规律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服务总成本</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106.55万元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106.55万元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对群众有计划</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968"/>
        <w:gridCol w:w="939"/>
        <w:gridCol w:w="700"/>
        <w:gridCol w:w="2681"/>
        <w:gridCol w:w="1646"/>
        <w:gridCol w:w="1054"/>
        <w:gridCol w:w="1058"/>
        <w:gridCol w:w="1062"/>
        <w:gridCol w:w="1046"/>
        <w:gridCol w:w="859"/>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45" w:type="dxa"/>
            <w:gridSpan w:val="1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22"/>
                <w:rFonts w:hAnsi="宋体"/>
                <w:lang w:val="en-US" w:eastAsia="zh-CN" w:bidi="ar"/>
              </w:rPr>
              <w:t>部门整体支出绩效自评表</w:t>
            </w:r>
            <w:r>
              <w:rPr>
                <w:rStyle w:val="22"/>
                <w:rFonts w:hAnsi="宋体"/>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36"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填报单位:西安市阎良区振兴卫生院</w:t>
            </w:r>
          </w:p>
        </w:tc>
        <w:tc>
          <w:tcPr>
            <w:tcW w:w="164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自评得分：90</w:t>
            </w:r>
          </w:p>
        </w:tc>
        <w:tc>
          <w:tcPr>
            <w:tcW w:w="1054"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8"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62"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46"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西安市阎良区振兴卫生院是阎良区区属规模较好的乡镇综合性卫生院之一，主要担负辖区内居民的基本医疗、保健、公共卫生服务等。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年支出总额106.55万元，一：基本支出63.48万元（其中：工资福利支出40.61万元，商品和服务支出12.77万元（其中：办公费1.6万元，印刷费1.64万元，水费0.4万元，电费2.万元，邮电费0.35万元，差旅费0.2元，维修费7.7万元，委托业务费2.89万元，工会经费8.3万元，福利支出4.4万元，管理费0.02万元，对个人和家庭补助1.4万元）。</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二、项目支出8.6万元，其中基本支出8.6万元，（其中：办公费1.5万元，印刷费1.6万元，水费万元，电费万元，邮电费元，物业管理费万元，差旅费0.05元，劳务费5.35万元（含临聘人员工资），维修费万元，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力推进健康西安建设,迎接国家卫生城市复审，推动综合医改不断取得实效。巩固破除以药补医成果，提升基层医疗机构服务能力。做实做细公共卫生服务。做好地方病和传染病防控工作，提高预防接种服务质量，持续强化卫生应急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半年进度率≥45%，前三季度进度率≥75%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半年进度42%，前三季度进度超75%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19.70%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各项资产全面预算管理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8"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0"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2681"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646" w:type="dxa"/>
            <w:shd w:val="clear" w:color="auto" w:fill="auto"/>
            <w:vAlign w:val="center"/>
          </w:tcPr>
          <w:p>
            <w:pPr>
              <w:rPr>
                <w:rFonts w:hint="eastAsia" w:ascii="楷体_GB2312" w:hAnsi="宋体" w:eastAsia="楷体_GB2312" w:cs="楷体_GB2312"/>
                <w:i w:val="0"/>
                <w:color w:val="000000"/>
                <w:sz w:val="20"/>
                <w:szCs w:val="20"/>
                <w:u w:val="none"/>
              </w:rPr>
            </w:pPr>
          </w:p>
        </w:tc>
        <w:tc>
          <w:tcPr>
            <w:tcW w:w="1054" w:type="dxa"/>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预算资金使用合规</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全年预算资金使用合规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完成既定的预算项目产出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完成既定的预算项目效益</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4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w:t>
      </w:r>
      <w:r>
        <w:rPr>
          <w:rFonts w:hint="eastAsia" w:ascii="仿宋_GB2312" w:hAnsi="仿宋_GB2312" w:eastAsia="仿宋_GB2312" w:cs="仿宋_GB2312"/>
          <w:color w:val="000000"/>
          <w:kern w:val="0"/>
          <w:sz w:val="31"/>
          <w:szCs w:val="31"/>
          <w:lang w:eastAsia="zh-CN"/>
        </w:rPr>
        <w:t>本部门无</w:t>
      </w:r>
      <w:r>
        <w:rPr>
          <w:rFonts w:hint="eastAsia" w:ascii="仿宋_GB2312" w:hAnsi="仿宋_GB2312" w:eastAsia="仿宋_GB2312" w:cs="仿宋_GB2312"/>
          <w:color w:val="000000"/>
          <w:kern w:val="0"/>
          <w:sz w:val="31"/>
          <w:szCs w:val="31"/>
        </w:rPr>
        <w:t>机关运行经费</w:t>
      </w:r>
      <w:r>
        <w:rPr>
          <w:rFonts w:hint="eastAsia" w:ascii="仿宋_GB2312" w:hAnsi="仿宋_GB2312" w:eastAsia="仿宋_GB2312" w:cs="仿宋_GB2312"/>
          <w:color w:val="000000"/>
          <w:kern w:val="0"/>
          <w:sz w:val="31"/>
          <w:szCs w:val="31"/>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2019年度无政府采购支出情况</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abstractNum w:abstractNumId="3">
    <w:nsid w:val="5F90EF47"/>
    <w:multiLevelType w:val="singleLevel"/>
    <w:tmpl w:val="5F90EF47"/>
    <w:lvl w:ilvl="0" w:tentative="0">
      <w:start w:val="3"/>
      <w:numFmt w:val="chineseCounting"/>
      <w:suff w:val="nothing"/>
      <w:lvlText w:val="%1、"/>
      <w:lvlJc w:val="left"/>
    </w:lvl>
  </w:abstractNum>
  <w:abstractNum w:abstractNumId="4">
    <w:nsid w:val="5F910EDA"/>
    <w:multiLevelType w:val="singleLevel"/>
    <w:tmpl w:val="5F910EDA"/>
    <w:lvl w:ilvl="0" w:tentative="0">
      <w:start w:val="6"/>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03280B"/>
    <w:rsid w:val="000B6B70"/>
    <w:rsid w:val="00114A05"/>
    <w:rsid w:val="00153B05"/>
    <w:rsid w:val="001841F4"/>
    <w:rsid w:val="00193CF6"/>
    <w:rsid w:val="001A3F5E"/>
    <w:rsid w:val="001E4F30"/>
    <w:rsid w:val="001F3BDF"/>
    <w:rsid w:val="00207E2C"/>
    <w:rsid w:val="00260566"/>
    <w:rsid w:val="002C0EA2"/>
    <w:rsid w:val="002E533E"/>
    <w:rsid w:val="00333B4C"/>
    <w:rsid w:val="003C276B"/>
    <w:rsid w:val="00407E91"/>
    <w:rsid w:val="0043386A"/>
    <w:rsid w:val="004F622C"/>
    <w:rsid w:val="00521C76"/>
    <w:rsid w:val="00522ED8"/>
    <w:rsid w:val="005277AA"/>
    <w:rsid w:val="0057384A"/>
    <w:rsid w:val="00587012"/>
    <w:rsid w:val="00607885"/>
    <w:rsid w:val="00620CDE"/>
    <w:rsid w:val="006717B6"/>
    <w:rsid w:val="00673F8D"/>
    <w:rsid w:val="0068386E"/>
    <w:rsid w:val="006901FB"/>
    <w:rsid w:val="006E34A8"/>
    <w:rsid w:val="007140E4"/>
    <w:rsid w:val="0074032F"/>
    <w:rsid w:val="00753494"/>
    <w:rsid w:val="00801920"/>
    <w:rsid w:val="0086752E"/>
    <w:rsid w:val="008A5101"/>
    <w:rsid w:val="008B441C"/>
    <w:rsid w:val="0093369B"/>
    <w:rsid w:val="00946A5A"/>
    <w:rsid w:val="00964FD8"/>
    <w:rsid w:val="00A105EC"/>
    <w:rsid w:val="00A91295"/>
    <w:rsid w:val="00AB79D4"/>
    <w:rsid w:val="00B07433"/>
    <w:rsid w:val="00BB7725"/>
    <w:rsid w:val="00BF680F"/>
    <w:rsid w:val="00BF6E5C"/>
    <w:rsid w:val="00BF7ECE"/>
    <w:rsid w:val="00C470C8"/>
    <w:rsid w:val="00CE752B"/>
    <w:rsid w:val="00CF0F44"/>
    <w:rsid w:val="00D97EAC"/>
    <w:rsid w:val="00DB4620"/>
    <w:rsid w:val="00ED1599"/>
    <w:rsid w:val="00F0766B"/>
    <w:rsid w:val="00F7301A"/>
    <w:rsid w:val="010E3361"/>
    <w:rsid w:val="03835462"/>
    <w:rsid w:val="068B7849"/>
    <w:rsid w:val="06AA6FBE"/>
    <w:rsid w:val="06FD26E3"/>
    <w:rsid w:val="07C31DCD"/>
    <w:rsid w:val="086C1E64"/>
    <w:rsid w:val="09F56D6B"/>
    <w:rsid w:val="0AD36DA3"/>
    <w:rsid w:val="12351C96"/>
    <w:rsid w:val="15916C1F"/>
    <w:rsid w:val="169B429B"/>
    <w:rsid w:val="17A61B84"/>
    <w:rsid w:val="18634A0D"/>
    <w:rsid w:val="1AF22409"/>
    <w:rsid w:val="1C5144EA"/>
    <w:rsid w:val="1D8B0C78"/>
    <w:rsid w:val="20B96E79"/>
    <w:rsid w:val="20E506C4"/>
    <w:rsid w:val="2256467C"/>
    <w:rsid w:val="256264C3"/>
    <w:rsid w:val="2660352B"/>
    <w:rsid w:val="287C13F1"/>
    <w:rsid w:val="28FB2AB2"/>
    <w:rsid w:val="301C7C22"/>
    <w:rsid w:val="30DF4759"/>
    <w:rsid w:val="32FF6542"/>
    <w:rsid w:val="350A5D93"/>
    <w:rsid w:val="352F60A3"/>
    <w:rsid w:val="35ED687C"/>
    <w:rsid w:val="3669223E"/>
    <w:rsid w:val="366C12FC"/>
    <w:rsid w:val="374C18A1"/>
    <w:rsid w:val="3BFC6DCC"/>
    <w:rsid w:val="3C7A6DAB"/>
    <w:rsid w:val="3D904069"/>
    <w:rsid w:val="3FCA23EC"/>
    <w:rsid w:val="41942E54"/>
    <w:rsid w:val="424D60E4"/>
    <w:rsid w:val="42FA4769"/>
    <w:rsid w:val="43BC1030"/>
    <w:rsid w:val="4473548D"/>
    <w:rsid w:val="461141E8"/>
    <w:rsid w:val="46E36CA1"/>
    <w:rsid w:val="47964FBE"/>
    <w:rsid w:val="4A1752A2"/>
    <w:rsid w:val="4B18398F"/>
    <w:rsid w:val="50C46A00"/>
    <w:rsid w:val="52AC7AB3"/>
    <w:rsid w:val="54207C4C"/>
    <w:rsid w:val="544D3043"/>
    <w:rsid w:val="576930A7"/>
    <w:rsid w:val="596D661C"/>
    <w:rsid w:val="5A6E4310"/>
    <w:rsid w:val="5A8010D2"/>
    <w:rsid w:val="5DA35FFD"/>
    <w:rsid w:val="5F5027A5"/>
    <w:rsid w:val="626A0671"/>
    <w:rsid w:val="646426D4"/>
    <w:rsid w:val="65706DA4"/>
    <w:rsid w:val="69A157A9"/>
    <w:rsid w:val="6A774FA8"/>
    <w:rsid w:val="6AD1108A"/>
    <w:rsid w:val="6B3B79EC"/>
    <w:rsid w:val="6CD627C3"/>
    <w:rsid w:val="6D6B2A8B"/>
    <w:rsid w:val="6EAC6681"/>
    <w:rsid w:val="6ED21AF3"/>
    <w:rsid w:val="6F094735"/>
    <w:rsid w:val="71840673"/>
    <w:rsid w:val="73431FE5"/>
    <w:rsid w:val="7449622B"/>
    <w:rsid w:val="758D7410"/>
    <w:rsid w:val="769A2503"/>
    <w:rsid w:val="778B0394"/>
    <w:rsid w:val="78F706B3"/>
    <w:rsid w:val="79230860"/>
    <w:rsid w:val="7B6D5E4A"/>
    <w:rsid w:val="7CAF001A"/>
    <w:rsid w:val="7E4737DD"/>
    <w:rsid w:val="7E9C38C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locked/>
    <w:uiPriority w:val="99"/>
    <w:rPr>
      <w:rFonts w:ascii="宋体" w:hAnsi="Courier New" w:cs="Courier New"/>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qFormat/>
    <w:locked/>
    <w:uiPriority w:val="99"/>
    <w:rPr>
      <w:rFonts w:ascii="Calibri" w:hAnsi="Calibri" w:eastAsia="方正仿宋简体" w:cs="Times New Roman"/>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41"/>
    <w:basedOn w:val="8"/>
    <w:qFormat/>
    <w:uiPriority w:val="0"/>
    <w:rPr>
      <w:rFonts w:hint="eastAsia" w:ascii="宋体" w:hAnsi="宋体" w:eastAsia="宋体" w:cs="宋体"/>
      <w:color w:val="000000"/>
      <w:sz w:val="16"/>
      <w:szCs w:val="16"/>
      <w:u w:val="none"/>
    </w:rPr>
  </w:style>
  <w:style w:type="character" w:customStyle="1" w:styleId="21">
    <w:name w:val="font111"/>
    <w:basedOn w:val="8"/>
    <w:qFormat/>
    <w:uiPriority w:val="0"/>
    <w:rPr>
      <w:rFonts w:hint="eastAsia" w:ascii="宋体" w:hAnsi="宋体" w:eastAsia="宋体" w:cs="宋体"/>
      <w:color w:val="000000"/>
      <w:sz w:val="16"/>
      <w:szCs w:val="16"/>
      <w:u w:val="none"/>
    </w:rPr>
  </w:style>
  <w:style w:type="character" w:customStyle="1" w:styleId="22">
    <w:name w:val="font01"/>
    <w:basedOn w:val="8"/>
    <w:qFormat/>
    <w:uiPriority w:val="0"/>
    <w:rPr>
      <w:rFonts w:hint="eastAsia" w:ascii="黑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27</Pages>
  <Words>1601</Words>
  <Characters>9129</Characters>
  <Lines>0</Lines>
  <Paragraphs>0</Paragraphs>
  <TotalTime>23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Administrator</cp:lastModifiedBy>
  <cp:lastPrinted>2020-10-29T01:26:10Z</cp:lastPrinted>
  <dcterms:modified xsi:type="dcterms:W3CDTF">2020-10-29T01:39:22Z</dcterms:modified>
  <dc:title>西安市阎良区财政局</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