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r>
        <w:rPr>
          <w:rFonts w:hint="eastAsia" w:ascii="方正小标宋简体" w:eastAsia="方正小标宋简体"/>
          <w:b/>
          <w:bCs/>
          <w:spacing w:val="30"/>
          <w:sz w:val="44"/>
          <w:szCs w:val="44"/>
          <w:lang w:val="en-US" w:eastAsia="zh-CN"/>
        </w:rPr>
        <w:t>阎良区金融工作服务中心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r>
        <w:rPr>
          <w:rFonts w:hint="eastAsia" w:ascii="方正小标宋简体" w:eastAsia="方正小标宋简体"/>
          <w:b/>
          <w:bCs/>
          <w:spacing w:val="30"/>
          <w:sz w:val="44"/>
          <w:szCs w:val="44"/>
          <w:lang w:val="en-US" w:eastAsia="zh-CN"/>
        </w:rPr>
        <w:t>2019年度</w:t>
      </w:r>
      <w:bookmarkStart w:id="5" w:name="_GoBack"/>
      <w:bookmarkEnd w:id="5"/>
      <w:r>
        <w:rPr>
          <w:rFonts w:hint="eastAsia" w:ascii="方正小标宋简体" w:eastAsia="方正小标宋简体"/>
          <w:b/>
          <w:bCs/>
          <w:spacing w:val="30"/>
          <w:sz w:val="44"/>
          <w:szCs w:val="44"/>
          <w:lang w:val="en-US" w:eastAsia="zh-CN"/>
        </w:rPr>
        <w:t>部门决算说明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840" w:firstLineChars="200"/>
        <w:jc w:val="left"/>
        <w:textAlignment w:val="auto"/>
        <w:rPr>
          <w:rFonts w:hint="eastAsia" w:ascii="方正小标宋简体" w:eastAsia="方正小标宋简体"/>
          <w:b w:val="0"/>
          <w:bCs w:val="0"/>
          <w:spacing w:val="30"/>
          <w:sz w:val="36"/>
          <w:szCs w:val="36"/>
          <w:lang w:val="en-US" w:eastAsia="zh-CN"/>
        </w:rPr>
      </w:pPr>
      <w:r>
        <w:rPr>
          <w:rFonts w:hint="eastAsia" w:ascii="方正小标宋简体" w:eastAsia="方正小标宋简体"/>
          <w:b w:val="0"/>
          <w:bCs w:val="0"/>
          <w:spacing w:val="30"/>
          <w:sz w:val="36"/>
          <w:szCs w:val="36"/>
          <w:lang w:val="en-US" w:eastAsia="zh-CN"/>
        </w:rPr>
        <w:t>保密审查情况：已审查</w:t>
      </w:r>
    </w:p>
    <w:p>
      <w:pPr>
        <w:keepNext w:val="0"/>
        <w:keepLines w:val="0"/>
        <w:pageBreakBefore w:val="0"/>
        <w:widowControl w:val="0"/>
        <w:kinsoku/>
        <w:wordWrap/>
        <w:overflowPunct/>
        <w:topLinePunct w:val="0"/>
        <w:autoSpaceDE/>
        <w:autoSpaceDN/>
        <w:bidi w:val="0"/>
        <w:adjustRightInd/>
        <w:snapToGrid/>
        <w:spacing w:line="640" w:lineRule="exact"/>
        <w:ind w:firstLine="840" w:firstLineChars="200"/>
        <w:jc w:val="left"/>
        <w:textAlignment w:val="auto"/>
        <w:rPr>
          <w:rFonts w:hint="eastAsia" w:ascii="方正小标宋简体" w:eastAsia="方正小标宋简体"/>
          <w:b w:val="0"/>
          <w:bCs w:val="0"/>
          <w:spacing w:val="30"/>
          <w:sz w:val="44"/>
          <w:szCs w:val="44"/>
          <w:lang w:val="en-US" w:eastAsia="zh-CN"/>
        </w:rPr>
      </w:pPr>
      <w:r>
        <w:rPr>
          <w:rFonts w:hint="eastAsia" w:ascii="方正小标宋简体" w:eastAsia="方正小标宋简体"/>
          <w:b w:val="0"/>
          <w:bCs w:val="0"/>
          <w:spacing w:val="30"/>
          <w:sz w:val="36"/>
          <w:szCs w:val="36"/>
          <w:lang w:val="en-US" w:eastAsia="zh-CN"/>
        </w:rPr>
        <w:t>部门主要负责人审签情况：聂凡已审签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b/>
          <w:bCs/>
          <w:spacing w:val="30"/>
          <w:sz w:val="44"/>
          <w:szCs w:val="44"/>
          <w:lang w:val="en-US" w:eastAsia="zh-CN"/>
        </w:rPr>
      </w:pPr>
    </w:p>
    <w:p>
      <w:pPr>
        <w:jc w:val="center"/>
        <w:rPr>
          <w:rFonts w:hint="eastAsia" w:ascii="方正小标宋简体" w:eastAsia="方正小标宋简体"/>
          <w:spacing w:val="30"/>
          <w:sz w:val="44"/>
          <w:szCs w:val="44"/>
          <w:lang w:val="en-US" w:eastAsia="zh-CN"/>
        </w:rPr>
      </w:pPr>
    </w:p>
    <w:p>
      <w:pPr>
        <w:jc w:val="center"/>
        <w:rPr>
          <w:rFonts w:hint="eastAsia" w:ascii="方正小标宋简体" w:eastAsia="方正小标宋简体"/>
          <w:spacing w:val="30"/>
          <w:sz w:val="44"/>
          <w:szCs w:val="44"/>
          <w:lang w:val="en-US" w:eastAsia="zh-CN"/>
        </w:rPr>
      </w:pPr>
    </w:p>
    <w:p>
      <w:pPr>
        <w:jc w:val="center"/>
        <w:rPr>
          <w:rFonts w:hint="eastAsia" w:ascii="方正小标宋简体" w:eastAsia="方正小标宋简体"/>
          <w:spacing w:val="30"/>
          <w:sz w:val="44"/>
          <w:szCs w:val="44"/>
          <w:lang w:val="en-US" w:eastAsia="zh-CN"/>
        </w:rPr>
      </w:pPr>
    </w:p>
    <w:p>
      <w:pPr>
        <w:jc w:val="center"/>
        <w:rPr>
          <w:rFonts w:hint="eastAsia" w:ascii="方正小标宋简体" w:eastAsia="方正小标宋简体"/>
          <w:spacing w:val="30"/>
          <w:sz w:val="44"/>
          <w:szCs w:val="44"/>
          <w:lang w:val="en-US" w:eastAsia="zh-CN"/>
        </w:rPr>
      </w:pPr>
    </w:p>
    <w:p>
      <w:pPr>
        <w:jc w:val="center"/>
        <w:rPr>
          <w:rFonts w:hint="eastAsia" w:ascii="方正小标宋简体" w:eastAsia="方正小标宋简体"/>
          <w:spacing w:val="30"/>
          <w:sz w:val="44"/>
          <w:szCs w:val="44"/>
          <w:lang w:val="en-US" w:eastAsia="zh-CN"/>
        </w:rPr>
      </w:pPr>
    </w:p>
    <w:p>
      <w:pPr>
        <w:jc w:val="center"/>
        <w:rPr>
          <w:rFonts w:hint="eastAsia" w:ascii="方正小标宋简体" w:eastAsia="方正小标宋简体"/>
          <w:spacing w:val="30"/>
          <w:sz w:val="44"/>
          <w:szCs w:val="44"/>
          <w:lang w:val="en-US" w:eastAsia="zh-CN"/>
        </w:rPr>
      </w:pPr>
    </w:p>
    <w:p>
      <w:pPr>
        <w:jc w:val="center"/>
        <w:rPr>
          <w:rFonts w:ascii="黑体" w:hAnsi="宋体" w:eastAsia="黑体"/>
          <w:bCs/>
          <w:color w:val="000000"/>
          <w:kern w:val="0"/>
          <w:sz w:val="36"/>
          <w:szCs w:val="36"/>
        </w:rPr>
      </w:pPr>
      <w:r>
        <w:rPr>
          <w:rFonts w:hint="eastAsia" w:ascii="方正小标宋简体" w:eastAsia="方正小标宋简体"/>
          <w:spacing w:val="30"/>
          <w:sz w:val="44"/>
          <w:szCs w:val="44"/>
          <w:lang w:val="en-US" w:eastAsia="zh-CN"/>
        </w:rPr>
        <w:t xml:space="preserve"> </w:t>
      </w: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9"/>
        <w:numPr>
          <w:ilvl w:val="0"/>
          <w:numId w:val="2"/>
        </w:numPr>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部门主要职责及内设机构</w:t>
      </w:r>
    </w:p>
    <w:p>
      <w:pPr>
        <w:pStyle w:val="21"/>
        <w:spacing w:line="640" w:lineRule="exact"/>
        <w:ind w:left="420" w:firstLine="0" w:firstLineChars="0"/>
        <w:rPr>
          <w:rFonts w:hint="eastAsia" w:ascii="楷体" w:hAnsi="楷体" w:eastAsia="楷体" w:cs="楷体"/>
          <w:b/>
          <w:bCs/>
          <w:color w:val="000000"/>
          <w:kern w:val="0"/>
          <w:szCs w:val="32"/>
        </w:rPr>
      </w:pPr>
      <w:r>
        <w:rPr>
          <w:rFonts w:hint="eastAsia" w:ascii="仿宋_GB2312" w:hAnsi="宋体" w:eastAsia="仿宋_GB2312" w:cs="仿宋_GB2312"/>
        </w:rPr>
        <w:t xml:space="preserve">    </w:t>
      </w:r>
      <w:r>
        <w:rPr>
          <w:rFonts w:hint="eastAsia" w:ascii="仿宋_GB2312" w:hAnsi="宋体" w:eastAsia="仿宋_GB2312" w:cs="宋体"/>
          <w:color w:val="000000"/>
          <w:kern w:val="0"/>
          <w:szCs w:val="32"/>
        </w:rPr>
        <w:t>根据区委区政府机构改革方案，本部门</w:t>
      </w:r>
      <w:r>
        <w:rPr>
          <w:rFonts w:ascii="仿宋_GB2312" w:hAnsi="宋体" w:eastAsia="仿宋_GB2312" w:cs="宋体"/>
          <w:color w:val="000000"/>
          <w:kern w:val="0"/>
          <w:szCs w:val="32"/>
        </w:rPr>
        <w:t>2019</w:t>
      </w:r>
      <w:r>
        <w:rPr>
          <w:rFonts w:hint="eastAsia" w:ascii="仿宋_GB2312" w:hAnsi="宋体" w:eastAsia="仿宋_GB2312" w:cs="宋体"/>
          <w:color w:val="000000"/>
          <w:kern w:val="0"/>
          <w:szCs w:val="32"/>
        </w:rPr>
        <w:t>年更名为西安市阎良区金融工作服务中心（阎政办发〔</w:t>
      </w:r>
      <w:r>
        <w:rPr>
          <w:rFonts w:ascii="仿宋_GB2312" w:hAnsi="宋体" w:eastAsia="仿宋_GB2312" w:cs="宋体"/>
          <w:color w:val="000000"/>
          <w:kern w:val="0"/>
          <w:szCs w:val="32"/>
        </w:rPr>
        <w:t>2019</w:t>
      </w:r>
      <w:r>
        <w:rPr>
          <w:rFonts w:hint="eastAsia" w:ascii="仿宋_GB2312" w:hAnsi="宋体" w:eastAsia="仿宋_GB2312" w:cs="宋体"/>
          <w:color w:val="000000"/>
          <w:kern w:val="0"/>
          <w:szCs w:val="32"/>
        </w:rPr>
        <w:t>〕</w:t>
      </w:r>
      <w:r>
        <w:rPr>
          <w:rFonts w:ascii="仿宋_GB2312" w:hAnsi="宋体" w:eastAsia="仿宋_GB2312" w:cs="宋体"/>
          <w:color w:val="000000"/>
          <w:kern w:val="0"/>
          <w:szCs w:val="32"/>
        </w:rPr>
        <w:t>76</w:t>
      </w:r>
      <w:r>
        <w:rPr>
          <w:rFonts w:hint="eastAsia" w:ascii="仿宋_GB2312" w:hAnsi="宋体" w:eastAsia="仿宋_GB2312" w:cs="宋体"/>
          <w:color w:val="000000"/>
          <w:kern w:val="0"/>
          <w:szCs w:val="32"/>
        </w:rPr>
        <w:t>号），是阎良区人民政府直属事业单位。相关职能及内设机构随之调整。</w:t>
      </w:r>
    </w:p>
    <w:p>
      <w:pPr>
        <w:widowControl/>
        <w:spacing w:line="560" w:lineRule="exact"/>
        <w:ind w:firstLine="643" w:firstLineChars="200"/>
        <w:jc w:val="left"/>
      </w:pPr>
      <w:r>
        <w:rPr>
          <w:rFonts w:hint="eastAsia" w:ascii="楷体" w:hAnsi="楷体" w:eastAsia="楷体" w:cs="楷体"/>
          <w:b/>
          <w:bCs/>
          <w:color w:val="000000"/>
          <w:kern w:val="0"/>
          <w:szCs w:val="32"/>
        </w:rPr>
        <w:t>（一）主要职责</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 xml:space="preserve"> 1、贯彻执行党和国家有关金融工作的法律法规和方针政策，贯彻落实区委、区政府有关金融工作的决议、决定和工作部署。</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2、研究分析全区金融形势和运行情况，提出改善金融发展环境、促进金融业发展和改革的意见建议。</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3、负责地方支持金融业发展的政策措施研究；协调金融机构优化金融领域营商环境有关工作。</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4、负责全区金融招商工作；通过招商引资、争取上级资金、激活民资等方式，鼓励引导金融机构支持地方经济发展。</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5、负责企业上市的宣传和培训工作；负责上市公司、挂牌公司、债券发行人的协调服务，推动企业上市挂牌，承担拟上市公司的培育、推荐工作；负责企业上市挂牌服务以及上市后支持服务工作；负责上市公司并购、资产重组、股权交易及再融资等服务工作；协调服务和推进创业投资、股权（产业）投资发展。优化全区资本市场发展环境，推动多渠道直接融资。</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6、负责建立金融服务沟通协调机制；负责与驻区金融机构的业务联系；积极搭建政银企对接平台，强化政府、银行、企业的联系与沟通，促进政银企合作发展；配合做好融资服务平台建设。</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7、负责做好人民银行和各类金融机构协调服务工作；鼓励引导金融机构发展普惠金融、绿色金融，优化农村信用环境，加大对“三农”和中小微企业的金融扶持力度；组织开展金融扶贫工作。</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8、负责各类金融机构的引进工作。</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9、组织开展金融知识宣传，提升社会公众风险防范意识。</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10、负责组好全区农村金融改革相关工作。</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11、负责本单位安全生产管理工作。</w:t>
      </w:r>
    </w:p>
    <w:p>
      <w:pPr>
        <w:spacing w:line="560" w:lineRule="exact"/>
        <w:ind w:firstLine="640" w:firstLineChars="200"/>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12、完成区委、区政府交办的其他事项。</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spacing w:line="560" w:lineRule="exact"/>
        <w:ind w:firstLine="640" w:firstLineChars="200"/>
        <w:jc w:val="left"/>
        <w:rPr>
          <w:rFonts w:ascii="楷体" w:hAnsi="楷体" w:eastAsia="楷体" w:cs="楷体"/>
          <w:b/>
          <w:bCs/>
          <w:color w:val="000000"/>
          <w:kern w:val="0"/>
          <w:szCs w:val="32"/>
        </w:rPr>
      </w:pPr>
      <w:r>
        <w:rPr>
          <w:rFonts w:hint="eastAsia" w:ascii="仿宋_GB2312" w:hAnsi="宋体" w:eastAsia="仿宋_GB2312" w:cs="宋体"/>
          <w:color w:val="000000"/>
          <w:kern w:val="0"/>
          <w:szCs w:val="32"/>
        </w:rPr>
        <w:t xml:space="preserve"> 机构设置：金融中心设4个内设机构：综合科、金融发展科、融资服务科、农村金融科，无下属单位；机关党的机构按照党章规定设置。</w:t>
      </w:r>
    </w:p>
    <w:p>
      <w:pPr>
        <w:widowControl/>
        <w:spacing w:line="560" w:lineRule="exact"/>
        <w:ind w:firstLine="640" w:firstLineChars="200"/>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示例：纳入2019年度本部门决算编制范围的单位共1个，为财政补助事业单位：</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西安市阎良区金融工作服务中心(本级)</w:t>
            </w:r>
          </w:p>
        </w:tc>
      </w:tr>
    </w:tbl>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截止2019年底，本部门人员编制11人，其中行政编制0人、事业编制11人；实有人员12人，其中行政0人、事业12人。单位管理的离退休人员0人。</w:t>
      </w:r>
    </w:p>
    <w:p>
      <w:pPr>
        <w:spacing w:line="560" w:lineRule="exact"/>
        <w:rPr>
          <w:rFonts w:ascii="仿宋_GB2312" w:hAnsi="仿宋_GB2312" w:eastAsia="仿宋_GB2312" w:cs="仿宋_GB2312"/>
          <w:szCs w:val="32"/>
        </w:rPr>
      </w:pPr>
    </w:p>
    <w:p>
      <w:pPr>
        <w:widowControl/>
        <w:jc w:val="center"/>
        <w:rPr>
          <w:rFonts w:ascii="黑体" w:hAnsi="宋体" w:eastAsia="黑体"/>
          <w:color w:val="000000"/>
          <w:kern w:val="0"/>
          <w:sz w:val="44"/>
          <w:szCs w:val="44"/>
        </w:rPr>
      </w:pPr>
      <w:r>
        <w:rPr>
          <w:rFonts w:ascii="黑体" w:hAnsi="宋体" w:eastAsia="黑体"/>
          <w:color w:val="000000"/>
          <w:kern w:val="0"/>
          <w:sz w:val="44"/>
          <w:szCs w:val="44"/>
        </w:rPr>
        <w:drawing>
          <wp:inline distT="0" distB="0" distL="0" distR="0">
            <wp:extent cx="4572000" cy="2195830"/>
            <wp:effectExtent l="5080" t="4445" r="1397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Style w:val="10"/>
        <w:tblpPr w:leftFromText="180" w:rightFromText="180" w:vertAnchor="text" w:horzAnchor="page" w:tblpX="1506" w:tblpY="1733"/>
        <w:tblOverlap w:val="never"/>
        <w:tblW w:w="9298" w:type="dxa"/>
        <w:tblInd w:w="0" w:type="dxa"/>
        <w:tblLayout w:type="fixed"/>
        <w:tblCellMar>
          <w:top w:w="0" w:type="dxa"/>
          <w:left w:w="0" w:type="dxa"/>
          <w:bottom w:w="0" w:type="dxa"/>
          <w:right w:w="0" w:type="dxa"/>
        </w:tblCellMar>
      </w:tblPr>
      <w:tblGrid>
        <w:gridCol w:w="575"/>
        <w:gridCol w:w="6301"/>
        <w:gridCol w:w="666"/>
        <w:gridCol w:w="1756"/>
      </w:tblGrid>
      <w:tr>
        <w:tblPrEx>
          <w:tblCellMar>
            <w:top w:w="0" w:type="dxa"/>
            <w:left w:w="0" w:type="dxa"/>
            <w:bottom w:w="0" w:type="dxa"/>
            <w:right w:w="0" w:type="dxa"/>
          </w:tblCellMar>
        </w:tblPrEx>
        <w:trPr>
          <w:trHeight w:val="57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57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r>
              <w:rPr>
                <w:rFonts w:hint="eastAsia" w:ascii="宋体" w:hAnsi="宋体" w:cs="宋体"/>
                <w:color w:val="000000"/>
                <w:sz w:val="24"/>
              </w:rPr>
              <w:t>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p>
        </w:tc>
      </w:tr>
      <w:tr>
        <w:tblPrEx>
          <w:tblCellMar>
            <w:top w:w="0" w:type="dxa"/>
            <w:left w:w="0" w:type="dxa"/>
            <w:bottom w:w="0" w:type="dxa"/>
            <w:right w:w="0" w:type="dxa"/>
          </w:tblCellMar>
        </w:tblPrEx>
        <w:trPr>
          <w:trHeight w:val="57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r>
              <w:rPr>
                <w:rFonts w:hint="eastAsia" w:ascii="宋体" w:hAnsi="宋体" w:cs="宋体"/>
                <w:color w:val="000000"/>
                <w:sz w:val="24"/>
              </w:rPr>
              <w:t>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p>
        </w:tc>
      </w:tr>
      <w:tr>
        <w:tblPrEx>
          <w:tblCellMar>
            <w:top w:w="0" w:type="dxa"/>
            <w:left w:w="0" w:type="dxa"/>
            <w:bottom w:w="0" w:type="dxa"/>
            <w:right w:w="0" w:type="dxa"/>
          </w:tblCellMar>
        </w:tblPrEx>
        <w:trPr>
          <w:trHeight w:val="57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r>
              <w:rPr>
                <w:rFonts w:hint="eastAsia" w:ascii="宋体" w:hAnsi="宋体" w:cs="宋体"/>
                <w:color w:val="000000"/>
                <w:sz w:val="24"/>
              </w:rPr>
              <w:t>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p>
        </w:tc>
      </w:tr>
      <w:tr>
        <w:tblPrEx>
          <w:tblCellMar>
            <w:top w:w="0" w:type="dxa"/>
            <w:left w:w="0" w:type="dxa"/>
            <w:bottom w:w="0" w:type="dxa"/>
            <w:right w:w="0" w:type="dxa"/>
          </w:tblCellMar>
        </w:tblPrEx>
        <w:trPr>
          <w:trHeight w:val="57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r>
              <w:rPr>
                <w:rFonts w:hint="eastAsia" w:ascii="宋体" w:hAnsi="宋体" w:cs="宋体"/>
                <w:color w:val="000000"/>
                <w:sz w:val="24"/>
              </w:rPr>
              <w:t>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p>
        </w:tc>
      </w:tr>
      <w:tr>
        <w:tblPrEx>
          <w:tblCellMar>
            <w:top w:w="0" w:type="dxa"/>
            <w:left w:w="0" w:type="dxa"/>
            <w:bottom w:w="0" w:type="dxa"/>
            <w:right w:w="0" w:type="dxa"/>
          </w:tblCellMar>
        </w:tblPrEx>
        <w:trPr>
          <w:trHeight w:val="57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r>
              <w:rPr>
                <w:rFonts w:hint="eastAsia" w:ascii="宋体" w:hAnsi="宋体" w:cs="宋体"/>
                <w:color w:val="000000"/>
                <w:sz w:val="24"/>
              </w:rPr>
              <w:t>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p>
        </w:tc>
      </w:tr>
      <w:tr>
        <w:tblPrEx>
          <w:tblCellMar>
            <w:top w:w="0" w:type="dxa"/>
            <w:left w:w="0" w:type="dxa"/>
            <w:bottom w:w="0" w:type="dxa"/>
            <w:right w:w="0" w:type="dxa"/>
          </w:tblCellMar>
        </w:tblPrEx>
        <w:trPr>
          <w:trHeight w:val="57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r>
              <w:rPr>
                <w:rFonts w:hint="eastAsia" w:ascii="宋体" w:hAnsi="宋体" w:cs="宋体"/>
                <w:color w:val="000000"/>
                <w:sz w:val="24"/>
              </w:rPr>
              <w:t>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p>
        </w:tc>
      </w:tr>
      <w:tr>
        <w:tblPrEx>
          <w:tblCellMar>
            <w:top w:w="0" w:type="dxa"/>
            <w:left w:w="0" w:type="dxa"/>
            <w:bottom w:w="0" w:type="dxa"/>
            <w:right w:w="0" w:type="dxa"/>
          </w:tblCellMar>
        </w:tblPrEx>
        <w:trPr>
          <w:trHeight w:val="578" w:hRule="atLeast"/>
        </w:trPr>
        <w:tc>
          <w:tcPr>
            <w:tcW w:w="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30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r>
              <w:rPr>
                <w:rFonts w:hint="eastAsia" w:ascii="宋体" w:hAnsi="宋体" w:cs="宋体"/>
                <w:color w:val="000000"/>
                <w:sz w:val="24"/>
              </w:rPr>
              <w:t>否</w:t>
            </w:r>
          </w:p>
        </w:tc>
        <w:tc>
          <w:tcPr>
            <w:tcW w:w="17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r>
              <w:rPr>
                <w:rFonts w:hint="eastAsia" w:ascii="宋体" w:hAnsi="宋体" w:cs="宋体"/>
                <w:color w:val="000000"/>
                <w:sz w:val="24"/>
              </w:rPr>
              <w:t>是</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000000"/>
                <w:sz w:val="24"/>
              </w:rPr>
            </w:pPr>
            <w:r>
              <w:rPr>
                <w:rFonts w:hint="eastAsia" w:ascii="宋体" w:hAnsi="宋体" w:cs="宋体"/>
                <w:color w:val="000000"/>
                <w:sz w:val="24"/>
              </w:rPr>
              <w:t>不涉及</w:t>
            </w:r>
          </w:p>
        </w:tc>
      </w:tr>
    </w:tbl>
    <w:p>
      <w:pPr>
        <w:widowControl/>
        <w:jc w:val="center"/>
        <w:rPr>
          <w:sz w:val="44"/>
          <w:szCs w:val="44"/>
        </w:rPr>
      </w:pPr>
      <w:r>
        <w:rPr>
          <w:rFonts w:ascii="黑体" w:hAnsi="宋体" w:eastAsia="黑体"/>
          <w:color w:val="000000"/>
          <w:kern w:val="0"/>
          <w:sz w:val="44"/>
          <w:szCs w:val="44"/>
        </w:rPr>
        <w:t>第二部分 2019年度部门决算表</w:t>
      </w:r>
    </w:p>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编制部门：西安市阎良区金融工作服务中心                          金额单位：万元</w:t>
      </w:r>
    </w:p>
    <w:tbl>
      <w:tblPr>
        <w:tblStyle w:val="10"/>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223.85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14.59</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3.25</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206.01</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223.85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b/>
                <w:color w:val="000000"/>
                <w:sz w:val="21"/>
                <w:szCs w:val="21"/>
              </w:rPr>
              <w:t>223.85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r>
              <w:rPr>
                <w:rFonts w:hint="eastAsia" w:ascii="宋体" w:hAnsi="宋体" w:eastAsia="宋体" w:cs="宋体"/>
                <w:b/>
                <w:bCs/>
                <w:color w:val="000000"/>
                <w:sz w:val="21"/>
                <w:szCs w:val="21"/>
              </w:rPr>
              <w:t>223.85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b/>
                <w:color w:val="000000"/>
                <w:sz w:val="21"/>
                <w:szCs w:val="21"/>
              </w:rPr>
              <w:t>223.85</w:t>
            </w:r>
          </w:p>
        </w:tc>
      </w:tr>
    </w:tbl>
    <w:p>
      <w:pPr>
        <w:widowControl/>
        <w:ind w:left="420" w:hanging="420" w:hangingChars="20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Pr>
        <w:widowControl/>
        <w:ind w:left="420" w:hanging="420" w:hangingChars="200"/>
        <w:jc w:val="left"/>
        <w:rPr>
          <w:rFonts w:ascii="宋体" w:hAnsi="宋体" w:eastAsia="宋体" w:cs="宋体"/>
          <w:color w:val="000000"/>
          <w:kern w:val="0"/>
          <w:sz w:val="21"/>
          <w:szCs w:val="21"/>
        </w:rPr>
      </w:pPr>
    </w:p>
    <w:p>
      <w:pPr>
        <w:widowControl/>
        <w:ind w:left="420" w:hanging="420" w:hangingChars="200"/>
        <w:jc w:val="left"/>
        <w:rPr>
          <w:rFonts w:ascii="宋体" w:hAnsi="宋体" w:eastAsia="宋体" w:cs="宋体"/>
          <w:color w:val="000000"/>
          <w:kern w:val="0"/>
          <w:sz w:val="21"/>
          <w:szCs w:val="21"/>
        </w:rPr>
      </w:pPr>
    </w:p>
    <w:p>
      <w:pPr>
        <w:widowControl/>
        <w:ind w:left="420" w:hanging="420" w:hangingChars="200"/>
        <w:jc w:val="left"/>
        <w:rPr>
          <w:rFonts w:ascii="宋体" w:hAnsi="宋体" w:eastAsia="宋体" w:cs="宋体"/>
          <w:color w:val="000000"/>
          <w:kern w:val="0"/>
          <w:sz w:val="21"/>
          <w:szCs w:val="21"/>
        </w:rPr>
      </w:pPr>
    </w:p>
    <w:p>
      <w:pPr>
        <w:widowControl/>
        <w:ind w:left="420" w:hanging="420" w:hangingChars="200"/>
        <w:jc w:val="left"/>
        <w:rPr>
          <w:rFonts w:ascii="宋体" w:hAnsi="宋体" w:eastAsia="宋体" w:cs="宋体"/>
          <w:color w:val="000000"/>
          <w:kern w:val="0"/>
          <w:sz w:val="21"/>
          <w:szCs w:val="21"/>
        </w:rPr>
      </w:pPr>
    </w:p>
    <w:p>
      <w:pPr>
        <w:widowControl/>
        <w:ind w:left="420" w:hanging="420" w:hangingChars="200"/>
        <w:jc w:val="left"/>
        <w:rPr>
          <w:rFonts w:ascii="宋体" w:hAnsi="宋体" w:eastAsia="宋体" w:cs="宋体"/>
          <w:color w:val="000000"/>
          <w:kern w:val="0"/>
          <w:sz w:val="21"/>
          <w:szCs w:val="21"/>
        </w:rPr>
      </w:pPr>
    </w:p>
    <w:p>
      <w:pPr>
        <w:widowControl/>
        <w:ind w:left="640" w:hanging="640" w:hangingChars="200"/>
        <w:jc w:val="left"/>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rPr>
          <w:rFonts w:ascii="宋体" w:hAnsi="宋体" w:eastAsia="宋体" w:cs="宋体"/>
          <w:b/>
          <w:bCs/>
          <w:szCs w:val="32"/>
        </w:rPr>
      </w:pPr>
      <w:r>
        <w:rPr>
          <w:rFonts w:hint="eastAsia" w:ascii="宋体" w:hAnsi="宋体" w:eastAsia="宋体" w:cs="宋体"/>
          <w:b/>
          <w:bCs/>
          <w:szCs w:val="32"/>
        </w:rPr>
        <w:t>收入决算表</w:t>
      </w:r>
    </w:p>
    <w:p>
      <w:pPr>
        <w:ind w:firstLine="843" w:firstLineChars="400"/>
        <w:rPr>
          <w:rFonts w:ascii="宋体" w:hAnsi="宋体" w:eastAsia="宋体" w:cs="宋体"/>
          <w:b/>
          <w:bCs/>
          <w:sz w:val="21"/>
          <w:szCs w:val="21"/>
        </w:rPr>
      </w:pPr>
      <w:r>
        <w:rPr>
          <w:rFonts w:hint="eastAsia" w:ascii="宋体" w:hAnsi="宋体" w:eastAsia="宋体" w:cs="宋体"/>
          <w:b/>
          <w:bCs/>
          <w:sz w:val="21"/>
          <w:szCs w:val="21"/>
        </w:rPr>
        <w:t>公开02表</w:t>
      </w:r>
    </w:p>
    <w:p>
      <w:pPr>
        <w:ind w:firstLine="843" w:firstLineChars="400"/>
      </w:pPr>
      <w:r>
        <w:rPr>
          <w:rFonts w:hint="eastAsia" w:ascii="宋体" w:hAnsi="宋体" w:eastAsia="宋体" w:cs="宋体"/>
          <w:b/>
          <w:bCs/>
          <w:sz w:val="21"/>
          <w:szCs w:val="21"/>
        </w:rPr>
        <w:t>编制部门： 西安市阎良区金融工作服务中心金额单位：万元</w:t>
      </w:r>
    </w:p>
    <w:tbl>
      <w:tblPr>
        <w:tblStyle w:val="10"/>
        <w:tblW w:w="12769" w:type="dxa"/>
        <w:tblInd w:w="0" w:type="dxa"/>
        <w:tblLayout w:type="fixed"/>
        <w:tblCellMar>
          <w:top w:w="0" w:type="dxa"/>
          <w:left w:w="0" w:type="dxa"/>
          <w:bottom w:w="0" w:type="dxa"/>
          <w:right w:w="0" w:type="dxa"/>
        </w:tblCellMar>
      </w:tblPr>
      <w:tblGrid>
        <w:gridCol w:w="958"/>
        <w:gridCol w:w="3770"/>
        <w:gridCol w:w="995"/>
        <w:gridCol w:w="1271"/>
        <w:gridCol w:w="840"/>
        <w:gridCol w:w="1155"/>
        <w:gridCol w:w="945"/>
        <w:gridCol w:w="855"/>
        <w:gridCol w:w="900"/>
        <w:gridCol w:w="1080"/>
      </w:tblGrid>
      <w:tr>
        <w:tblPrEx>
          <w:tblCellMar>
            <w:top w:w="0" w:type="dxa"/>
            <w:left w:w="0" w:type="dxa"/>
            <w:bottom w:w="0" w:type="dxa"/>
            <w:right w:w="0" w:type="dxa"/>
          </w:tblCellMar>
        </w:tblPrEx>
        <w:trPr>
          <w:trHeight w:val="308" w:hRule="atLeast"/>
        </w:trPr>
        <w:tc>
          <w:tcPr>
            <w:tcW w:w="472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99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本年收入合计</w:t>
            </w:r>
          </w:p>
        </w:tc>
        <w:tc>
          <w:tcPr>
            <w:tcW w:w="12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财政拨款收入</w:t>
            </w:r>
          </w:p>
        </w:tc>
        <w:tc>
          <w:tcPr>
            <w:tcW w:w="84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上级补助收入</w:t>
            </w:r>
          </w:p>
        </w:tc>
        <w:tc>
          <w:tcPr>
            <w:tcW w:w="2100"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事业收入</w:t>
            </w:r>
          </w:p>
        </w:tc>
        <w:tc>
          <w:tcPr>
            <w:tcW w:w="85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经营收入</w:t>
            </w:r>
          </w:p>
        </w:tc>
        <w:tc>
          <w:tcPr>
            <w:tcW w:w="90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附属单位上缴收入</w:t>
            </w:r>
          </w:p>
        </w:tc>
        <w:tc>
          <w:tcPr>
            <w:tcW w:w="1080" w:type="dxa"/>
            <w:vMerge w:val="restart"/>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其他收入</w:t>
            </w:r>
          </w:p>
        </w:tc>
      </w:tr>
      <w:tr>
        <w:tblPrEx>
          <w:tblCellMar>
            <w:top w:w="0" w:type="dxa"/>
            <w:left w:w="0" w:type="dxa"/>
            <w:bottom w:w="0" w:type="dxa"/>
            <w:right w:w="0" w:type="dxa"/>
          </w:tblCellMar>
        </w:tblPrEx>
        <w:trPr>
          <w:trHeight w:val="312" w:hRule="atLeast"/>
        </w:trPr>
        <w:tc>
          <w:tcPr>
            <w:tcW w:w="95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7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9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2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2100"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9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080"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95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37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9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2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15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94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其中：教育收费</w:t>
            </w:r>
          </w:p>
        </w:tc>
        <w:tc>
          <w:tcPr>
            <w:tcW w:w="8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9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080"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95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37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9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2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15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94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9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080"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4728"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行政事业单位离退休</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机关事业单位基本养老保险缴费支出</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卫生健康支出</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行政事业单位医疗</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2101101</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行政单位医疗</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1.15</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2101102</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事业单位医疗</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金融支出</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206.00</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206.00</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金融部门行政支出</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205.86</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205.86</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2170101</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80.95</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80.95</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2170102</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50.34</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50.34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2170150</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74.57</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74.57</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21799</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其他金融支出</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1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8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58"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2179901</w:t>
            </w:r>
          </w:p>
        </w:tc>
        <w:tc>
          <w:tcPr>
            <w:tcW w:w="377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其他金融支出</w:t>
            </w:r>
          </w:p>
        </w:tc>
        <w:tc>
          <w:tcPr>
            <w:tcW w:w="995"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1271"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84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155"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45"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0.00</w:t>
            </w:r>
          </w:p>
        </w:tc>
        <w:tc>
          <w:tcPr>
            <w:tcW w:w="855"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2769" w:type="dxa"/>
            <w:gridSpan w:val="10"/>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注：本表反映部门本年度取得的各项收入情况。本表金额转换为万元时，因四舍五入可能存在尾差。</w:t>
            </w:r>
          </w:p>
        </w:tc>
      </w:tr>
    </w:tbl>
    <w:p>
      <w:pPr>
        <w:jc w:val="center"/>
        <w:sectPr>
          <w:pgSz w:w="16838" w:h="11906" w:orient="landscape"/>
          <w:pgMar w:top="1800" w:right="1440" w:bottom="1800" w:left="1440" w:header="851" w:footer="992" w:gutter="0"/>
          <w:pgNumType w:fmt="numberInDash"/>
          <w:cols w:space="425" w:num="1"/>
          <w:docGrid w:type="lines" w:linePitch="312" w:charSpace="0"/>
        </w:sectPr>
      </w:pP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ind w:firstLine="843" w:firstLineChars="400"/>
      </w:pPr>
      <w:r>
        <w:rPr>
          <w:rFonts w:hint="eastAsia" w:ascii="宋体" w:hAnsi="宋体" w:eastAsia="宋体" w:cs="宋体"/>
          <w:b/>
          <w:bCs/>
          <w:sz w:val="21"/>
          <w:szCs w:val="21"/>
        </w:rPr>
        <w:t>编制部门：  西安市阎良区金融工作服务中心                  金额单位：万元</w:t>
      </w:r>
    </w:p>
    <w:tbl>
      <w:tblPr>
        <w:tblStyle w:val="10"/>
        <w:tblW w:w="13369" w:type="dxa"/>
        <w:tblInd w:w="0" w:type="dxa"/>
        <w:tblLayout w:type="fixed"/>
        <w:tblCellMar>
          <w:top w:w="0" w:type="dxa"/>
          <w:left w:w="0" w:type="dxa"/>
          <w:bottom w:w="0" w:type="dxa"/>
          <w:right w:w="0" w:type="dxa"/>
        </w:tblCellMar>
      </w:tblPr>
      <w:tblGrid>
        <w:gridCol w:w="976"/>
        <w:gridCol w:w="3963"/>
        <w:gridCol w:w="1365"/>
        <w:gridCol w:w="1080"/>
        <w:gridCol w:w="1065"/>
        <w:gridCol w:w="1650"/>
        <w:gridCol w:w="1200"/>
        <w:gridCol w:w="2070"/>
      </w:tblGrid>
      <w:tr>
        <w:tblPrEx>
          <w:tblCellMar>
            <w:top w:w="0" w:type="dxa"/>
            <w:left w:w="0" w:type="dxa"/>
            <w:bottom w:w="0" w:type="dxa"/>
            <w:right w:w="0" w:type="dxa"/>
          </w:tblCellMar>
        </w:tblPrEx>
        <w:trPr>
          <w:trHeight w:val="308"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36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10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06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6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上缴上级支出</w:t>
            </w:r>
          </w:p>
        </w:tc>
        <w:tc>
          <w:tcPr>
            <w:tcW w:w="120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经营支出</w:t>
            </w:r>
          </w:p>
        </w:tc>
        <w:tc>
          <w:tcPr>
            <w:tcW w:w="2070" w:type="dxa"/>
            <w:vMerge w:val="restart"/>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对附属单位补助支出</w:t>
            </w:r>
          </w:p>
        </w:tc>
      </w:tr>
      <w:tr>
        <w:tblPrEx>
          <w:tblCellMar>
            <w:top w:w="0" w:type="dxa"/>
            <w:left w:w="0" w:type="dxa"/>
            <w:bottom w:w="0" w:type="dxa"/>
            <w:right w:w="0" w:type="dxa"/>
          </w:tblCellMar>
        </w:tblPrEx>
        <w:trPr>
          <w:trHeight w:val="312" w:hRule="atLeast"/>
        </w:trPr>
        <w:tc>
          <w:tcPr>
            <w:tcW w:w="97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9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3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0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6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2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2070"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97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39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3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0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6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2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2070"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97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39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3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0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6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2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2070"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4939"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173.37</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50.48</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行政事业单位离退休</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行政事业单位医疗</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2101101</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行政单位医疗</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1.15</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1.15</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2101102</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事业单位医疗</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金融支出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206.00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155.52</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50.48</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金融部门行政支出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205.86</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155.52</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50.34</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2170101</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80.95</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80.95</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2170102</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50.34</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50.34</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2170150</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74.57</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74.57</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21799</w:t>
            </w:r>
          </w:p>
        </w:tc>
        <w:tc>
          <w:tcPr>
            <w:tcW w:w="3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其他金融支出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976"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2179901</w:t>
            </w:r>
          </w:p>
        </w:tc>
        <w:tc>
          <w:tcPr>
            <w:tcW w:w="3963"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其他金融支出</w:t>
            </w:r>
          </w:p>
        </w:tc>
        <w:tc>
          <w:tcPr>
            <w:tcW w:w="1365"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108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65"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165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20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13369" w:type="dxa"/>
            <w:gridSpan w:val="8"/>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注：本表反映部门本年度各项支出情况。本表金额转换为万元时，因四舍五入可能存在尾差。</w:t>
            </w:r>
          </w:p>
        </w:tc>
      </w:tr>
    </w:tbl>
    <w:p>
      <w:pPr>
        <w:jc w:val="center"/>
        <w:sectPr>
          <w:pgSz w:w="16838" w:h="11906" w:orient="landscape"/>
          <w:pgMar w:top="1800" w:right="1440" w:bottom="1800" w:left="1440" w:header="851" w:footer="992" w:gutter="0"/>
          <w:pgNumType w:fmt="numberInDash"/>
          <w:cols w:space="425" w:num="1"/>
          <w:docGrid w:type="lines" w:linePitch="312" w:charSpace="0"/>
        </w:sect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编制部门：西安市阎良区金融工作服务中心                      金额单位：万元</w:t>
      </w:r>
    </w:p>
    <w:tbl>
      <w:tblPr>
        <w:tblStyle w:val="10"/>
        <w:tblW w:w="9330" w:type="dxa"/>
        <w:tblInd w:w="0" w:type="dxa"/>
        <w:tblLayout w:type="fixed"/>
        <w:tblCellMar>
          <w:top w:w="0" w:type="dxa"/>
          <w:left w:w="0" w:type="dxa"/>
          <w:bottom w:w="0" w:type="dxa"/>
          <w:right w:w="0" w:type="dxa"/>
        </w:tblCellMar>
      </w:tblPr>
      <w:tblGrid>
        <w:gridCol w:w="2890"/>
        <w:gridCol w:w="1040"/>
        <w:gridCol w:w="2890"/>
        <w:gridCol w:w="690"/>
        <w:gridCol w:w="930"/>
        <w:gridCol w:w="890"/>
      </w:tblGrid>
      <w:tr>
        <w:tblPrEx>
          <w:tblCellMar>
            <w:top w:w="0" w:type="dxa"/>
            <w:left w:w="0" w:type="dxa"/>
            <w:bottom w:w="0" w:type="dxa"/>
            <w:right w:w="0" w:type="dxa"/>
          </w:tblCellMar>
        </w:tblPrEx>
        <w:trPr>
          <w:trHeight w:val="308" w:hRule="atLeast"/>
        </w:trPr>
        <w:tc>
          <w:tcPr>
            <w:tcW w:w="393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     入</w:t>
            </w:r>
          </w:p>
        </w:tc>
        <w:tc>
          <w:tcPr>
            <w:tcW w:w="5400" w:type="dxa"/>
            <w:gridSpan w:val="4"/>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     出</w:t>
            </w:r>
          </w:p>
        </w:tc>
      </w:tr>
      <w:tr>
        <w:tblPrEx>
          <w:tblCellMar>
            <w:top w:w="0" w:type="dxa"/>
            <w:left w:w="0" w:type="dxa"/>
            <w:bottom w:w="0" w:type="dxa"/>
            <w:right w:w="0" w:type="dxa"/>
          </w:tblCellMar>
        </w:tblPrEx>
        <w:trPr>
          <w:trHeight w:val="292" w:hRule="atLeast"/>
        </w:trPr>
        <w:tc>
          <w:tcPr>
            <w:tcW w:w="289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    目</w:t>
            </w:r>
          </w:p>
        </w:tc>
        <w:tc>
          <w:tcPr>
            <w:tcW w:w="10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28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510" w:type="dxa"/>
            <w:gridSpan w:val="3"/>
            <w:tcBorders>
              <w:top w:val="nil"/>
              <w:left w:val="nil"/>
              <w:bottom w:val="single" w:color="000000" w:sz="4" w:space="0"/>
              <w:right w:val="single" w:color="000000" w:sz="8"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0" w:type="dxa"/>
            <w:bottom w:w="0" w:type="dxa"/>
            <w:right w:w="0" w:type="dxa"/>
          </w:tblCellMar>
        </w:tblPrEx>
        <w:trPr>
          <w:trHeight w:val="615" w:hRule="atLeast"/>
        </w:trPr>
        <w:tc>
          <w:tcPr>
            <w:tcW w:w="289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0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28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9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一般公共预算财政拨款</w:t>
            </w:r>
          </w:p>
        </w:tc>
        <w:tc>
          <w:tcPr>
            <w:tcW w:w="890" w:type="dxa"/>
            <w:tcBorders>
              <w:top w:val="nil"/>
              <w:left w:val="nil"/>
              <w:bottom w:val="single" w:color="000000" w:sz="4" w:space="0"/>
              <w:right w:val="single" w:color="000000" w:sz="8"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政府性基金预算财政拨款</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1、一般公共预算财政拨款</w:t>
            </w: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1、一般公共服务支出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2、政府性基金预算财政拨款</w:t>
            </w: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2、外交支出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3、国有资本经营预算收入</w:t>
            </w: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3、国防支出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4、公共安全支出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5、教育支出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6、科学技术支出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7、文化旅游体育与传媒支出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8、社会保障和就业支出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9、卫生健康支出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3.25</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3.25</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10、节能环保支出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11、城乡社区支出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12、农林水支出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13、交通运输支出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14、资源勘探信息等支出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15、商业服务业等支出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16、金融支出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206.01</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206.01</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17、援助其他地区支出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18、自然资源海洋气象等支出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19、住房保障支出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20、粮油物资储备支出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21、灾害防治及应急管理支出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22、其他支出</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年初财政拨款结转和结余</w:t>
            </w: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年末财政拨款结转和结余</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w:t>
            </w: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b/>
                <w:color w:val="000000"/>
                <w:sz w:val="22"/>
                <w:szCs w:val="22"/>
              </w:rPr>
            </w:pP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w:t>
            </w:r>
          </w:p>
        </w:tc>
        <w:tc>
          <w:tcPr>
            <w:tcW w:w="1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8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ascii="宋体" w:hAnsi="宋体" w:eastAsia="宋体" w:cs="宋体"/>
                <w:color w:val="000000"/>
                <w:sz w:val="22"/>
                <w:szCs w:val="22"/>
              </w:rPr>
            </w:pP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9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2890" w:type="dxa"/>
            <w:tcBorders>
              <w:top w:val="nil"/>
              <w:left w:val="single" w:color="000000" w:sz="4" w:space="0"/>
              <w:bottom w:val="single" w:color="000000" w:sz="8"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104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2890" w:type="dxa"/>
            <w:tcBorders>
              <w:top w:val="nil"/>
              <w:left w:val="nil"/>
              <w:bottom w:val="single" w:color="000000" w:sz="8"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69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93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8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0" w:type="dxa"/>
            <w:bottom w:w="0" w:type="dxa"/>
            <w:right w:w="0" w:type="dxa"/>
          </w:tblCellMar>
        </w:tblPrEx>
        <w:trPr>
          <w:trHeight w:val="569" w:hRule="atLeast"/>
        </w:trPr>
        <w:tc>
          <w:tcPr>
            <w:tcW w:w="9330"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注：本表反映部门本年度一般公共预算财政拨款和政府性基金预算财政拨款的总收支和年末结转结余情况。本表金额转换为万元时，因四舍五入可能存在尾差。</w:t>
            </w:r>
          </w:p>
        </w:tc>
      </w:tr>
    </w:tbl>
    <w:p>
      <w:pPr>
        <w:sectPr>
          <w:pgSz w:w="11906" w:h="16838"/>
          <w:pgMar w:top="1440" w:right="1800" w:bottom="1440" w:left="1800" w:header="851" w:footer="992" w:gutter="0"/>
          <w:pgNumType w:fmt="numberInDash"/>
          <w:cols w:space="425" w:num="1"/>
          <w:docGrid w:type="lines" w:linePitch="312" w:charSpace="0"/>
        </w:sectPr>
      </w:pPr>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公开05表</w:t>
      </w:r>
    </w:p>
    <w:p>
      <w:r>
        <w:rPr>
          <w:rFonts w:hint="eastAsia" w:ascii="宋体" w:hAnsi="宋体" w:eastAsia="宋体" w:cs="宋体"/>
          <w:b/>
          <w:bCs/>
          <w:sz w:val="21"/>
          <w:szCs w:val="21"/>
        </w:rPr>
        <w:t>编制部门：西安市阎良区金融工作服务中心    金额单位：万元</w:t>
      </w:r>
    </w:p>
    <w:tbl>
      <w:tblPr>
        <w:tblStyle w:val="10"/>
        <w:tblW w:w="13635" w:type="dxa"/>
        <w:tblInd w:w="0" w:type="dxa"/>
        <w:tblLayout w:type="fixed"/>
        <w:tblCellMar>
          <w:top w:w="0" w:type="dxa"/>
          <w:left w:w="0" w:type="dxa"/>
          <w:bottom w:w="0" w:type="dxa"/>
          <w:right w:w="0" w:type="dxa"/>
        </w:tblCellMar>
      </w:tblPr>
      <w:tblGrid>
        <w:gridCol w:w="990"/>
        <w:gridCol w:w="3770"/>
        <w:gridCol w:w="1589"/>
        <w:gridCol w:w="1589"/>
        <w:gridCol w:w="1589"/>
        <w:gridCol w:w="1561"/>
        <w:gridCol w:w="1561"/>
        <w:gridCol w:w="986"/>
      </w:tblGrid>
      <w:tr>
        <w:tblPrEx>
          <w:tblCellMar>
            <w:top w:w="0" w:type="dxa"/>
            <w:left w:w="0" w:type="dxa"/>
            <w:bottom w:w="0" w:type="dxa"/>
            <w:right w:w="0" w:type="dxa"/>
          </w:tblCellMar>
        </w:tblPrEx>
        <w:trPr>
          <w:trHeight w:val="308" w:hRule="atLeast"/>
        </w:trPr>
        <w:tc>
          <w:tcPr>
            <w:tcW w:w="476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589"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473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56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986" w:type="dxa"/>
            <w:vMerge w:val="restart"/>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备注</w:t>
            </w:r>
          </w:p>
        </w:tc>
      </w:tr>
      <w:tr>
        <w:tblPrEx>
          <w:tblCellMar>
            <w:top w:w="0" w:type="dxa"/>
            <w:left w:w="0" w:type="dxa"/>
            <w:bottom w:w="0" w:type="dxa"/>
            <w:right w:w="0"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7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58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5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w:t>
            </w:r>
          </w:p>
        </w:tc>
        <w:tc>
          <w:tcPr>
            <w:tcW w:w="156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w:t>
            </w:r>
          </w:p>
        </w:tc>
        <w:tc>
          <w:tcPr>
            <w:tcW w:w="156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986"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37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8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6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6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986"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615" w:hRule="atLeast"/>
        </w:trPr>
        <w:tc>
          <w:tcPr>
            <w:tcW w:w="99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37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8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6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56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986"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4760"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223.85</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173.37</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160.28</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13.09</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50.48</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行政事业单位离退休</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机关事业单位基本养老保险缴费支出</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14.59</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卫生健康支出</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行政事业单位医疗</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2101101</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行政单位医疗</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1.15</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1.15</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1.15</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2101102</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事业单位医疗</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金融支出</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206.00</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155.52</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142.43</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13.09</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50.48</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金融部门行政支出</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205.86</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155.52</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142.43</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13.09</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50.34</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2170101</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80.95</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80.95</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76.71</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4.24</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2170102</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50.34</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50.34</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2170150</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74.57</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74.57</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65.72</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8.85</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21799</w:t>
            </w:r>
          </w:p>
        </w:tc>
        <w:tc>
          <w:tcPr>
            <w:tcW w:w="3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其他金融支出</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986"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2179901</w:t>
            </w:r>
          </w:p>
        </w:tc>
        <w:tc>
          <w:tcPr>
            <w:tcW w:w="377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其他金融支出</w:t>
            </w:r>
          </w:p>
        </w:tc>
        <w:tc>
          <w:tcPr>
            <w:tcW w:w="1589"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1589"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89"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561"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0.14</w:t>
            </w:r>
          </w:p>
        </w:tc>
        <w:tc>
          <w:tcPr>
            <w:tcW w:w="9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trPr>
        <w:tc>
          <w:tcPr>
            <w:tcW w:w="13635" w:type="dxa"/>
            <w:gridSpan w:val="8"/>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注：本表反映部门本年度一般公共预算财政拨款实际支出情况。本表金额转换为万元时，因四舍五入可能存在尾差。</w:t>
            </w:r>
          </w:p>
        </w:tc>
      </w:tr>
    </w:tbl>
    <w:p>
      <w:pPr>
        <w:jc w:val="center"/>
        <w:sectPr>
          <w:pgSz w:w="16838" w:h="11906" w:orient="landscape"/>
          <w:pgMar w:top="1800" w:right="1440" w:bottom="1800" w:left="1440" w:header="851" w:footer="992" w:gutter="0"/>
          <w:pgNumType w:fmt="numberInDash"/>
          <w:cols w:space="425" w:num="1"/>
          <w:docGrid w:type="lines" w:linePitch="312" w:charSpace="0"/>
        </w:sectPr>
      </w:pPr>
    </w:p>
    <w:p>
      <w:pP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西安市阎良区金融工作服务中心                    金额单位：万元</w:t>
      </w:r>
    </w:p>
    <w:tbl>
      <w:tblPr>
        <w:tblStyle w:val="10"/>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173.37</w:t>
            </w:r>
          </w:p>
        </w:tc>
        <w:tc>
          <w:tcPr>
            <w:tcW w:w="1437" w:type="dxa"/>
            <w:tcBorders>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160.27</w:t>
            </w:r>
          </w:p>
        </w:tc>
        <w:tc>
          <w:tcPr>
            <w:tcW w:w="1363" w:type="dxa"/>
            <w:tcBorders>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13.09</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160.28</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160.27</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49.43</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49.43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27.78</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27.77</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34.20</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34.20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9.92</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9.92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14.59</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14.59</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3.77</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3.77</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3.25</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3.25</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17.34</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17.34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13.09</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13.09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2.45</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2.45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2.83</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2.83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30216</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培训费</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0.14</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0.14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0.04</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3.39</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3.39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4.24</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4.24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编制部门：西安市阎良区金融工作服务中心                    金额单位：万元</w:t>
      </w:r>
    </w:p>
    <w:tbl>
      <w:tblPr>
        <w:tblStyle w:val="10"/>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3.69</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0.84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2.85</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2.85</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0.22</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0.04</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0.14</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编制部门：西安市阎良区金融工作服务中心                         金额单位：万元</w:t>
      </w:r>
    </w:p>
    <w:tbl>
      <w:tblPr>
        <w:tblStyle w:val="10"/>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tcPr>
          <w:p>
            <w:r>
              <w:rPr>
                <w:rFonts w:hint="eastAsia" w:ascii="宋体" w:hAnsi="宋体" w:eastAsia="宋体" w:cs="宋体"/>
                <w:b/>
                <w:color w:val="000000"/>
                <w:sz w:val="21"/>
                <w:szCs w:val="21"/>
              </w:rPr>
              <w:t>0.00</w:t>
            </w:r>
          </w:p>
        </w:tc>
        <w:tc>
          <w:tcPr>
            <w:tcW w:w="990"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b/>
                <w:color w:val="000000"/>
                <w:sz w:val="21"/>
                <w:szCs w:val="21"/>
              </w:rPr>
              <w:t>0.00</w:t>
            </w:r>
          </w:p>
        </w:tc>
        <w:tc>
          <w:tcPr>
            <w:tcW w:w="930"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b/>
                <w:color w:val="000000"/>
                <w:sz w:val="21"/>
                <w:szCs w:val="21"/>
              </w:rPr>
              <w:t>0.00</w:t>
            </w:r>
          </w:p>
        </w:tc>
        <w:tc>
          <w:tcPr>
            <w:tcW w:w="104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b/>
                <w:color w:val="000000"/>
                <w:sz w:val="21"/>
                <w:szCs w:val="21"/>
              </w:rPr>
              <w:t>0.00</w:t>
            </w:r>
          </w:p>
        </w:tc>
        <w:tc>
          <w:tcPr>
            <w:tcW w:w="102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b/>
                <w:color w:val="000000"/>
                <w:sz w:val="21"/>
                <w:szCs w:val="21"/>
              </w:rPr>
              <w:t>0.00</w:t>
            </w:r>
          </w:p>
        </w:tc>
        <w:tc>
          <w:tcPr>
            <w:tcW w:w="1471"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b/>
                <w:color w:val="000000"/>
                <w:sz w:val="21"/>
                <w:szCs w:val="21"/>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p>
    <w:p>
      <w:pPr>
        <w:pStyle w:val="9"/>
        <w:shd w:val="clear" w:color="auto" w:fill="FFFFFF"/>
        <w:spacing w:before="0" w:beforeAutospacing="0" w:after="0" w:afterAutospacing="0"/>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ascii="仿宋_GB2312" w:eastAsia="仿宋_GB2312" w:cs="仿宋_GB2312"/>
          <w:color w:val="000000"/>
          <w:sz w:val="32"/>
          <w:szCs w:val="32"/>
        </w:rPr>
        <w:t>1</w:t>
      </w:r>
      <w:r>
        <w:rPr>
          <w:rFonts w:hint="eastAsia" w:ascii="仿宋_GB2312" w:eastAsia="仿宋_GB2312" w:cs="仿宋_GB2312"/>
          <w:color w:val="000000"/>
          <w:sz w:val="32"/>
          <w:szCs w:val="32"/>
        </w:rPr>
        <w:t>）本年度收入合计223.85万元，较上年减少</w:t>
      </w:r>
      <w:r>
        <w:rPr>
          <w:rFonts w:ascii="仿宋_GB2312" w:eastAsia="仿宋_GB2312" w:cs="仿宋_GB2312"/>
          <w:color w:val="000000"/>
          <w:sz w:val="32"/>
          <w:szCs w:val="32"/>
        </w:rPr>
        <w:t>2</w:t>
      </w:r>
      <w:r>
        <w:rPr>
          <w:rFonts w:hint="eastAsia" w:ascii="仿宋_GB2312" w:eastAsia="仿宋_GB2312" w:cs="仿宋_GB2312"/>
          <w:color w:val="000000"/>
          <w:sz w:val="32"/>
          <w:szCs w:val="32"/>
        </w:rPr>
        <w:t>54.01万元，</w:t>
      </w:r>
      <w:r>
        <w:rPr>
          <w:rFonts w:ascii="仿宋_GB2312" w:eastAsia="仿宋_GB2312" w:cs="仿宋_GB2312"/>
          <w:color w:val="000000"/>
          <w:sz w:val="32"/>
          <w:szCs w:val="32"/>
        </w:rPr>
        <w:t>主要原因</w:t>
      </w:r>
      <w:r>
        <w:rPr>
          <w:rFonts w:hint="eastAsia" w:ascii="仿宋_GB2312" w:eastAsia="仿宋_GB2312" w:cs="仿宋_GB2312"/>
          <w:color w:val="000000"/>
          <w:sz w:val="32"/>
          <w:szCs w:val="32"/>
        </w:rPr>
        <w:t>是减少农业保险补贴及企业上市奖补等项目支出；与年初预算相比增加114.44万元，完成年初预算100%，</w:t>
      </w:r>
      <w:r>
        <w:rPr>
          <w:rFonts w:ascii="仿宋_GB2312" w:eastAsia="仿宋_GB2312" w:cs="仿宋_GB2312"/>
          <w:color w:val="000000"/>
          <w:sz w:val="32"/>
          <w:szCs w:val="32"/>
        </w:rPr>
        <w:t>主要原因</w:t>
      </w:r>
      <w:r>
        <w:rPr>
          <w:rFonts w:hint="eastAsia" w:ascii="仿宋_GB2312" w:eastAsia="仿宋_GB2312" w:cs="仿宋_GB2312"/>
          <w:color w:val="000000"/>
          <w:sz w:val="32"/>
          <w:szCs w:val="32"/>
        </w:rPr>
        <w:t>是</w:t>
      </w:r>
      <w:r>
        <w:rPr>
          <w:rFonts w:ascii="仿宋_GB2312" w:eastAsia="仿宋_GB2312" w:cs="仿宋_GB2312"/>
          <w:color w:val="000000"/>
          <w:sz w:val="32"/>
          <w:szCs w:val="32"/>
        </w:rPr>
        <w:t>人员调资</w:t>
      </w:r>
      <w:r>
        <w:rPr>
          <w:rFonts w:hint="eastAsia" w:ascii="仿宋_GB2312" w:eastAsia="仿宋_GB2312" w:cs="仿宋_GB2312"/>
          <w:color w:val="000000"/>
          <w:sz w:val="32"/>
          <w:szCs w:val="32"/>
        </w:rPr>
        <w:t>及增加金融工作业务费、涉农贴息等项目支出。</w:t>
      </w:r>
    </w:p>
    <w:p>
      <w:pPr>
        <w:pStyle w:val="9"/>
        <w:shd w:val="clear" w:color="auto" w:fill="FFFFFF"/>
        <w:spacing w:before="0" w:beforeAutospacing="0" w:after="0" w:afterAutospacing="0"/>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）本年度支出合计223.85万元，较上年减少</w:t>
      </w:r>
      <w:r>
        <w:rPr>
          <w:rFonts w:ascii="仿宋_GB2312" w:eastAsia="仿宋_GB2312" w:cs="仿宋_GB2312"/>
          <w:color w:val="000000"/>
          <w:sz w:val="32"/>
          <w:szCs w:val="32"/>
        </w:rPr>
        <w:t>2</w:t>
      </w:r>
      <w:r>
        <w:rPr>
          <w:rFonts w:hint="eastAsia" w:ascii="仿宋_GB2312" w:eastAsia="仿宋_GB2312" w:cs="仿宋_GB2312"/>
          <w:color w:val="000000"/>
          <w:sz w:val="32"/>
          <w:szCs w:val="32"/>
        </w:rPr>
        <w:t>54.01万元，</w:t>
      </w:r>
      <w:r>
        <w:rPr>
          <w:rFonts w:ascii="仿宋_GB2312" w:eastAsia="仿宋_GB2312" w:cs="仿宋_GB2312"/>
          <w:color w:val="000000"/>
          <w:sz w:val="32"/>
          <w:szCs w:val="32"/>
        </w:rPr>
        <w:t>主要原因</w:t>
      </w:r>
      <w:r>
        <w:rPr>
          <w:rFonts w:hint="eastAsia" w:ascii="仿宋_GB2312" w:eastAsia="仿宋_GB2312" w:cs="仿宋_GB2312"/>
          <w:color w:val="000000"/>
          <w:sz w:val="32"/>
          <w:szCs w:val="32"/>
        </w:rPr>
        <w:t>是减少农业保险补贴等项目支出；与年初预算相比增加114.44万元，完成年初预算100%，</w:t>
      </w:r>
      <w:r>
        <w:rPr>
          <w:rFonts w:ascii="仿宋_GB2312" w:eastAsia="仿宋_GB2312" w:cs="仿宋_GB2312"/>
          <w:color w:val="000000"/>
          <w:sz w:val="32"/>
          <w:szCs w:val="32"/>
        </w:rPr>
        <w:t>主要原因</w:t>
      </w:r>
      <w:r>
        <w:rPr>
          <w:rFonts w:hint="eastAsia" w:ascii="仿宋_GB2312" w:eastAsia="仿宋_GB2312" w:cs="仿宋_GB2312"/>
          <w:color w:val="000000"/>
          <w:sz w:val="32"/>
          <w:szCs w:val="32"/>
        </w:rPr>
        <w:t>是</w:t>
      </w:r>
      <w:r>
        <w:rPr>
          <w:rFonts w:ascii="仿宋_GB2312" w:eastAsia="仿宋_GB2312" w:cs="仿宋_GB2312"/>
          <w:color w:val="000000"/>
          <w:sz w:val="32"/>
          <w:szCs w:val="32"/>
        </w:rPr>
        <w:t>人员调资</w:t>
      </w:r>
      <w:r>
        <w:rPr>
          <w:rFonts w:hint="eastAsia" w:ascii="仿宋_GB2312" w:eastAsia="仿宋_GB2312" w:cs="仿宋_GB2312"/>
          <w:color w:val="000000"/>
          <w:sz w:val="32"/>
          <w:szCs w:val="32"/>
        </w:rPr>
        <w:t>及增加金融工作业务费等项目支出。</w:t>
      </w:r>
    </w:p>
    <w:p>
      <w:pPr>
        <w:pStyle w:val="9"/>
        <w:shd w:val="clear" w:color="auto" w:fill="FFFFFF"/>
        <w:spacing w:before="0" w:beforeAutospacing="0" w:after="0" w:afterAutospacing="0"/>
        <w:ind w:firstLine="585"/>
        <w:rPr>
          <w:rFonts w:ascii="仿宋_GB2312" w:eastAsia="仿宋_GB2312" w:cs="Times New Roman"/>
          <w:color w:val="000000"/>
          <w:sz w:val="32"/>
          <w:szCs w:val="32"/>
        </w:rPr>
      </w:pPr>
      <w:r>
        <w:rPr>
          <w:rFonts w:ascii="仿宋_GB2312" w:eastAsia="仿宋_GB2312" w:cs="仿宋_GB2312"/>
          <w:color w:val="000000"/>
          <w:sz w:val="32"/>
          <w:szCs w:val="32"/>
        </w:rPr>
        <w:t xml:space="preserve"> 2</w:t>
      </w:r>
      <w:r>
        <w:rPr>
          <w:rFonts w:hint="eastAsia" w:ascii="仿宋_GB2312" w:eastAsia="仿宋_GB2312" w:cs="仿宋_GB2312"/>
          <w:color w:val="000000"/>
          <w:sz w:val="32"/>
          <w:szCs w:val="32"/>
        </w:rPr>
        <w:t>、本年收入构成情况</w:t>
      </w:r>
    </w:p>
    <w:p>
      <w:pPr>
        <w:pStyle w:val="9"/>
        <w:shd w:val="clear" w:color="auto" w:fill="FFFFFF"/>
        <w:spacing w:before="0" w:beforeAutospacing="0" w:after="0" w:afterAutospacing="0"/>
        <w:ind w:firstLine="585"/>
        <w:rPr>
          <w:rFonts w:ascii="仿宋_GB2312" w:eastAsia="仿宋_GB2312" w:cs="Times New Roman"/>
          <w:color w:val="000000"/>
          <w:sz w:val="32"/>
          <w:szCs w:val="32"/>
        </w:rPr>
      </w:pPr>
      <w:r>
        <w:rPr>
          <w:rFonts w:hint="eastAsia" w:ascii="仿宋_GB2312" w:eastAsia="仿宋_GB2312" w:cs="仿宋_GB2312"/>
          <w:color w:val="000000"/>
          <w:sz w:val="32"/>
          <w:szCs w:val="32"/>
        </w:rPr>
        <w:t>本年收入合计223.85万元。其中：</w:t>
      </w:r>
    </w:p>
    <w:p>
      <w:pPr>
        <w:pStyle w:val="9"/>
        <w:shd w:val="clear" w:color="auto" w:fill="FFFFFF"/>
        <w:spacing w:before="0" w:beforeAutospacing="0" w:after="0" w:afterAutospacing="0"/>
        <w:rPr>
          <w:rFonts w:ascii="仿宋_GB2312" w:eastAsia="仿宋_GB2312" w:cs="Times New Roman"/>
          <w:color w:val="000000"/>
          <w:sz w:val="32"/>
          <w:szCs w:val="32"/>
        </w:rPr>
      </w:pPr>
      <w:r>
        <w:rPr>
          <w:rFonts w:hint="eastAsia" w:ascii="仿宋_GB2312" w:eastAsia="仿宋_GB2312" w:cs="仿宋_GB2312"/>
          <w:color w:val="000000"/>
          <w:sz w:val="32"/>
          <w:szCs w:val="32"/>
        </w:rPr>
        <w:t>　　（</w:t>
      </w:r>
      <w:r>
        <w:rPr>
          <w:rFonts w:ascii="仿宋_GB2312" w:eastAsia="仿宋_GB2312" w:cs="仿宋_GB2312"/>
          <w:color w:val="000000"/>
          <w:sz w:val="32"/>
          <w:szCs w:val="32"/>
        </w:rPr>
        <w:t>1</w:t>
      </w:r>
      <w:r>
        <w:rPr>
          <w:rFonts w:hint="eastAsia" w:ascii="仿宋_GB2312" w:eastAsia="仿宋_GB2312" w:cs="仿宋_GB2312"/>
          <w:color w:val="000000"/>
          <w:sz w:val="32"/>
          <w:szCs w:val="32"/>
        </w:rPr>
        <w:t>）财政拨款223.85万元，占总收入的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，包括一般公共预算财政拨款223.85万元、政府性基金预算财政拨款</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pStyle w:val="9"/>
        <w:shd w:val="clear" w:color="auto" w:fill="FFFFFF"/>
        <w:spacing w:before="0" w:beforeAutospacing="0" w:after="0" w:afterAutospacing="0"/>
        <w:ind w:firstLine="480" w:firstLineChars="150"/>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）事业收入</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pStyle w:val="9"/>
        <w:shd w:val="clear" w:color="auto" w:fill="FFFFFF"/>
        <w:spacing w:before="0" w:beforeAutospacing="0" w:after="0" w:afterAutospacing="0"/>
        <w:ind w:firstLine="480" w:firstLineChars="15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3</w:t>
      </w:r>
      <w:r>
        <w:rPr>
          <w:rFonts w:hint="eastAsia" w:ascii="仿宋_GB2312" w:eastAsia="仿宋_GB2312" w:cs="仿宋_GB2312"/>
          <w:color w:val="000000"/>
          <w:sz w:val="32"/>
          <w:szCs w:val="32"/>
        </w:rPr>
        <w:t>）经营收入</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pStyle w:val="9"/>
        <w:shd w:val="clear" w:color="auto" w:fill="FFFFFF"/>
        <w:spacing w:before="0" w:beforeAutospacing="0" w:after="0" w:afterAutospacing="0"/>
        <w:ind w:firstLine="480" w:firstLineChars="15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4</w:t>
      </w:r>
      <w:r>
        <w:rPr>
          <w:rFonts w:hint="eastAsia" w:ascii="仿宋_GB2312" w:eastAsia="仿宋_GB2312" w:cs="仿宋_GB2312"/>
          <w:color w:val="000000"/>
          <w:sz w:val="32"/>
          <w:szCs w:val="32"/>
        </w:rPr>
        <w:t>）其他收入</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pStyle w:val="9"/>
        <w:shd w:val="clear" w:color="auto" w:fill="FFFFFF"/>
        <w:spacing w:before="0" w:beforeAutospacing="0" w:after="0" w:afterAutospacing="0"/>
        <w:ind w:firstLine="480" w:firstLineChars="15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5</w:t>
      </w:r>
      <w:r>
        <w:rPr>
          <w:rFonts w:hint="eastAsia" w:ascii="仿宋_GB2312" w:eastAsia="仿宋_GB2312" w:cs="仿宋_GB2312"/>
          <w:color w:val="000000"/>
          <w:sz w:val="32"/>
          <w:szCs w:val="32"/>
        </w:rPr>
        <w:t>）用事业基金弥补收支差额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pStyle w:val="9"/>
        <w:shd w:val="clear" w:color="auto" w:fill="FFFFFF"/>
        <w:spacing w:before="0" w:beforeAutospacing="0" w:after="0" w:afterAutospacing="0"/>
        <w:ind w:firstLine="480" w:firstLineChars="150"/>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6</w:t>
      </w:r>
      <w:r>
        <w:rPr>
          <w:rFonts w:hint="eastAsia" w:ascii="仿宋_GB2312" w:eastAsia="仿宋_GB2312" w:cs="仿宋_GB2312"/>
          <w:color w:val="000000"/>
          <w:sz w:val="32"/>
          <w:szCs w:val="32"/>
        </w:rPr>
        <w:t>）上年结转结余</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pStyle w:val="7"/>
      </w:pPr>
      <w:r>
        <w:drawing>
          <wp:inline distT="0" distB="0" distL="0" distR="0">
            <wp:extent cx="4572000" cy="2743200"/>
            <wp:effectExtent l="19050" t="0" r="19050" b="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7"/>
      </w:pPr>
    </w:p>
    <w:p>
      <w:pPr>
        <w:pStyle w:val="7"/>
      </w:pPr>
    </w:p>
    <w:p>
      <w:pPr>
        <w:pStyle w:val="9"/>
        <w:shd w:val="clear" w:color="auto" w:fill="FFFFFF"/>
        <w:spacing w:before="0" w:beforeAutospacing="0" w:after="0" w:afterAutospacing="0"/>
        <w:rPr>
          <w:rFonts w:ascii="仿宋_GB2312" w:eastAsia="仿宋_GB2312" w:cs="Times New Roman"/>
          <w:color w:val="000000"/>
          <w:sz w:val="32"/>
          <w:szCs w:val="32"/>
        </w:rPr>
      </w:pPr>
      <w:r>
        <w:rPr>
          <w:rFonts w:ascii="仿宋_GB2312" w:eastAsia="仿宋_GB2312" w:cs="仿宋_GB2312"/>
          <w:color w:val="000000"/>
          <w:sz w:val="32"/>
          <w:szCs w:val="32"/>
        </w:rPr>
        <w:t xml:space="preserve">    3</w:t>
      </w:r>
      <w:r>
        <w:rPr>
          <w:rFonts w:hint="eastAsia" w:ascii="仿宋_GB2312" w:eastAsia="仿宋_GB2312" w:cs="仿宋_GB2312"/>
          <w:color w:val="000000"/>
          <w:sz w:val="32"/>
          <w:szCs w:val="32"/>
        </w:rPr>
        <w:t>、本年支出构成情况</w:t>
      </w:r>
    </w:p>
    <w:p>
      <w:pPr>
        <w:pStyle w:val="9"/>
        <w:shd w:val="clear" w:color="auto" w:fill="FFFFFF"/>
        <w:spacing w:before="0" w:beforeAutospacing="0" w:after="0" w:afterAutospacing="0"/>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本年支出合计223.85万元。其中：</w:t>
      </w:r>
    </w:p>
    <w:p>
      <w:pPr>
        <w:pStyle w:val="9"/>
        <w:shd w:val="clear" w:color="auto" w:fill="FFFFFF"/>
        <w:spacing w:before="0" w:beforeAutospacing="0" w:after="0" w:afterAutospacing="0"/>
        <w:ind w:firstLine="480" w:firstLineChars="15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1</w:t>
      </w:r>
      <w:r>
        <w:rPr>
          <w:rFonts w:hint="eastAsia" w:ascii="仿宋_GB2312" w:eastAsia="仿宋_GB2312" w:cs="仿宋_GB2312"/>
          <w:color w:val="000000"/>
          <w:sz w:val="32"/>
          <w:szCs w:val="32"/>
        </w:rPr>
        <w:t>）基本支出173.37万元，占总支出的77.45</w:t>
      </w:r>
      <w:r>
        <w:rPr>
          <w:rFonts w:ascii="仿宋_GB2312" w:eastAsia="仿宋_GB2312" w:cs="仿宋_GB2312"/>
          <w:color w:val="000000"/>
          <w:sz w:val="32"/>
          <w:szCs w:val="32"/>
        </w:rPr>
        <w:t>%</w:t>
      </w:r>
      <w:r>
        <w:rPr>
          <w:rFonts w:hint="eastAsia" w:ascii="仿宋_GB2312" w:eastAsia="仿宋_GB2312" w:cs="仿宋_GB2312"/>
          <w:color w:val="000000"/>
          <w:sz w:val="32"/>
          <w:szCs w:val="32"/>
        </w:rPr>
        <w:t>，是为保障机构正常运转、完成日常工作任务而发生的各项支出，包括人员经费</w:t>
      </w:r>
      <w:r>
        <w:rPr>
          <w:rFonts w:ascii="仿宋_GB2312" w:eastAsia="仿宋_GB2312" w:cs="仿宋_GB2312"/>
          <w:color w:val="000000"/>
          <w:sz w:val="32"/>
          <w:szCs w:val="32"/>
        </w:rPr>
        <w:t>1</w:t>
      </w:r>
      <w:r>
        <w:rPr>
          <w:rFonts w:hint="eastAsia" w:ascii="仿宋_GB2312" w:eastAsia="仿宋_GB2312" w:cs="仿宋_GB2312"/>
          <w:color w:val="000000"/>
          <w:sz w:val="32"/>
          <w:szCs w:val="32"/>
        </w:rPr>
        <w:t>60.27万元和公用经费13.09万元。与年初预算相比增加67.96万元，完成年初预算100%，</w:t>
      </w:r>
      <w:r>
        <w:rPr>
          <w:rFonts w:ascii="仿宋_GB2312" w:eastAsia="仿宋_GB2312" w:cs="仿宋_GB2312"/>
          <w:color w:val="000000"/>
          <w:sz w:val="32"/>
          <w:szCs w:val="32"/>
        </w:rPr>
        <w:t>主要原因为人员调资</w:t>
      </w:r>
      <w:r>
        <w:rPr>
          <w:rFonts w:hint="eastAsia" w:ascii="仿宋_GB2312" w:eastAsia="仿宋_GB2312" w:cs="仿宋_GB2312"/>
          <w:color w:val="000000"/>
          <w:sz w:val="32"/>
          <w:szCs w:val="32"/>
        </w:rPr>
        <w:t>及目标奖金标准提高。</w:t>
      </w:r>
    </w:p>
    <w:p>
      <w:pPr>
        <w:pStyle w:val="9"/>
        <w:shd w:val="clear" w:color="auto" w:fill="FFFFFF"/>
        <w:spacing w:before="0" w:beforeAutospacing="0" w:after="0" w:afterAutospacing="0"/>
        <w:ind w:firstLine="480" w:firstLineChars="150"/>
        <w:rPr>
          <w:rFonts w:ascii="仿宋_GB2312" w:hAnsi="仿宋" w:eastAsia="仿宋_GB231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）项目支出50.48万元，占总支出的22.55</w:t>
      </w:r>
      <w:r>
        <w:rPr>
          <w:rFonts w:ascii="仿宋_GB2312" w:eastAsia="仿宋_GB2312" w:cs="仿宋_GB2312"/>
          <w:color w:val="000000"/>
          <w:sz w:val="32"/>
          <w:szCs w:val="32"/>
        </w:rPr>
        <w:t>%</w:t>
      </w:r>
      <w:r>
        <w:rPr>
          <w:rFonts w:hint="eastAsia" w:ascii="仿宋_GB2312" w:eastAsia="仿宋_GB2312" w:cs="仿宋_GB2312"/>
          <w:color w:val="000000"/>
          <w:sz w:val="32"/>
          <w:szCs w:val="32"/>
        </w:rPr>
        <w:t>，是为完成特定的工作任务或事业发展目标，在基本支出之外发生的支出，包括金融业务费50.48万元。与年初预算相比增加43.48万元，完成年初预算100%，</w:t>
      </w:r>
      <w:r>
        <w:rPr>
          <w:rFonts w:ascii="仿宋_GB2312" w:eastAsia="仿宋_GB2312" w:cs="仿宋_GB2312"/>
          <w:color w:val="000000"/>
          <w:sz w:val="32"/>
          <w:szCs w:val="32"/>
        </w:rPr>
        <w:t>主要原因为</w:t>
      </w:r>
      <w:r>
        <w:rPr>
          <w:rFonts w:hint="eastAsia" w:ascii="仿宋_GB2312" w:eastAsia="仿宋_GB2312" w:cs="仿宋_GB2312"/>
          <w:color w:val="000000"/>
          <w:sz w:val="32"/>
          <w:szCs w:val="32"/>
        </w:rPr>
        <w:t>新增水、电、暖及物业费等支出。</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ascii="黑体" w:hAnsi="黑体" w:eastAsia="黑体"/>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eastAsia="仿宋_GB2312" w:cs="仿宋_GB2312"/>
          <w:color w:val="000000"/>
          <w:szCs w:val="32"/>
        </w:rPr>
        <w:t>223.85</w:t>
      </w:r>
      <w:r>
        <w:rPr>
          <w:rFonts w:ascii="仿宋_GB2312" w:hAnsi="宋体" w:eastAsia="仿宋_GB2312" w:cs="仿宋_GB2312"/>
          <w:color w:val="000000"/>
          <w:kern w:val="0"/>
          <w:szCs w:val="32"/>
        </w:rPr>
        <w:t>万元，其中：财政拨款收入</w:t>
      </w:r>
      <w:r>
        <w:rPr>
          <w:rFonts w:hint="eastAsia" w:ascii="仿宋_GB2312" w:eastAsia="仿宋_GB2312" w:cs="仿宋_GB2312"/>
          <w:color w:val="000000"/>
          <w:szCs w:val="32"/>
        </w:rPr>
        <w:t>223.85</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总收入100</w:t>
      </w:r>
      <w:r>
        <w:rPr>
          <w:rFonts w:ascii="仿宋_GB2312" w:hAnsi="宋体" w:eastAsia="仿宋_GB2312" w:cs="仿宋_GB2312"/>
          <w:color w:val="000000"/>
          <w:kern w:val="0"/>
          <w:szCs w:val="32"/>
        </w:rPr>
        <w:t>%；事业收入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万元；经营收入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万元；其他收入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 xml:space="preserve"> 。</w:t>
      </w:r>
    </w:p>
    <w:p>
      <w:pPr>
        <w:pStyle w:val="3"/>
        <w:rPr>
          <w:kern w:val="0"/>
        </w:rPr>
      </w:pPr>
      <w:r>
        <w:rPr>
          <w:kern w:val="0"/>
        </w:rPr>
        <w:drawing>
          <wp:inline distT="0" distB="0" distL="0" distR="0">
            <wp:extent cx="4572000" cy="2743200"/>
            <wp:effectExtent l="19050" t="0" r="19050" b="0"/>
            <wp:docPr id="31"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三、支出决算情况说明</w:t>
      </w:r>
    </w:p>
    <w:p>
      <w:pPr>
        <w:widowControl/>
        <w:spacing w:line="560" w:lineRule="exact"/>
        <w:ind w:firstLine="640" w:firstLineChars="200"/>
        <w:jc w:val="left"/>
        <w:rPr>
          <w:rFonts w:ascii="仿宋_GB2312" w:hAnsi="仿宋_GB2312" w:eastAsia="仿宋_GB2312" w:cs="仿宋_GB2312"/>
          <w:szCs w:val="32"/>
          <w:highlight w:val="red"/>
        </w:rPr>
      </w:pP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w:t>
      </w:r>
      <w:r>
        <w:rPr>
          <w:rFonts w:ascii="仿宋_GB2312" w:hAnsi="宋体" w:eastAsia="仿宋_GB2312" w:cs="仿宋_GB2312"/>
          <w:color w:val="000000"/>
          <w:kern w:val="0"/>
          <w:szCs w:val="32"/>
        </w:rPr>
        <w:t>合计</w:t>
      </w:r>
      <w:r>
        <w:rPr>
          <w:rFonts w:hint="eastAsia" w:ascii="仿宋_GB2312" w:eastAsia="仿宋_GB2312" w:cs="仿宋_GB2312"/>
          <w:color w:val="000000"/>
          <w:szCs w:val="32"/>
        </w:rPr>
        <w:t>223.85</w:t>
      </w:r>
      <w:r>
        <w:rPr>
          <w:rFonts w:ascii="仿宋_GB2312" w:hAnsi="宋体" w:eastAsia="仿宋_GB2312" w:cs="仿宋_GB2312"/>
          <w:color w:val="000000"/>
          <w:kern w:val="0"/>
          <w:szCs w:val="32"/>
        </w:rPr>
        <w:t>万元，其中：财政拨款</w:t>
      </w:r>
      <w:r>
        <w:rPr>
          <w:rFonts w:hint="eastAsia" w:ascii="仿宋_GB2312" w:hAnsi="宋体" w:eastAsia="仿宋_GB2312" w:cs="仿宋_GB2312"/>
          <w:color w:val="000000"/>
          <w:kern w:val="0"/>
          <w:szCs w:val="32"/>
        </w:rPr>
        <w:t>支出</w:t>
      </w:r>
      <w:r>
        <w:rPr>
          <w:rFonts w:hint="eastAsia" w:ascii="仿宋_GB2312" w:eastAsia="仿宋_GB2312" w:cs="仿宋_GB2312"/>
          <w:color w:val="000000"/>
          <w:szCs w:val="32"/>
        </w:rPr>
        <w:t>223.85</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总支出100</w:t>
      </w:r>
      <w:r>
        <w:rPr>
          <w:rFonts w:ascii="仿宋_GB2312" w:hAnsi="宋体" w:eastAsia="仿宋_GB2312" w:cs="仿宋_GB2312"/>
          <w:color w:val="000000"/>
          <w:kern w:val="0"/>
          <w:szCs w:val="32"/>
        </w:rPr>
        <w:t>%；事业</w:t>
      </w:r>
      <w:r>
        <w:rPr>
          <w:rFonts w:hint="eastAsia" w:ascii="仿宋_GB2312" w:hAnsi="宋体" w:eastAsia="仿宋_GB2312" w:cs="仿宋_GB2312"/>
          <w:color w:val="000000"/>
          <w:kern w:val="0"/>
          <w:szCs w:val="32"/>
        </w:rPr>
        <w:t>支出0</w:t>
      </w:r>
      <w:r>
        <w:rPr>
          <w:rFonts w:ascii="仿宋_GB2312" w:hAnsi="宋体" w:eastAsia="仿宋_GB2312" w:cs="仿宋_GB2312"/>
          <w:color w:val="000000"/>
          <w:kern w:val="0"/>
          <w:szCs w:val="32"/>
        </w:rPr>
        <w:t>万元；经营</w:t>
      </w:r>
      <w:r>
        <w:rPr>
          <w:rFonts w:hint="eastAsia" w:ascii="仿宋_GB2312" w:hAnsi="宋体" w:eastAsia="仿宋_GB2312" w:cs="仿宋_GB2312"/>
          <w:color w:val="000000"/>
          <w:kern w:val="0"/>
          <w:szCs w:val="32"/>
        </w:rPr>
        <w:t>支出0</w:t>
      </w:r>
      <w:r>
        <w:rPr>
          <w:rFonts w:ascii="仿宋_GB2312" w:hAnsi="宋体" w:eastAsia="仿宋_GB2312" w:cs="仿宋_GB2312"/>
          <w:color w:val="000000"/>
          <w:kern w:val="0"/>
          <w:szCs w:val="32"/>
        </w:rPr>
        <w:t>万元；其他</w:t>
      </w:r>
      <w:r>
        <w:rPr>
          <w:rFonts w:hint="eastAsia" w:ascii="仿宋_GB2312" w:hAnsi="宋体" w:eastAsia="仿宋_GB2312" w:cs="仿宋_GB2312"/>
          <w:color w:val="000000"/>
          <w:kern w:val="0"/>
          <w:szCs w:val="32"/>
        </w:rPr>
        <w:t>支出0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 xml:space="preserve"> 。</w:t>
      </w:r>
    </w:p>
    <w:p>
      <w:pPr>
        <w:pStyle w:val="8"/>
        <w:rPr>
          <w:kern w:val="0"/>
        </w:rPr>
      </w:pPr>
      <w:r>
        <w:rPr>
          <w:kern w:val="0"/>
        </w:rPr>
        <w:drawing>
          <wp:inline distT="0" distB="0" distL="0" distR="0">
            <wp:extent cx="4080510" cy="2315210"/>
            <wp:effectExtent l="5080" t="4445" r="10160" b="23495"/>
            <wp:docPr id="32"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p>
    <w:p>
      <w:pPr>
        <w:pStyle w:val="9"/>
        <w:shd w:val="clear" w:color="auto" w:fill="FFFFFF"/>
        <w:spacing w:before="0" w:beforeAutospacing="0" w:after="0" w:afterAutospacing="0"/>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2019年度</w:t>
      </w:r>
      <w:r>
        <w:rPr>
          <w:rFonts w:ascii="仿宋_GB2312" w:eastAsia="仿宋_GB2312" w:cs="仿宋_GB2312"/>
          <w:color w:val="000000"/>
          <w:sz w:val="32"/>
          <w:szCs w:val="32"/>
        </w:rPr>
        <w:t>财政拨款</w:t>
      </w:r>
      <w:r>
        <w:rPr>
          <w:rFonts w:hint="eastAsia" w:ascii="仿宋_GB2312" w:eastAsia="仿宋_GB2312" w:cs="仿宋_GB2312"/>
          <w:color w:val="000000"/>
          <w:sz w:val="32"/>
          <w:szCs w:val="32"/>
        </w:rPr>
        <w:t>收入223.85万元，比上年减少254.01万元，</w:t>
      </w:r>
      <w:r>
        <w:rPr>
          <w:rFonts w:ascii="仿宋_GB2312" w:eastAsia="仿宋_GB2312" w:cs="仿宋_GB2312"/>
          <w:color w:val="000000"/>
          <w:sz w:val="32"/>
          <w:szCs w:val="32"/>
        </w:rPr>
        <w:t>主要原因</w:t>
      </w:r>
      <w:r>
        <w:rPr>
          <w:rFonts w:hint="eastAsia" w:ascii="仿宋_GB2312" w:eastAsia="仿宋_GB2312" w:cs="仿宋_GB2312"/>
          <w:color w:val="000000"/>
          <w:sz w:val="32"/>
          <w:szCs w:val="32"/>
        </w:rPr>
        <w:t xml:space="preserve">是减少农业保险补贴、企业上市奖补等项目支出。 </w:t>
      </w:r>
    </w:p>
    <w:p>
      <w:pPr>
        <w:pStyle w:val="9"/>
        <w:shd w:val="clear" w:color="auto" w:fill="FFFFFF"/>
        <w:spacing w:before="0" w:beforeAutospacing="0" w:after="0" w:afterAutospacing="0"/>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2019年度</w:t>
      </w:r>
      <w:r>
        <w:rPr>
          <w:rFonts w:ascii="仿宋_GB2312" w:eastAsia="仿宋_GB2312" w:cs="仿宋_GB2312"/>
          <w:color w:val="000000"/>
          <w:sz w:val="32"/>
          <w:szCs w:val="32"/>
        </w:rPr>
        <w:t>财政拨款</w:t>
      </w:r>
      <w:r>
        <w:rPr>
          <w:rFonts w:hint="eastAsia" w:ascii="仿宋_GB2312" w:eastAsia="仿宋_GB2312" w:cs="仿宋_GB2312"/>
          <w:color w:val="000000"/>
          <w:sz w:val="32"/>
          <w:szCs w:val="32"/>
        </w:rPr>
        <w:t>支出223.85万元，比上年减少254.01万元，</w:t>
      </w:r>
      <w:r>
        <w:rPr>
          <w:rFonts w:ascii="仿宋_GB2312" w:eastAsia="仿宋_GB2312" w:cs="仿宋_GB2312"/>
          <w:color w:val="000000"/>
          <w:sz w:val="32"/>
          <w:szCs w:val="32"/>
        </w:rPr>
        <w:t>主要原因</w:t>
      </w:r>
      <w:r>
        <w:rPr>
          <w:rFonts w:hint="eastAsia" w:ascii="仿宋_GB2312" w:eastAsia="仿宋_GB2312" w:cs="仿宋_GB2312"/>
          <w:color w:val="000000"/>
          <w:sz w:val="32"/>
          <w:szCs w:val="32"/>
        </w:rPr>
        <w:t xml:space="preserve">是减少农业保险补贴、企业上市奖补等项目支出。 </w:t>
      </w:r>
    </w:p>
    <w:p>
      <w:pPr>
        <w:pStyle w:val="7"/>
      </w:pPr>
    </w:p>
    <w:p>
      <w:pPr>
        <w:pStyle w:val="7"/>
      </w:pPr>
      <w:r>
        <w:drawing>
          <wp:inline distT="0" distB="0" distL="0" distR="0">
            <wp:extent cx="4572000" cy="2743200"/>
            <wp:effectExtent l="19050" t="0" r="19050" b="0"/>
            <wp:docPr id="33"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7"/>
      </w:pPr>
    </w:p>
    <w:p>
      <w:pPr>
        <w:pStyle w:val="7"/>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pStyle w:val="9"/>
        <w:shd w:val="clear" w:color="auto" w:fill="FFFFFF"/>
        <w:spacing w:before="0" w:beforeAutospacing="0" w:after="0" w:afterAutospacing="0"/>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2019年</w:t>
      </w:r>
      <w:r>
        <w:rPr>
          <w:rFonts w:hint="eastAsia" w:ascii="仿宋_GB2312" w:eastAsia="仿宋_GB2312" w:cs="仿宋_GB2312"/>
          <w:color w:val="000000"/>
          <w:sz w:val="32"/>
          <w:szCs w:val="32"/>
        </w:rPr>
        <w:t>度</w:t>
      </w:r>
      <w:r>
        <w:rPr>
          <w:rFonts w:ascii="仿宋_GB2312" w:eastAsia="仿宋_GB2312" w:cs="仿宋_GB2312"/>
          <w:color w:val="000000"/>
          <w:sz w:val="32"/>
          <w:szCs w:val="32"/>
        </w:rPr>
        <w:t>财政拨款支出</w:t>
      </w:r>
      <w:r>
        <w:rPr>
          <w:rFonts w:hint="eastAsia" w:ascii="仿宋_GB2312" w:eastAsia="仿宋_GB2312" w:cs="仿宋_GB2312"/>
          <w:color w:val="000000"/>
          <w:sz w:val="32"/>
          <w:szCs w:val="32"/>
        </w:rPr>
        <w:t>223.85</w:t>
      </w:r>
      <w:r>
        <w:rPr>
          <w:rFonts w:ascii="仿宋_GB2312" w:eastAsia="仿宋_GB2312" w:cs="仿宋_GB2312"/>
          <w:color w:val="000000"/>
          <w:sz w:val="32"/>
          <w:szCs w:val="32"/>
        </w:rPr>
        <w:t>万元，占本年支出合计的</w:t>
      </w:r>
      <w:r>
        <w:rPr>
          <w:rFonts w:hint="eastAsia" w:ascii="仿宋_GB2312" w:eastAsia="仿宋_GB2312" w:cs="仿宋_GB2312"/>
          <w:color w:val="000000"/>
          <w:sz w:val="32"/>
          <w:szCs w:val="32"/>
        </w:rPr>
        <w:t>100</w:t>
      </w:r>
      <w:r>
        <w:rPr>
          <w:rFonts w:ascii="仿宋_GB2312" w:eastAsia="仿宋_GB2312" w:cs="仿宋_GB2312"/>
          <w:color w:val="000000"/>
          <w:sz w:val="32"/>
          <w:szCs w:val="32"/>
        </w:rPr>
        <w:t>%。与</w:t>
      </w:r>
      <w:r>
        <w:rPr>
          <w:rFonts w:hint="eastAsia" w:ascii="仿宋_GB2312" w:eastAsia="仿宋_GB2312" w:cs="仿宋_GB2312"/>
          <w:color w:val="000000"/>
          <w:sz w:val="32"/>
          <w:szCs w:val="32"/>
        </w:rPr>
        <w:t>上年</w:t>
      </w:r>
      <w:r>
        <w:rPr>
          <w:rFonts w:ascii="仿宋_GB2312" w:eastAsia="仿宋_GB2312" w:cs="仿宋_GB2312"/>
          <w:color w:val="000000"/>
          <w:sz w:val="32"/>
          <w:szCs w:val="32"/>
        </w:rPr>
        <w:t>相比，财政拨款支出</w:t>
      </w:r>
      <w:r>
        <w:rPr>
          <w:rFonts w:hint="eastAsia" w:ascii="仿宋_GB2312" w:eastAsia="仿宋_GB2312" w:cs="仿宋_GB2312"/>
          <w:color w:val="000000"/>
          <w:sz w:val="32"/>
          <w:szCs w:val="32"/>
        </w:rPr>
        <w:t>减少254.01</w:t>
      </w:r>
      <w:r>
        <w:rPr>
          <w:rFonts w:ascii="仿宋_GB2312" w:eastAsia="仿宋_GB2312" w:cs="仿宋_GB2312"/>
          <w:color w:val="000000"/>
          <w:sz w:val="32"/>
          <w:szCs w:val="32"/>
        </w:rPr>
        <w:t>万元，</w:t>
      </w:r>
      <w:r>
        <w:rPr>
          <w:rFonts w:hint="eastAsia" w:ascii="仿宋_GB2312" w:eastAsia="仿宋_GB2312" w:cs="仿宋_GB2312"/>
          <w:color w:val="000000"/>
          <w:sz w:val="32"/>
          <w:szCs w:val="32"/>
        </w:rPr>
        <w:t>减少53.06</w:t>
      </w:r>
      <w:r>
        <w:rPr>
          <w:rFonts w:ascii="仿宋_GB2312" w:eastAsia="仿宋_GB2312" w:cs="仿宋_GB2312"/>
          <w:color w:val="000000"/>
          <w:sz w:val="32"/>
          <w:szCs w:val="32"/>
        </w:rPr>
        <w:t>%，主要</w:t>
      </w:r>
      <w:r>
        <w:rPr>
          <w:rFonts w:hint="eastAsia" w:ascii="仿宋_GB2312" w:eastAsia="仿宋_GB2312" w:cs="仿宋_GB2312"/>
          <w:color w:val="000000"/>
          <w:sz w:val="32"/>
          <w:szCs w:val="32"/>
        </w:rPr>
        <w:t xml:space="preserve">原因是减少农业保险补贴、企业上市奖补等项目支出。 </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spacing w:line="560" w:lineRule="exact"/>
        <w:ind w:firstLine="640" w:firstLineChars="200"/>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rPr>
        <w:t>109.41</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223.85</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按照政府功能分类科目，包括</w:t>
      </w:r>
      <w:r>
        <w:rPr>
          <w:rFonts w:ascii="仿宋_GB2312" w:hAnsi="宋体" w:eastAsia="仿宋_GB2312" w:cs="仿宋_GB2312"/>
          <w:color w:val="000000"/>
          <w:kern w:val="0"/>
          <w:szCs w:val="32"/>
        </w:rPr>
        <w:t xml:space="preserve">： </w:t>
      </w:r>
    </w:p>
    <w:p>
      <w:pPr>
        <w:pStyle w:val="9"/>
        <w:shd w:val="clear" w:color="auto" w:fill="FFFFFF"/>
        <w:spacing w:before="0" w:beforeAutospacing="0" w:after="0" w:afterAutospacing="0"/>
        <w:ind w:firstLine="585"/>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1</w:t>
      </w:r>
      <w:r>
        <w:rPr>
          <w:rFonts w:hint="eastAsia" w:ascii="仿宋_GB2312" w:eastAsia="仿宋_GB2312" w:cs="仿宋_GB2312"/>
          <w:color w:val="000000"/>
          <w:sz w:val="32"/>
          <w:szCs w:val="32"/>
        </w:rPr>
        <w:t>）金融支出206万元，年初预算为109.41万元，</w:t>
      </w:r>
      <w:r>
        <w:rPr>
          <w:rFonts w:ascii="仿宋_GB2312" w:eastAsia="仿宋_GB2312" w:cs="仿宋_GB2312"/>
          <w:color w:val="000000"/>
          <w:sz w:val="32"/>
          <w:szCs w:val="32"/>
        </w:rPr>
        <w:t>完成年初预算的</w:t>
      </w:r>
      <w:r>
        <w:rPr>
          <w:rFonts w:hint="eastAsia" w:ascii="仿宋_GB2312" w:eastAsia="仿宋_GB2312" w:cs="仿宋_GB2312"/>
          <w:color w:val="000000"/>
          <w:sz w:val="32"/>
          <w:szCs w:val="32"/>
        </w:rPr>
        <w:t>100</w:t>
      </w:r>
      <w:r>
        <w:rPr>
          <w:rFonts w:ascii="仿宋_GB2312" w:eastAsia="仿宋_GB2312" w:cs="仿宋_GB2312"/>
          <w:color w:val="000000"/>
          <w:sz w:val="32"/>
          <w:szCs w:val="32"/>
        </w:rPr>
        <w:t>%。决算数大于预算数的主要原因是人员调资</w:t>
      </w:r>
      <w:r>
        <w:rPr>
          <w:rFonts w:hint="eastAsia" w:ascii="仿宋_GB2312" w:eastAsia="仿宋_GB2312" w:cs="仿宋_GB2312"/>
          <w:color w:val="000000"/>
          <w:sz w:val="32"/>
          <w:szCs w:val="32"/>
        </w:rPr>
        <w:t>、目标奖金标准提高及增加水电暖、物业等金融业务支出。具体为：金融部门行政支出205.86万元，其中：行政运行支出</w:t>
      </w:r>
      <w:r>
        <w:rPr>
          <w:rFonts w:ascii="仿宋_GB2312" w:eastAsia="仿宋_GB2312" w:cs="仿宋_GB2312"/>
          <w:color w:val="000000"/>
          <w:sz w:val="32"/>
          <w:szCs w:val="32"/>
        </w:rPr>
        <w:t>8</w:t>
      </w:r>
      <w:r>
        <w:rPr>
          <w:rFonts w:hint="eastAsia" w:ascii="仿宋_GB2312" w:eastAsia="仿宋_GB2312" w:cs="仿宋_GB2312"/>
          <w:color w:val="000000"/>
          <w:sz w:val="32"/>
          <w:szCs w:val="32"/>
        </w:rPr>
        <w:t>0.95万元，主要反映为部分人员工资、津补贴、目标奖等支出。一般行政管理事务50.34万元，主要反应打击非法集资宣传活动、农业保险试点、融资及企业上市培训等业务支出。事业运行74.57万元，主要反映事业人员工资、津补贴等支出。</w:t>
      </w:r>
    </w:p>
    <w:p>
      <w:pPr>
        <w:pStyle w:val="9"/>
        <w:shd w:val="clear" w:color="auto" w:fill="FFFFFF"/>
        <w:spacing w:before="0" w:beforeAutospacing="0" w:after="0" w:afterAutospacing="0"/>
        <w:ind w:firstLine="585"/>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）社会保障和就业支出14.59万元，年初预算为0万元，</w:t>
      </w:r>
      <w:r>
        <w:rPr>
          <w:rFonts w:ascii="仿宋_GB2312" w:eastAsia="仿宋_GB2312" w:cs="仿宋_GB2312"/>
          <w:color w:val="000000"/>
          <w:sz w:val="32"/>
          <w:szCs w:val="32"/>
        </w:rPr>
        <w:t>完成年初预算的</w:t>
      </w:r>
      <w:r>
        <w:rPr>
          <w:rFonts w:hint="eastAsia" w:ascii="仿宋_GB2312" w:eastAsia="仿宋_GB2312" w:cs="仿宋_GB2312"/>
          <w:color w:val="000000"/>
          <w:sz w:val="32"/>
          <w:szCs w:val="32"/>
        </w:rPr>
        <w:t>100</w:t>
      </w:r>
      <w:r>
        <w:rPr>
          <w:rFonts w:ascii="仿宋_GB2312" w:eastAsia="仿宋_GB2312" w:cs="仿宋_GB2312"/>
          <w:color w:val="000000"/>
          <w:sz w:val="32"/>
          <w:szCs w:val="32"/>
        </w:rPr>
        <w:t>%。决算数大于预算数的主要原因是</w:t>
      </w:r>
      <w:r>
        <w:rPr>
          <w:rFonts w:hint="eastAsia" w:ascii="仿宋_GB2312" w:eastAsia="仿宋_GB2312" w:cs="仿宋_GB2312"/>
          <w:color w:val="000000"/>
          <w:sz w:val="32"/>
          <w:szCs w:val="32"/>
        </w:rPr>
        <w:t>之前财政统一代缴的社保现由单位代缴。其中：机关事业单位养老保险缴费支出14.59</w:t>
      </w:r>
      <w:r>
        <w:rPr>
          <w:rFonts w:ascii="仿宋_GB2312" w:eastAsia="仿宋_GB2312" w:cs="仿宋_GB2312"/>
          <w:color w:val="000000"/>
          <w:sz w:val="32"/>
          <w:szCs w:val="32"/>
        </w:rPr>
        <w:fldChar w:fldCharType="begin"/>
      </w:r>
      <w:r>
        <w:rPr>
          <w:rFonts w:ascii="仿宋_GB2312" w:eastAsia="仿宋_GB2312" w:cs="仿宋_GB2312"/>
          <w:color w:val="000000"/>
          <w:sz w:val="32"/>
          <w:szCs w:val="32"/>
        </w:rPr>
        <w:instrText xml:space="preserve"> LINK Word.Document.12 H:\\2017</w:instrText>
      </w:r>
      <w:r>
        <w:rPr>
          <w:rFonts w:hint="eastAsia" w:ascii="仿宋_GB2312" w:eastAsia="仿宋_GB2312" w:cs="仿宋_GB2312"/>
          <w:color w:val="000000"/>
          <w:sz w:val="32"/>
          <w:szCs w:val="32"/>
        </w:rPr>
        <w:instrText xml:space="preserve">决算公开上报</w:instrText>
      </w:r>
      <w:r>
        <w:rPr>
          <w:rFonts w:ascii="仿宋_GB2312" w:eastAsia="仿宋_GB2312" w:cs="Times New Roman"/>
          <w:color w:val="000000"/>
          <w:sz w:val="32"/>
          <w:szCs w:val="32"/>
        </w:rPr>
        <w:instrText xml:space="preserve">\\</w:instrText>
      </w:r>
      <w:r>
        <w:rPr>
          <w:rFonts w:ascii="仿宋_GB2312" w:eastAsia="仿宋_GB2312" w:cs="仿宋_GB2312"/>
          <w:color w:val="000000"/>
          <w:sz w:val="32"/>
          <w:szCs w:val="32"/>
        </w:rPr>
        <w:instrText xml:space="preserve">2017</w:instrText>
      </w:r>
      <w:r>
        <w:rPr>
          <w:rFonts w:hint="eastAsia" w:ascii="仿宋_GB2312" w:eastAsia="仿宋_GB2312" w:cs="仿宋_GB2312"/>
          <w:color w:val="000000"/>
          <w:sz w:val="32"/>
          <w:szCs w:val="32"/>
        </w:rPr>
        <w:instrText xml:space="preserve">决算公开</w:instrText>
      </w:r>
      <w:r>
        <w:rPr>
          <w:rFonts w:ascii="仿宋_GB2312" w:eastAsia="仿宋_GB2312" w:cs="仿宋_GB2312"/>
          <w:color w:val="000000"/>
          <w:sz w:val="32"/>
          <w:szCs w:val="32"/>
        </w:rPr>
        <w:instrText xml:space="preserve">2</w:instrText>
      </w:r>
      <w:r>
        <w:rPr>
          <w:rFonts w:hint="eastAsia" w:ascii="仿宋_GB2312" w:eastAsia="仿宋_GB2312" w:cs="仿宋_GB2312"/>
          <w:color w:val="000000"/>
          <w:sz w:val="32"/>
          <w:szCs w:val="32"/>
        </w:rPr>
        <w:instrText xml:space="preserve">次</w:instrText>
      </w:r>
      <w:r>
        <w:rPr>
          <w:rFonts w:ascii="仿宋_GB2312" w:eastAsia="仿宋_GB2312" w:cs="仿宋_GB2312"/>
          <w:color w:val="000000"/>
          <w:sz w:val="32"/>
          <w:szCs w:val="32"/>
        </w:rPr>
        <w:instrText xml:space="preserve">.doc OLE_LINK1 \a \r  \* MERGEFORMAT </w:instrText>
      </w:r>
      <w:r>
        <w:rPr>
          <w:rFonts w:ascii="仿宋_GB2312" w:eastAsia="仿宋_GB2312" w:cs="仿宋_GB2312"/>
          <w:color w:val="000000"/>
          <w:sz w:val="32"/>
          <w:szCs w:val="32"/>
        </w:rPr>
        <w:fldChar w:fldCharType="separate"/>
      </w:r>
      <w:bookmarkStart w:id="0" w:name="_1601383354"/>
      <w:bookmarkEnd w:id="0"/>
      <w:r>
        <w:rPr>
          <w:rFonts w:hint="eastAsia" w:ascii="仿宋_GB2312" w:eastAsia="仿宋_GB2312" w:cs="仿宋_GB2312"/>
          <w:color w:val="000000"/>
          <w:sz w:val="32"/>
          <w:szCs w:val="32"/>
        </w:rPr>
        <w:t>万元，主要反应对</w:t>
      </w:r>
      <w:r>
        <w:rPr>
          <w:rFonts w:ascii="仿宋_GB2312" w:eastAsia="仿宋_GB2312" w:cs="仿宋_GB2312"/>
          <w:color w:val="000000"/>
          <w:sz w:val="32"/>
          <w:szCs w:val="32"/>
        </w:rPr>
        <w:fldChar w:fldCharType="end"/>
      </w:r>
      <w:r>
        <w:rPr>
          <w:rFonts w:hint="eastAsia" w:ascii="仿宋_GB2312" w:eastAsia="仿宋_GB2312" w:cs="仿宋_GB2312"/>
          <w:color w:val="000000"/>
          <w:sz w:val="32"/>
          <w:szCs w:val="32"/>
        </w:rPr>
        <w:t>编制内事业人员的养老保险缴费支出。</w:t>
      </w:r>
    </w:p>
    <w:p>
      <w:pPr>
        <w:pStyle w:val="9"/>
        <w:shd w:val="clear" w:color="auto" w:fill="FFFFFF"/>
        <w:spacing w:before="0" w:beforeAutospacing="0" w:after="0" w:afterAutospacing="0"/>
        <w:ind w:firstLine="585"/>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3</w:t>
      </w:r>
      <w:r>
        <w:rPr>
          <w:rFonts w:hint="eastAsia" w:ascii="仿宋_GB2312" w:eastAsia="仿宋_GB2312" w:cs="仿宋_GB2312"/>
          <w:color w:val="000000"/>
          <w:sz w:val="32"/>
          <w:szCs w:val="32"/>
        </w:rPr>
        <w:t>）卫生健康支出3.25万元，年初预算为0万元，</w:t>
      </w:r>
      <w:r>
        <w:rPr>
          <w:rFonts w:ascii="仿宋_GB2312" w:eastAsia="仿宋_GB2312" w:cs="仿宋_GB2312"/>
          <w:color w:val="000000"/>
          <w:sz w:val="32"/>
          <w:szCs w:val="32"/>
        </w:rPr>
        <w:t>完成年初预算的</w:t>
      </w:r>
      <w:r>
        <w:rPr>
          <w:rFonts w:hint="eastAsia" w:ascii="仿宋_GB2312" w:eastAsia="仿宋_GB2312" w:cs="仿宋_GB2312"/>
          <w:color w:val="000000"/>
          <w:sz w:val="32"/>
          <w:szCs w:val="32"/>
        </w:rPr>
        <w:t>100</w:t>
      </w:r>
      <w:r>
        <w:rPr>
          <w:rFonts w:ascii="仿宋_GB2312" w:eastAsia="仿宋_GB2312" w:cs="仿宋_GB2312"/>
          <w:color w:val="000000"/>
          <w:sz w:val="32"/>
          <w:szCs w:val="32"/>
        </w:rPr>
        <w:t>%。决算数大于预算数的主要原因是</w:t>
      </w:r>
      <w:r>
        <w:rPr>
          <w:rFonts w:hint="eastAsia" w:ascii="仿宋_GB2312" w:eastAsia="仿宋_GB2312" w:cs="仿宋_GB2312"/>
          <w:color w:val="000000"/>
          <w:sz w:val="32"/>
          <w:szCs w:val="32"/>
        </w:rPr>
        <w:t>之前财政统一代缴的医保现由单位代缴。主要反应事业人员医疗保险缴费支出。</w:t>
      </w:r>
    </w:p>
    <w:p>
      <w:pPr>
        <w:pStyle w:val="9"/>
        <w:shd w:val="clear" w:color="auto" w:fill="FFFFFF"/>
        <w:spacing w:before="0" w:beforeAutospacing="0" w:after="0" w:afterAutospacing="0"/>
        <w:ind w:firstLine="585"/>
        <w:rPr>
          <w:rFonts w:ascii="仿宋_GB2312" w:eastAsia="仿宋_GB2312" w:cs="仿宋_GB2312"/>
          <w:color w:val="000000"/>
          <w:sz w:val="32"/>
          <w:szCs w:val="32"/>
        </w:rPr>
      </w:pPr>
      <w:r>
        <w:rPr>
          <w:rFonts w:hint="eastAsia" w:ascii="仿宋_GB2312" w:eastAsia="仿宋_GB2312" w:cs="仿宋_GB2312"/>
          <w:color w:val="000000"/>
          <w:sz w:val="32"/>
          <w:szCs w:val="32"/>
        </w:rPr>
        <w:t>（4）其他金融支出0.14万元，主要反映其他业务费支出</w:t>
      </w:r>
    </w:p>
    <w:p>
      <w:pPr>
        <w:pStyle w:val="7"/>
      </w:pPr>
    </w:p>
    <w:p>
      <w:pPr>
        <w:pStyle w:val="7"/>
      </w:pPr>
      <w:r>
        <w:drawing>
          <wp:inline distT="0" distB="0" distL="0" distR="0">
            <wp:extent cx="4572000" cy="2743200"/>
            <wp:effectExtent l="19050" t="0" r="19050" b="0"/>
            <wp:docPr id="35"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7"/>
      </w:pP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p>
    <w:p>
      <w:pPr>
        <w:widowControl/>
        <w:spacing w:line="560" w:lineRule="exact"/>
        <w:ind w:firstLine="775" w:firstLineChars="25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rPr>
        <w:t>173.37</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160.27</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13.09</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宋体" w:eastAsia="仿宋_GB2312" w:cs="仿宋_GB2312"/>
          <w:color w:val="000000"/>
          <w:kern w:val="0"/>
          <w:szCs w:val="32"/>
        </w:rPr>
        <w:t>160.27</w:t>
      </w:r>
      <w:r>
        <w:rPr>
          <w:rFonts w:ascii="仿宋_GB2312" w:hAnsi="宋体" w:eastAsia="仿宋_GB2312" w:cs="仿宋_GB2312"/>
          <w:color w:val="000000"/>
          <w:kern w:val="0"/>
          <w:szCs w:val="32"/>
        </w:rPr>
        <w:t>万元，主要包括基本工资</w:t>
      </w:r>
      <w:r>
        <w:rPr>
          <w:rFonts w:hint="eastAsia" w:ascii="仿宋_GB2312" w:hAnsi="宋体" w:eastAsia="仿宋_GB2312" w:cs="仿宋_GB2312"/>
          <w:color w:val="000000"/>
          <w:kern w:val="0"/>
          <w:szCs w:val="32"/>
        </w:rPr>
        <w:t>49.43万元，津补贴27.78万元，奖金34.20万元，绩效工资9.92万元，机关事业单位基本养老保险缴费14.59万元，职业年金缴费3.77万元，职工基本医疗保险缴费3.25万元，住房公积金17.34万元。</w:t>
      </w:r>
    </w:p>
    <w:p>
      <w:pPr>
        <w:spacing w:line="560" w:lineRule="exact"/>
        <w:ind w:firstLine="643" w:firstLineChars="200"/>
      </w:pPr>
      <w:r>
        <w:rPr>
          <w:rFonts w:ascii="仿宋_GB2312" w:hAnsi="宋体" w:eastAsia="仿宋_GB2312" w:cs="仿宋_GB2312"/>
          <w:b/>
          <w:bCs/>
          <w:color w:val="000000"/>
          <w:kern w:val="0"/>
          <w:szCs w:val="32"/>
        </w:rPr>
        <w:t>公用经费</w:t>
      </w:r>
      <w:r>
        <w:rPr>
          <w:rFonts w:hint="eastAsia" w:ascii="仿宋_GB2312" w:hAnsi="宋体" w:eastAsia="仿宋_GB2312" w:cs="仿宋_GB2312"/>
          <w:color w:val="000000"/>
          <w:kern w:val="0"/>
          <w:szCs w:val="32"/>
        </w:rPr>
        <w:t>13.09</w:t>
      </w:r>
      <w:r>
        <w:rPr>
          <w:rFonts w:ascii="仿宋_GB2312" w:hAnsi="宋体" w:eastAsia="仿宋_GB2312" w:cs="仿宋_GB2312"/>
          <w:color w:val="000000"/>
          <w:kern w:val="0"/>
          <w:szCs w:val="32"/>
        </w:rPr>
        <w:t>万元，</w:t>
      </w:r>
      <w:r>
        <w:rPr>
          <w:rFonts w:hint="eastAsia" w:ascii="仿宋_GB2312" w:eastAsia="仿宋_GB2312" w:cs="仿宋_GB2312"/>
          <w:color w:val="000000"/>
          <w:szCs w:val="32"/>
        </w:rPr>
        <w:t>用于保障机构正常运转和日常工作需要。</w:t>
      </w:r>
      <w:r>
        <w:rPr>
          <w:rFonts w:ascii="仿宋_GB2312" w:hAnsi="宋体" w:eastAsia="仿宋_GB2312" w:cs="仿宋_GB2312"/>
          <w:color w:val="000000"/>
          <w:kern w:val="0"/>
          <w:szCs w:val="32"/>
        </w:rPr>
        <w:t>主要包括办公费</w:t>
      </w:r>
      <w:r>
        <w:rPr>
          <w:rFonts w:hint="eastAsia" w:ascii="仿宋_GB2312" w:hAnsi="宋体" w:eastAsia="仿宋_GB2312" w:cs="仿宋_GB2312"/>
          <w:color w:val="000000"/>
          <w:kern w:val="0"/>
          <w:szCs w:val="32"/>
        </w:rPr>
        <w:t>2.45万元、差旅费2.83万元、培训费0.14万元、公务接待费0.04万元、公费经费3.39万元、其他交通费4.24万元。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p>
    <w:p>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800" w:firstLineChars="25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rPr>
        <w:t>3.69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0.04</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1.08</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减少3.65万元，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实施事业单位车改后无车辆运行费支出及倡导节俭合理压缩公务接待支出。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eastAsia="仿宋_GB2312" w:cs="仿宋_GB2312"/>
          <w:color w:val="000000"/>
          <w:szCs w:val="32"/>
        </w:rPr>
        <w:t>我单位严格贯彻中央八项规定，</w:t>
      </w: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“三公”经费财政拨款支出决算中，因公出国（境）费支出决算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w:t>
      </w:r>
      <w:r>
        <w:rPr>
          <w:rFonts w:hint="eastAsia" w:ascii="仿宋_GB2312" w:eastAsia="仿宋_GB2312" w:cs="仿宋_GB2312"/>
          <w:color w:val="000000"/>
          <w:szCs w:val="32"/>
        </w:rPr>
        <w:t>较上年无变化</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公务用车购置</w:t>
      </w:r>
      <w:r>
        <w:rPr>
          <w:rFonts w:hint="eastAsia" w:ascii="仿宋_GB2312" w:hAnsi="宋体" w:eastAsia="仿宋_GB2312" w:cs="仿宋_GB2312"/>
          <w:color w:val="000000"/>
          <w:kern w:val="0"/>
          <w:szCs w:val="32"/>
        </w:rPr>
        <w:t>费支出0万元，</w:t>
      </w:r>
      <w:r>
        <w:rPr>
          <w:rFonts w:hint="eastAsia" w:ascii="仿宋_GB2312" w:eastAsia="仿宋_GB2312" w:cs="仿宋_GB2312"/>
          <w:color w:val="000000"/>
          <w:szCs w:val="32"/>
        </w:rPr>
        <w:t>较上年无变化</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，较上年减少2.85万元</w:t>
      </w:r>
      <w:r>
        <w:rPr>
          <w:rFonts w:ascii="仿宋_GB2312" w:hAnsi="宋体" w:eastAsia="仿宋_GB2312" w:cs="仿宋_GB2312"/>
          <w:color w:val="000000"/>
          <w:kern w:val="0"/>
          <w:szCs w:val="32"/>
        </w:rPr>
        <w:t>；公务接待费支出决算</w:t>
      </w:r>
      <w:r>
        <w:rPr>
          <w:rFonts w:hint="eastAsia" w:ascii="仿宋_GB2312" w:hAnsi="宋体" w:eastAsia="仿宋_GB2312" w:cs="仿宋_GB2312"/>
          <w:color w:val="000000"/>
          <w:kern w:val="0"/>
          <w:szCs w:val="32"/>
        </w:rPr>
        <w:t>0.04</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，较上年减少0.08万元</w:t>
      </w:r>
      <w:r>
        <w:rPr>
          <w:rFonts w:ascii="仿宋_GB2312" w:hAnsi="宋体" w:eastAsia="仿宋_GB2312" w:cs="仿宋_GB2312"/>
          <w:color w:val="000000"/>
          <w:kern w:val="0"/>
          <w:szCs w:val="32"/>
        </w:rPr>
        <w:t>。具体情况如下：</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2019年度因公出国（境）团组</w:t>
      </w:r>
      <w:r>
        <w:rPr>
          <w:rFonts w:hint="eastAsia" w:ascii="仿宋_GB2312" w:hAnsi="仿宋_GB2312" w:eastAsia="仿宋_GB2312" w:cs="仿宋_GB2312"/>
          <w:szCs w:val="32"/>
        </w:rPr>
        <w:t>0个，0人次，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2.公务用车购置费用支出情况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2019年度购置车辆</w:t>
      </w:r>
      <w:r>
        <w:rPr>
          <w:rFonts w:hint="eastAsia" w:ascii="仿宋_GB2312" w:hAnsi="仿宋_GB2312" w:eastAsia="仿宋_GB2312" w:cs="仿宋_GB2312"/>
          <w:szCs w:val="32"/>
        </w:rPr>
        <w:t>0台，</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3.公务用车运行维护费用支出情况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公务用车运行维护费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2.85</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减少2.85万元，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实施事业单位车改，无车辆运行费支出。</w:t>
      </w:r>
    </w:p>
    <w:p>
      <w:pPr>
        <w:numPr>
          <w:ilvl w:val="0"/>
          <w:numId w:val="3"/>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Cs w:val="32"/>
        </w:rPr>
      </w:pPr>
      <w:r>
        <w:rPr>
          <w:rFonts w:hint="eastAsia" w:ascii="仿宋_GB2312" w:hAnsi="仿宋" w:eastAsia="仿宋_GB2312"/>
          <w:szCs w:val="32"/>
        </w:rPr>
        <w:t>2019年度公务接待</w:t>
      </w:r>
      <w:r>
        <w:rPr>
          <w:rFonts w:hint="eastAsia" w:ascii="仿宋_GB2312" w:hAnsi="仿宋_GB2312" w:eastAsia="仿宋_GB2312" w:cs="仿宋_GB2312"/>
          <w:szCs w:val="32"/>
        </w:rPr>
        <w:t>1批次，6人次，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0.12</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0.04</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30%，决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减少0.08万元，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倡导节俭，严格执行八项规定，控制因公招待。</w:t>
      </w:r>
    </w:p>
    <w:p>
      <w:pPr>
        <w:pStyle w:val="2"/>
        <w:rPr>
          <w:kern w:val="0"/>
        </w:rPr>
      </w:pPr>
      <w:r>
        <w:rPr>
          <w:kern w:val="0"/>
        </w:rPr>
        <w:drawing>
          <wp:inline distT="0" distB="0" distL="0" distR="0">
            <wp:extent cx="3982085" cy="2337435"/>
            <wp:effectExtent l="19050" t="0" r="18143" b="5443"/>
            <wp:docPr id="36"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rPr>
          <w:kern w:val="0"/>
        </w:rPr>
      </w:pPr>
      <w:r>
        <w:rPr>
          <w:kern w:val="0"/>
        </w:rPr>
        <w:drawing>
          <wp:inline distT="0" distB="0" distL="0" distR="0">
            <wp:extent cx="3980815" cy="2387600"/>
            <wp:effectExtent l="19050" t="0" r="19413" b="0"/>
            <wp:docPr id="37"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培训费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0.14</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140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增加0.14万元，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新任命领导参加上级组织统一培训。</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会议费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p>
    <w:p>
      <w:pPr>
        <w:spacing w:line="560" w:lineRule="exact"/>
        <w:ind w:firstLine="800" w:firstLineChars="250"/>
        <w:rPr>
          <w:rFonts w:ascii="仿宋_GB2312" w:hAnsi="仿宋_GB2312" w:eastAsia="仿宋_GB2312" w:cs="仿宋_GB2312"/>
          <w:szCs w:val="32"/>
        </w:rPr>
      </w:pPr>
      <w:r>
        <w:rPr>
          <w:rFonts w:hint="eastAsia" w:ascii="仿宋_GB2312" w:hAnsi="仿宋_GB2312" w:eastAsia="仿宋_GB2312" w:cs="仿宋_GB2312"/>
          <w:szCs w:val="32"/>
        </w:rPr>
        <w:t xml:space="preserve">本部门无政府性基金决算收支，并已公开空表。 </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800" w:firstLineChars="25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w:t>
      </w:r>
      <w:r>
        <w:rPr>
          <w:rFonts w:ascii="楷体_GB2312" w:hAnsi="宋体" w:eastAsia="楷体_GB2312" w:cs="楷体_GB2312"/>
          <w:b/>
          <w:color w:val="000000"/>
          <w:kern w:val="0"/>
          <w:szCs w:val="32"/>
        </w:rPr>
        <w:t>预算绩效管理工作开展情况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年一般公共预算1个项目支出开展了绩效自评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rPr>
        <w:t>1</w:t>
      </w:r>
      <w:r>
        <w:rPr>
          <w:rFonts w:ascii="仿宋_GB2312" w:hAnsi="仿宋_GB2312" w:eastAsia="仿宋_GB2312" w:cs="仿宋_GB2312"/>
          <w:szCs w:val="32"/>
        </w:rPr>
        <w:t>个，共涉及资金</w:t>
      </w:r>
      <w:r>
        <w:rPr>
          <w:rFonts w:hint="eastAsia" w:ascii="仿宋_GB2312" w:hAnsi="仿宋_GB2312" w:eastAsia="仿宋_GB2312" w:cs="仿宋_GB2312"/>
          <w:szCs w:val="32"/>
        </w:rPr>
        <w:t>50.48</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 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color w:val="000000"/>
          <w:kern w:val="0"/>
          <w:sz w:val="31"/>
          <w:szCs w:val="31"/>
        </w:rPr>
        <w:t>223.85</w:t>
      </w:r>
      <w:r>
        <w:rPr>
          <w:rFonts w:hint="eastAsia" w:ascii="仿宋_GB2312" w:hAnsi="仿宋_GB2312" w:eastAsia="仿宋_GB2312" w:cs="仿宋_GB2312"/>
          <w:szCs w:val="32"/>
        </w:rPr>
        <w:t>万元。</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部门决算中项目绩效自评结果。</w:t>
      </w:r>
    </w:p>
    <w:p>
      <w:pPr>
        <w:spacing w:line="640" w:lineRule="exact"/>
        <w:ind w:firstLine="640" w:firstLineChars="200"/>
        <w:rPr>
          <w:rFonts w:ascii="仿宋_GB2312" w:eastAsia="仿宋_GB2312"/>
          <w:szCs w:val="32"/>
        </w:rPr>
      </w:pPr>
      <w:r>
        <w:rPr>
          <w:rFonts w:hint="eastAsia" w:ascii="仿宋_GB2312" w:eastAsia="仿宋_GB2312"/>
          <w:szCs w:val="32"/>
        </w:rPr>
        <w:t xml:space="preserve"> 金融工作业务费项目绩效自评综述：根据年初设定的绩效目标，项目自评得分</w:t>
      </w:r>
      <w:r>
        <w:rPr>
          <w:rFonts w:hint="eastAsia" w:ascii="楷体_GB2312" w:hAnsi="宋体" w:eastAsia="楷体_GB2312" w:cs="楷体_GB2312"/>
          <w:b/>
          <w:color w:val="000000"/>
          <w:kern w:val="0"/>
          <w:szCs w:val="32"/>
        </w:rPr>
        <w:t>95</w:t>
      </w:r>
      <w:r>
        <w:rPr>
          <w:rFonts w:hint="eastAsia" w:ascii="仿宋_GB2312" w:eastAsia="仿宋_GB2312"/>
          <w:szCs w:val="32"/>
        </w:rPr>
        <w:t>分。项目全年预算数7万元，执行数 50.48万元，调整预算数43.48万元，完成预算的100%。</w:t>
      </w:r>
    </w:p>
    <w:p>
      <w:pPr>
        <w:spacing w:line="640" w:lineRule="exact"/>
        <w:ind w:firstLine="640" w:firstLineChars="200"/>
        <w:rPr>
          <w:rFonts w:ascii="仿宋_GB2312" w:eastAsia="仿宋_GB2312"/>
          <w:szCs w:val="32"/>
        </w:rPr>
      </w:pPr>
      <w:r>
        <w:rPr>
          <w:rFonts w:hint="eastAsia" w:ascii="仿宋_GB2312" w:eastAsia="仿宋_GB2312"/>
          <w:szCs w:val="32"/>
        </w:rPr>
        <w:t>主要产出和效果：通过项目的实施，按时发放临聘人员工资，支付水电暖、物业、卫生间改造等费用，保障了单位的正常运转。同时，及时发放各街办农信等级评价奖补资金，切实推进农信评价工作有序开展。支付打击非法集资宣传费用、扶持企业上市融资等培训费等，促进各项金融工作业务顺利推进。</w:t>
      </w:r>
    </w:p>
    <w:p>
      <w:pPr>
        <w:spacing w:line="640" w:lineRule="exact"/>
        <w:ind w:firstLine="640" w:firstLineChars="200"/>
        <w:rPr>
          <w:rFonts w:ascii="仿宋_GB2312" w:eastAsia="仿宋_GB2312"/>
          <w:szCs w:val="32"/>
        </w:rPr>
      </w:pPr>
      <w:r>
        <w:rPr>
          <w:rFonts w:hint="eastAsia" w:ascii="仿宋_GB2312" w:eastAsia="仿宋_GB2312"/>
          <w:szCs w:val="32"/>
        </w:rPr>
        <w:t>发现的问题及原因：年初预算数与执行预算数差异较大，预算执行有待进一步加强。主要原因是：1、单位水电暖、物业及临聘人员工资以前与区城投公司共同承担，自2019年4月份起因客观原因全部由我办独自承担。2、因2019年新增工作任务，农信评价奖补资金及农村金融贴息资金未能列入年初预算，导致追加经费金额加大。</w:t>
      </w:r>
    </w:p>
    <w:p>
      <w:pPr>
        <w:spacing w:line="640" w:lineRule="exact"/>
        <w:ind w:firstLine="640" w:firstLineChars="200"/>
        <w:rPr>
          <w:rFonts w:ascii="仿宋_GB2312" w:eastAsia="仿宋_GB2312"/>
          <w:szCs w:val="32"/>
        </w:rPr>
      </w:pPr>
      <w:r>
        <w:rPr>
          <w:rFonts w:hint="eastAsia" w:ascii="仿宋_GB2312" w:eastAsia="仿宋_GB2312"/>
          <w:szCs w:val="32"/>
        </w:rPr>
        <w:t>下一步改进措施：不断优化预算编制，确保预算项目全面准确，不漏项，按实际需要争取预算资金。</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spacing w:line="640" w:lineRule="exact"/>
        <w:ind w:firstLine="640" w:firstLineChars="200"/>
        <w:rPr>
          <w:rFonts w:ascii="仿宋_GB2312" w:eastAsia="仿宋_GB2312"/>
          <w:szCs w:val="32"/>
        </w:rPr>
      </w:pPr>
      <w:r>
        <w:rPr>
          <w:rFonts w:hint="eastAsia" w:ascii="仿宋_GB2312" w:eastAsia="仿宋_GB2312"/>
          <w:szCs w:val="32"/>
        </w:rPr>
        <w:t>根据年初设定的绩效目标，本部门2019年度整体自评得分95分。全年预算数109.41万元，执行数223.85万元，完成预算的204.59%。</w:t>
      </w:r>
    </w:p>
    <w:p>
      <w:pPr>
        <w:spacing w:line="640" w:lineRule="exact"/>
        <w:ind w:firstLine="640" w:firstLineChars="200"/>
        <w:rPr>
          <w:rFonts w:ascii="仿宋_GB2312" w:eastAsia="仿宋_GB2312"/>
          <w:szCs w:val="32"/>
        </w:rPr>
      </w:pPr>
      <w:r>
        <w:rPr>
          <w:rFonts w:hint="eastAsia" w:ascii="仿宋_GB2312" w:eastAsia="仿宋_GB2312"/>
          <w:szCs w:val="32"/>
        </w:rPr>
        <w:t>主要产出和效果：认真贯彻落实区委、区政府及市金融工作局部署和安排，主动作为，攻坚克难，勇于担当，扎实推进扫黑除恶、上市融资、营商环境、金融扶贫、农信评级、防范非法集资等方面工作，为保障全区经济金融稳健运行做出了积极努力。</w:t>
      </w:r>
    </w:p>
    <w:p>
      <w:pPr>
        <w:spacing w:line="640" w:lineRule="exact"/>
        <w:ind w:firstLine="640" w:firstLineChars="200"/>
        <w:rPr>
          <w:rFonts w:ascii="仿宋_GB2312" w:eastAsia="仿宋_GB2312"/>
          <w:szCs w:val="32"/>
        </w:rPr>
      </w:pPr>
      <w:r>
        <w:rPr>
          <w:rFonts w:hint="eastAsia" w:ascii="仿宋_GB2312" w:eastAsia="仿宋_GB2312"/>
          <w:szCs w:val="32"/>
        </w:rPr>
        <w:t>主要工作绩效是：扫黑除恶专项斗争持续深入。企业上市融资工作有序推进。中小企业融资环境得到优化。非法集资风险得到有效防范。农户信用等级评价持续推进。农村金融服务创新扎实有效。</w:t>
      </w:r>
    </w:p>
    <w:p>
      <w:pPr>
        <w:spacing w:line="640" w:lineRule="exact"/>
        <w:ind w:firstLine="640" w:firstLineChars="200"/>
        <w:rPr>
          <w:rFonts w:ascii="仿宋_GB2312" w:eastAsia="仿宋_GB2312"/>
          <w:szCs w:val="32"/>
        </w:rPr>
      </w:pPr>
      <w:r>
        <w:rPr>
          <w:rFonts w:hint="eastAsia" w:ascii="仿宋_GB2312" w:eastAsia="仿宋_GB2312"/>
          <w:szCs w:val="32"/>
        </w:rPr>
        <w:t>发现的问题及原因：年初预算数与执行预算数差异较大，预算执行有待进一步加强。主要原因是：1、单位水电暖、物业及临聘人员工资以前与区城投公司共同承担，自2019年4月份起因客观原因全部由我办独自承担，导致实际支出加大。2、因农信评价奖补及农村金融服务设施大棚贴息资金未能列入年初预算（数字无法准确预测），导致追加经费金额加大。</w:t>
      </w:r>
    </w:p>
    <w:p>
      <w:pPr>
        <w:spacing w:line="640" w:lineRule="exact"/>
        <w:ind w:firstLine="640" w:firstLineChars="200"/>
        <w:rPr>
          <w:rFonts w:ascii="仿宋_GB2312" w:hAnsi="仿宋_GB2312" w:eastAsia="仿宋_GB2312" w:cs="仿宋_GB2312"/>
          <w:color w:val="000000"/>
          <w:kern w:val="0"/>
          <w:sz w:val="31"/>
          <w:szCs w:val="31"/>
        </w:rPr>
      </w:pPr>
      <w:r>
        <w:rPr>
          <w:rFonts w:hint="eastAsia" w:ascii="仿宋_GB2312" w:eastAsia="仿宋_GB2312"/>
          <w:szCs w:val="32"/>
        </w:rPr>
        <w:t>下一步改进措施：不断优化预算编制，确保预算项目全面准确，不漏项，按实际需要争取预算资金。</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sz w:val="31"/>
          <w:szCs w:val="31"/>
        </w:rPr>
      </w:pPr>
      <w:bookmarkStart w:id="1" w:name="_1662907080"/>
      <w:bookmarkEnd w:id="1"/>
      <w:bookmarkStart w:id="2" w:name="_1662907161"/>
      <w:bookmarkEnd w:id="2"/>
      <w:bookmarkStart w:id="3" w:name="_1662907596"/>
      <w:bookmarkEnd w:id="3"/>
      <w:r>
        <w:rPr>
          <w:rFonts w:hint="eastAsia" w:ascii="仿宋_GB2312" w:hAnsi="仿宋_GB2312" w:eastAsia="仿宋_GB2312" w:cs="仿宋_GB2312"/>
          <w:color w:val="000000"/>
          <w:sz w:val="31"/>
          <w:szCs w:val="31"/>
        </w:rPr>
        <w:pict>
          <v:shape id="_x0000_s1026" o:spid="_x0000_s1026" o:spt="75" type="#_x0000_t75" style="position:absolute;left:0pt;margin-left:-25.6pt;margin-top:2.25pt;height:650.15pt;width:463.55pt;z-index:-251658240;mso-width-relative:page;mso-height-relative:page;" o:ole="t" filled="f" o:preferrelative="t" stroked="f" coordsize="21600,21600">
            <v:path/>
            <v:fill on="f" focussize="0,0"/>
            <v:stroke on="f"/>
            <v:imagedata r:id="rId15" o:title=""/>
            <o:lock v:ext="edit" aspectratio="f"/>
          </v:shape>
          <o:OLEObject Type="Embed" ProgID="Excel.Sheet.12" ShapeID="_x0000_s1026" DrawAspect="Content" ObjectID="_1468075725" r:id="rId14">
            <o:LockedField>false</o:LockedField>
          </o:OLEObject>
        </w:pict>
      </w:r>
    </w:p>
    <w:p>
      <w:pPr>
        <w:widowControl/>
        <w:jc w:val="left"/>
        <w:rPr>
          <w:rFonts w:ascii="仿宋_GB2312" w:hAnsi="仿宋_GB2312" w:eastAsia="仿宋_GB2312" w:cs="仿宋_GB2312"/>
          <w:color w:val="000000"/>
          <w:sz w:val="31"/>
          <w:szCs w:val="31"/>
        </w:rPr>
        <w:sectPr>
          <w:pgSz w:w="11906" w:h="16838"/>
          <w:pgMar w:top="1440" w:right="1800" w:bottom="1440" w:left="1800" w:header="851" w:footer="992" w:gutter="0"/>
          <w:pgNumType w:fmt="numberInDash"/>
          <w:cols w:space="425" w:num="1"/>
          <w:docGrid w:type="lines" w:linePitch="312" w:charSpace="0"/>
        </w:sectPr>
      </w:pPr>
    </w:p>
    <w:p>
      <w:pPr>
        <w:pStyle w:val="2"/>
        <w:spacing w:before="0" w:after="0" w:line="240" w:lineRule="auto"/>
        <w:rPr>
          <w:rFonts w:ascii="黑体" w:hAnsi="黑体" w:eastAsia="黑体"/>
          <w:color w:val="000000"/>
          <w:kern w:val="0"/>
          <w:szCs w:val="32"/>
        </w:rPr>
      </w:pPr>
      <w:r>
        <w:rPr>
          <w:rFonts w:hint="eastAsia"/>
          <w:kern w:val="0"/>
        </w:rPr>
        <w:object>
          <v:shape id="_x0000_i1025" o:spt="75" type="#_x0000_t75" style="height:1009.15pt;width:703pt;" o:ole="t" filled="f" o:preferrelative="t" stroked="f" coordsize="21600,21600">
            <v:path/>
            <v:fill on="f" focussize="0,0"/>
            <v:stroke on="f"/>
            <v:imagedata r:id="rId17" o:title=""/>
            <o:lock v:ext="edit" aspectratio="f"/>
            <w10:wrap type="none"/>
            <w10:anchorlock/>
          </v:shape>
          <o:OLEObject Type="Embed" ProgID="Excel.Sheet.12" ShapeID="_x0000_i1025" DrawAspect="Content" ObjectID="_1468075726" r:id="rId16">
            <o:LockedField>false</o:LockedField>
          </o:OLEObject>
        </w:object>
      </w:r>
      <w:bookmarkStart w:id="4" w:name="_1662907696"/>
      <w:bookmarkEnd w:id="4"/>
      <w:r>
        <w:rPr>
          <w:rFonts w:hint="eastAsia" w:ascii="黑体" w:hAnsi="黑体" w:eastAsia="黑体"/>
          <w:color w:val="000000"/>
          <w:szCs w:val="32"/>
        </w:rPr>
        <w:object>
          <v:shape id="_x0000_i1026" o:spt="75" type="#_x0000_t75" style="height:1224pt;width:505.7pt;" o:ole="t" filled="f" o:preferrelative="t" stroked="f" coordsize="21600,21600">
            <v:path/>
            <v:fill on="f" focussize="0,0"/>
            <v:stroke on="f" joinstyle="miter"/>
            <v:imagedata r:id="rId19" o:title=""/>
            <o:lock v:ext="edit" aspectratio="f"/>
            <w10:wrap type="none"/>
            <w10:anchorlock/>
          </v:shape>
          <o:OLEObject Type="Embed" ProgID="Excel.Sheet.12" ShapeID="_x0000_i1026" DrawAspect="Content" ObjectID="_1468075727" r:id="rId18">
            <o:LockedField>false</o:LockedField>
          </o:OLEObject>
        </w:object>
      </w:r>
    </w:p>
    <w:p>
      <w:pPr>
        <w:rPr>
          <w:rFonts w:ascii="黑体" w:hAnsi="黑体" w:eastAsia="黑体"/>
          <w:color w:val="000000"/>
          <w:kern w:val="0"/>
          <w:szCs w:val="32"/>
        </w:rPr>
        <w:sectPr>
          <w:pgSz w:w="16838" w:h="11906" w:orient="landscape"/>
          <w:pgMar w:top="1800" w:right="1440" w:bottom="1800" w:left="1440" w:header="851" w:footer="992" w:gutter="0"/>
          <w:pgNumType w:fmt="numberInDash"/>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9.1</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13.09</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143.85</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减增加3.99万元，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补发2018年及发放2019年事业单位车补，列支在基本支出下商品和服务支出科目。</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本部门201</w:t>
      </w:r>
      <w:r>
        <w:rPr>
          <w:rFonts w:ascii="仿宋_GB2312" w:hAnsi="仿宋_GB2312" w:eastAsia="仿宋_GB2312" w:cs="仿宋_GB2312"/>
          <w:szCs w:val="32"/>
        </w:rPr>
        <w:t>9</w:t>
      </w:r>
      <w:r>
        <w:rPr>
          <w:rFonts w:hint="eastAsia" w:ascii="仿宋_GB2312" w:hAnsi="仿宋_GB2312" w:eastAsia="仿宋_GB2312" w:cs="仿宋_GB2312"/>
          <w:szCs w:val="32"/>
        </w:rPr>
        <w:t>年度无政府采购支出。</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截至2019年末，本部门机关及所属单位共有车辆3辆；单价50万元以上的通用设备0台（套）；单价100万元以上的专用设备0台（套）。201</w:t>
      </w:r>
      <w:r>
        <w:rPr>
          <w:rFonts w:ascii="仿宋_GB2312" w:hAnsi="仿宋_GB2312" w:eastAsia="仿宋_GB2312" w:cs="仿宋_GB2312"/>
          <w:szCs w:val="32"/>
        </w:rPr>
        <w:t>9</w:t>
      </w:r>
      <w:r>
        <w:rPr>
          <w:rFonts w:hint="eastAsia" w:ascii="仿宋_GB2312" w:hAnsi="仿宋_GB2312" w:eastAsia="仿宋_GB2312" w:cs="仿宋_GB2312"/>
          <w:szCs w:val="32"/>
        </w:rPr>
        <w:t>年当年购置车辆0辆；购置单价50万元以上的通用设备0台（套）；购置单价100万元以上的专用设备0台（套）。</w:t>
      </w:r>
    </w:p>
    <w:p>
      <w:pPr>
        <w:spacing w:line="560" w:lineRule="exact"/>
        <w:ind w:firstLine="640"/>
        <w:rPr>
          <w:rFonts w:ascii="仿宋_GB2312" w:hAnsi="仿宋_GB2312" w:eastAsia="仿宋_GB2312" w:cs="仿宋_GB2312"/>
          <w:szCs w:val="32"/>
        </w:rPr>
      </w:pPr>
    </w:p>
    <w:p>
      <w:pPr>
        <w:numPr>
          <w:ilvl w:val="0"/>
          <w:numId w:val="4"/>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3F8C730"/>
    <w:multiLevelType w:val="singleLevel"/>
    <w:tmpl w:val="A3F8C730"/>
    <w:lvl w:ilvl="0" w:tentative="0">
      <w:start w:val="1"/>
      <w:numFmt w:val="chineseCounting"/>
      <w:suff w:val="nothing"/>
      <w:lvlText w:val="%1、"/>
      <w:lvlJc w:val="left"/>
      <w:rPr>
        <w:rFonts w:hint="eastAsia"/>
      </w:rPr>
    </w:lvl>
  </w:abstractNum>
  <w:abstractNum w:abstractNumId="2">
    <w:nsid w:val="39BEA4A8"/>
    <w:multiLevelType w:val="singleLevel"/>
    <w:tmpl w:val="39BEA4A8"/>
    <w:lvl w:ilvl="0" w:tentative="0">
      <w:start w:val="4"/>
      <w:numFmt w:val="chineseCounting"/>
      <w:suff w:val="space"/>
      <w:lvlText w:val="第%1部分"/>
      <w:lvlJc w:val="left"/>
      <w:rPr>
        <w:rFonts w:hint="eastAsia"/>
      </w:rPr>
    </w:lvl>
  </w:abstractNum>
  <w:abstractNum w:abstractNumId="3">
    <w:nsid w:val="4E290741"/>
    <w:multiLevelType w:val="singleLevel"/>
    <w:tmpl w:val="4E290741"/>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011618"/>
    <w:rsid w:val="002F08F9"/>
    <w:rsid w:val="00307E2E"/>
    <w:rsid w:val="003329B8"/>
    <w:rsid w:val="00394E6A"/>
    <w:rsid w:val="003A347E"/>
    <w:rsid w:val="003F6337"/>
    <w:rsid w:val="00415DA5"/>
    <w:rsid w:val="004745C4"/>
    <w:rsid w:val="00483361"/>
    <w:rsid w:val="004D1312"/>
    <w:rsid w:val="004E2373"/>
    <w:rsid w:val="00590208"/>
    <w:rsid w:val="0069313E"/>
    <w:rsid w:val="00697EC1"/>
    <w:rsid w:val="006D3ABD"/>
    <w:rsid w:val="00704A6D"/>
    <w:rsid w:val="00783742"/>
    <w:rsid w:val="00791520"/>
    <w:rsid w:val="007E773B"/>
    <w:rsid w:val="008D601A"/>
    <w:rsid w:val="008F6146"/>
    <w:rsid w:val="00940E39"/>
    <w:rsid w:val="0098767A"/>
    <w:rsid w:val="009B246C"/>
    <w:rsid w:val="009B64C1"/>
    <w:rsid w:val="00B13F6B"/>
    <w:rsid w:val="00B35F2F"/>
    <w:rsid w:val="00C16A7A"/>
    <w:rsid w:val="00C3335C"/>
    <w:rsid w:val="00C65768"/>
    <w:rsid w:val="00E225DB"/>
    <w:rsid w:val="00E6484F"/>
    <w:rsid w:val="00F05172"/>
    <w:rsid w:val="00F464EC"/>
    <w:rsid w:val="00F552BE"/>
    <w:rsid w:val="00F80917"/>
    <w:rsid w:val="010E3361"/>
    <w:rsid w:val="04371053"/>
    <w:rsid w:val="053E7D5E"/>
    <w:rsid w:val="05FF202F"/>
    <w:rsid w:val="068B7849"/>
    <w:rsid w:val="086C1E64"/>
    <w:rsid w:val="095643D0"/>
    <w:rsid w:val="09F56D6B"/>
    <w:rsid w:val="10085643"/>
    <w:rsid w:val="15916C1F"/>
    <w:rsid w:val="18634A0D"/>
    <w:rsid w:val="1A46794C"/>
    <w:rsid w:val="1AF22409"/>
    <w:rsid w:val="1D8B0C78"/>
    <w:rsid w:val="20B96E79"/>
    <w:rsid w:val="20E506C4"/>
    <w:rsid w:val="2256467C"/>
    <w:rsid w:val="239F588F"/>
    <w:rsid w:val="249C6E13"/>
    <w:rsid w:val="256264C3"/>
    <w:rsid w:val="2660352B"/>
    <w:rsid w:val="287C13F1"/>
    <w:rsid w:val="28FB2AB2"/>
    <w:rsid w:val="30DF4759"/>
    <w:rsid w:val="350A5D93"/>
    <w:rsid w:val="351A39E4"/>
    <w:rsid w:val="3669223E"/>
    <w:rsid w:val="366C12FC"/>
    <w:rsid w:val="3BFC6DCC"/>
    <w:rsid w:val="3C7A6DAB"/>
    <w:rsid w:val="3D904069"/>
    <w:rsid w:val="3FCA23EC"/>
    <w:rsid w:val="41942E54"/>
    <w:rsid w:val="424D60E4"/>
    <w:rsid w:val="42FA4769"/>
    <w:rsid w:val="43BC1030"/>
    <w:rsid w:val="47964FBE"/>
    <w:rsid w:val="49F72518"/>
    <w:rsid w:val="4A1752A2"/>
    <w:rsid w:val="4AAA24EF"/>
    <w:rsid w:val="4B18398F"/>
    <w:rsid w:val="50C46A00"/>
    <w:rsid w:val="52AC7AB3"/>
    <w:rsid w:val="54207C4C"/>
    <w:rsid w:val="544D3043"/>
    <w:rsid w:val="596D661C"/>
    <w:rsid w:val="5F5027A5"/>
    <w:rsid w:val="65706DA4"/>
    <w:rsid w:val="67915521"/>
    <w:rsid w:val="69A157A9"/>
    <w:rsid w:val="6B3B79EC"/>
    <w:rsid w:val="6EAC6681"/>
    <w:rsid w:val="6F094735"/>
    <w:rsid w:val="71840673"/>
    <w:rsid w:val="73431FE5"/>
    <w:rsid w:val="778B0394"/>
    <w:rsid w:val="7B6D5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eastAsia="宋体"/>
      <w:sz w:val="21"/>
    </w:rPr>
  </w:style>
  <w:style w:type="paragraph" w:styleId="5">
    <w:name w:val="Balloon Text"/>
    <w:basedOn w:val="1"/>
    <w:link w:val="2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link w:val="23"/>
    <w:qFormat/>
    <w:uiPriority w:val="0"/>
    <w:pPr>
      <w:spacing w:before="240" w:after="60" w:line="312" w:lineRule="auto"/>
      <w:jc w:val="center"/>
      <w:outlineLvl w:val="1"/>
    </w:pPr>
    <w:rPr>
      <w:rFonts w:eastAsia="宋体" w:asciiTheme="majorHAnsi" w:hAnsiTheme="majorHAnsi" w:cstheme="majorBidi"/>
      <w:b/>
      <w:bCs/>
      <w:kern w:val="28"/>
      <w:szCs w:val="32"/>
    </w:rPr>
  </w:style>
  <w:style w:type="paragraph" w:styleId="9">
    <w:name w:val="Normal (Web)"/>
    <w:basedOn w:val="1"/>
    <w:next w:val="7"/>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font11"/>
    <w:basedOn w:val="12"/>
    <w:qFormat/>
    <w:uiPriority w:val="0"/>
    <w:rPr>
      <w:rFonts w:hint="eastAsia" w:ascii="宋体" w:hAnsi="宋体" w:eastAsia="宋体" w:cs="宋体"/>
      <w:b/>
      <w:color w:val="000000"/>
      <w:sz w:val="32"/>
      <w:szCs w:val="32"/>
      <w:u w:val="none"/>
    </w:rPr>
  </w:style>
  <w:style w:type="character" w:customStyle="1" w:styleId="15">
    <w:name w:val="font91"/>
    <w:basedOn w:val="12"/>
    <w:qFormat/>
    <w:uiPriority w:val="0"/>
    <w:rPr>
      <w:rFonts w:hint="eastAsia" w:ascii="宋体" w:hAnsi="宋体" w:eastAsia="宋体" w:cs="宋体"/>
      <w:color w:val="000000"/>
      <w:sz w:val="32"/>
      <w:szCs w:val="32"/>
      <w:u w:val="none"/>
    </w:rPr>
  </w:style>
  <w:style w:type="character" w:customStyle="1" w:styleId="16">
    <w:name w:val="font51"/>
    <w:basedOn w:val="12"/>
    <w:qFormat/>
    <w:uiPriority w:val="0"/>
    <w:rPr>
      <w:rFonts w:hint="eastAsia" w:ascii="宋体" w:hAnsi="宋体" w:eastAsia="宋体" w:cs="宋体"/>
      <w:color w:val="000000"/>
      <w:sz w:val="20"/>
      <w:szCs w:val="20"/>
      <w:u w:val="none"/>
    </w:rPr>
  </w:style>
  <w:style w:type="character" w:customStyle="1" w:styleId="17">
    <w:name w:val="font10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18"/>
      <w:szCs w:val="18"/>
      <w:u w:val="none"/>
    </w:rPr>
  </w:style>
  <w:style w:type="character" w:customStyle="1" w:styleId="19">
    <w:name w:val="font112"/>
    <w:basedOn w:val="12"/>
    <w:qFormat/>
    <w:uiPriority w:val="0"/>
    <w:rPr>
      <w:rFonts w:hint="eastAsia" w:ascii="宋体" w:hAnsi="宋体" w:eastAsia="宋体" w:cs="宋体"/>
      <w:color w:val="000000"/>
      <w:sz w:val="20"/>
      <w:szCs w:val="20"/>
      <w:u w:val="none"/>
    </w:rPr>
  </w:style>
  <w:style w:type="character" w:customStyle="1" w:styleId="20">
    <w:name w:val="font61"/>
    <w:basedOn w:val="12"/>
    <w:qFormat/>
    <w:uiPriority w:val="0"/>
    <w:rPr>
      <w:rFonts w:hint="eastAsia" w:ascii="宋体" w:hAnsi="宋体" w:eastAsia="宋体" w:cs="宋体"/>
      <w:color w:val="000000"/>
      <w:sz w:val="24"/>
      <w:szCs w:val="24"/>
      <w:u w:val="none"/>
    </w:rPr>
  </w:style>
  <w:style w:type="paragraph" w:styleId="21">
    <w:name w:val="List Paragraph"/>
    <w:basedOn w:val="1"/>
    <w:unhideWhenUsed/>
    <w:qFormat/>
    <w:uiPriority w:val="99"/>
    <w:pPr>
      <w:ind w:firstLine="420" w:firstLineChars="200"/>
    </w:pPr>
  </w:style>
  <w:style w:type="character" w:customStyle="1" w:styleId="22">
    <w:name w:val="批注框文本 Char"/>
    <w:basedOn w:val="12"/>
    <w:link w:val="5"/>
    <w:qFormat/>
    <w:uiPriority w:val="0"/>
    <w:rPr>
      <w:rFonts w:ascii="Calibri" w:hAnsi="Calibri" w:eastAsia="方正仿宋简体"/>
      <w:kern w:val="2"/>
      <w:sz w:val="18"/>
      <w:szCs w:val="18"/>
    </w:rPr>
  </w:style>
  <w:style w:type="character" w:customStyle="1" w:styleId="23">
    <w:name w:val="副标题 Char"/>
    <w:basedOn w:val="12"/>
    <w:link w:val="8"/>
    <w:qFormat/>
    <w:uiPriority w:val="0"/>
    <w:rPr>
      <w:rFonts w:asciiTheme="majorHAnsi" w:hAnsiTheme="majorHAnsi" w:cstheme="majorBidi"/>
      <w:b/>
      <w:bCs/>
      <w:kern w:val="28"/>
      <w:sz w:val="32"/>
      <w:szCs w:val="32"/>
    </w:rPr>
  </w:style>
  <w:style w:type="character" w:customStyle="1" w:styleId="24">
    <w:name w:val="标题 2 Char"/>
    <w:basedOn w:val="12"/>
    <w:link w:val="3"/>
    <w:qFormat/>
    <w:uiPriority w:val="0"/>
    <w:rPr>
      <w:rFonts w:asciiTheme="majorHAnsi" w:hAnsiTheme="majorHAnsi" w:eastAsiaTheme="majorEastAsia" w:cstheme="majorBidi"/>
      <w:b/>
      <w:bCs/>
      <w:kern w:val="2"/>
      <w:sz w:val="32"/>
      <w:szCs w:val="32"/>
    </w:rPr>
  </w:style>
  <w:style w:type="character" w:customStyle="1" w:styleId="25">
    <w:name w:val="标题 1 Char"/>
    <w:basedOn w:val="12"/>
    <w:link w:val="2"/>
    <w:qFormat/>
    <w:uiPriority w:val="0"/>
    <w:rPr>
      <w:rFonts w:ascii="Calibri" w:hAnsi="Calibri" w:eastAsia="方正仿宋简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1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12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12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12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12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12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123.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1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elete val="1"/>
          </c:dLbls>
          <c:cat>
            <c:strRef>
              <c:f>Sheet1!$C$8:$D$8</c:f>
              <c:strCache>
                <c:ptCount val="2"/>
                <c:pt idx="0">
                  <c:v>支出223.85</c:v>
                </c:pt>
                <c:pt idx="1">
                  <c:v>财政拨款支出223.85</c:v>
                </c:pt>
              </c:strCache>
            </c:strRef>
          </c:cat>
          <c:val>
            <c:numRef>
              <c:f>Sheet1!$C$9:$D$9</c:f>
              <c:numCache>
                <c:formatCode>General</c:formatCode>
                <c:ptCount val="2"/>
                <c:pt idx="0">
                  <c:v>223.85</c:v>
                </c:pt>
                <c:pt idx="1">
                  <c:v>223.85</c:v>
                </c:pt>
              </c:numCache>
            </c:numRef>
          </c:val>
        </c:ser>
        <c:dLbls>
          <c:showLegendKey val="0"/>
          <c:showVal val="0"/>
          <c:showCatName val="0"/>
          <c:showSerName val="0"/>
          <c:showPercent val="0"/>
          <c:showBubbleSize val="0"/>
        </c:dLbls>
        <c:gapWidth val="150"/>
        <c:overlap val="100"/>
        <c:axId val="86803584"/>
        <c:axId val="86805120"/>
      </c:barChart>
      <c:catAx>
        <c:axId val="868035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805120"/>
        <c:crosses val="autoZero"/>
        <c:auto val="1"/>
        <c:lblAlgn val="ctr"/>
        <c:lblOffset val="100"/>
        <c:noMultiLvlLbl val="0"/>
      </c:catAx>
      <c:valAx>
        <c:axId val="868051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80358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elete val="1"/>
          </c:dLbls>
          <c:cat>
            <c:strRef>
              <c:f>Sheet1!$C$8:$E$8</c:f>
              <c:strCache>
                <c:ptCount val="3"/>
                <c:pt idx="0">
                  <c:v>收入223.85</c:v>
                </c:pt>
                <c:pt idx="1">
                  <c:v>支出223.85</c:v>
                </c:pt>
                <c:pt idx="2">
                  <c:v>结余0</c:v>
                </c:pt>
              </c:strCache>
            </c:strRef>
          </c:cat>
          <c:val>
            <c:numRef>
              <c:f>Sheet1!$C$9:$E$9</c:f>
              <c:numCache>
                <c:formatCode>General</c:formatCode>
                <c:ptCount val="3"/>
                <c:pt idx="0">
                  <c:v>223.85</c:v>
                </c:pt>
                <c:pt idx="1">
                  <c:v>223.85</c:v>
                </c:pt>
                <c:pt idx="2">
                  <c:v>0</c:v>
                </c:pt>
              </c:numCache>
            </c:numRef>
          </c:val>
        </c:ser>
        <c:dLbls>
          <c:showLegendKey val="0"/>
          <c:showVal val="0"/>
          <c:showCatName val="0"/>
          <c:showSerName val="0"/>
          <c:showPercent val="0"/>
          <c:showBubbleSize val="0"/>
        </c:dLbls>
        <c:gapWidth val="150"/>
        <c:overlap val="100"/>
        <c:axId val="86868352"/>
        <c:axId val="86869888"/>
      </c:barChart>
      <c:catAx>
        <c:axId val="868683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869888"/>
        <c:crosses val="autoZero"/>
        <c:auto val="1"/>
        <c:lblAlgn val="ctr"/>
        <c:lblOffset val="100"/>
        <c:noMultiLvlLbl val="0"/>
      </c:catAx>
      <c:valAx>
        <c:axId val="868698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8683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elete val="1"/>
          </c:dLbls>
          <c:cat>
            <c:strRef>
              <c:f>Sheet1!$C$8:$D$8</c:f>
              <c:strCache>
                <c:ptCount val="2"/>
                <c:pt idx="0">
                  <c:v>支出223.85</c:v>
                </c:pt>
                <c:pt idx="1">
                  <c:v>财政拨款支出223.85</c:v>
                </c:pt>
              </c:strCache>
            </c:strRef>
          </c:cat>
          <c:val>
            <c:numRef>
              <c:f>Sheet1!$C$9:$D$9</c:f>
              <c:numCache>
                <c:formatCode>General</c:formatCode>
                <c:ptCount val="2"/>
                <c:pt idx="0">
                  <c:v>223.85</c:v>
                </c:pt>
                <c:pt idx="1">
                  <c:v>223.85</c:v>
                </c:pt>
              </c:numCache>
            </c:numRef>
          </c:val>
        </c:ser>
        <c:dLbls>
          <c:showLegendKey val="0"/>
          <c:showVal val="0"/>
          <c:showCatName val="0"/>
          <c:showSerName val="0"/>
          <c:showPercent val="0"/>
          <c:showBubbleSize val="0"/>
        </c:dLbls>
        <c:gapWidth val="150"/>
        <c:overlap val="100"/>
        <c:axId val="86893696"/>
        <c:axId val="86895232"/>
      </c:barChart>
      <c:catAx>
        <c:axId val="868936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895232"/>
        <c:crosses val="autoZero"/>
        <c:auto val="1"/>
        <c:lblAlgn val="ctr"/>
        <c:lblOffset val="100"/>
        <c:noMultiLvlLbl val="0"/>
      </c:catAx>
      <c:valAx>
        <c:axId val="86895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8936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elete val="1"/>
          </c:dLbls>
          <c:cat>
            <c:strRef>
              <c:f>Sheet1!$C$8:$D$8</c:f>
              <c:strCache>
                <c:ptCount val="2"/>
                <c:pt idx="0">
                  <c:v>支出223.85</c:v>
                </c:pt>
                <c:pt idx="1">
                  <c:v>财政拨款支出223.85</c:v>
                </c:pt>
              </c:strCache>
            </c:strRef>
          </c:cat>
          <c:val>
            <c:numRef>
              <c:f>Sheet1!$C$9:$D$9</c:f>
              <c:numCache>
                <c:formatCode>General</c:formatCode>
                <c:ptCount val="2"/>
                <c:pt idx="0">
                  <c:v>223.85</c:v>
                </c:pt>
                <c:pt idx="1">
                  <c:v>223.85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elete val="1"/>
          </c:dLbls>
          <c:cat>
            <c:strRef>
              <c:f>Sheet2!$C$8:$F$8</c:f>
              <c:strCache>
                <c:ptCount val="4"/>
                <c:pt idx="0">
                  <c:v>2019年收入223.85</c:v>
                </c:pt>
                <c:pt idx="1">
                  <c:v>2018年收入477.86</c:v>
                </c:pt>
                <c:pt idx="2">
                  <c:v>2019年支出223.85</c:v>
                </c:pt>
                <c:pt idx="3">
                  <c:v>2018年支出477.86</c:v>
                </c:pt>
              </c:strCache>
            </c:strRef>
          </c:cat>
          <c:val>
            <c:numRef>
              <c:f>Sheet2!$C$9:$F$9</c:f>
              <c:numCache>
                <c:formatCode>General</c:formatCode>
                <c:ptCount val="4"/>
                <c:pt idx="0">
                  <c:v>223.85</c:v>
                </c:pt>
                <c:pt idx="1">
                  <c:v>477.86</c:v>
                </c:pt>
                <c:pt idx="2">
                  <c:v>223.85</c:v>
                </c:pt>
                <c:pt idx="3">
                  <c:v>477.86</c:v>
                </c:pt>
              </c:numCache>
            </c:numRef>
          </c:val>
        </c:ser>
        <c:dLbls>
          <c:showLegendKey val="0"/>
          <c:showVal val="0"/>
          <c:showCatName val="0"/>
          <c:showSerName val="0"/>
          <c:showPercent val="0"/>
          <c:showBubbleSize val="0"/>
        </c:dLbls>
        <c:gapWidth val="150"/>
        <c:overlap val="100"/>
        <c:axId val="96046080"/>
        <c:axId val="96051968"/>
      </c:barChart>
      <c:catAx>
        <c:axId val="960460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051968"/>
        <c:crosses val="autoZero"/>
        <c:auto val="1"/>
        <c:lblAlgn val="ctr"/>
        <c:lblOffset val="100"/>
        <c:noMultiLvlLbl val="0"/>
      </c:catAx>
      <c:valAx>
        <c:axId val="960519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0460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elete val="1"/>
          </c:dLbls>
          <c:cat>
            <c:strRef>
              <c:f>Sheet2!$C$40:$D$40</c:f>
              <c:strCache>
                <c:ptCount val="2"/>
                <c:pt idx="0">
                  <c:v>2019年财政拨款支出223.85</c:v>
                </c:pt>
                <c:pt idx="1">
                  <c:v>2018年财政拨款支出477.86</c:v>
                </c:pt>
              </c:strCache>
            </c:strRef>
          </c:cat>
          <c:val>
            <c:numRef>
              <c:f>Sheet2!$C$41:$D$41</c:f>
              <c:numCache>
                <c:formatCode>General</c:formatCode>
                <c:ptCount val="2"/>
                <c:pt idx="0">
                  <c:v>223.85</c:v>
                </c:pt>
                <c:pt idx="1">
                  <c:v>477.86</c:v>
                </c:pt>
              </c:numCache>
            </c:numRef>
          </c:val>
        </c:ser>
        <c:dLbls>
          <c:showLegendKey val="0"/>
          <c:showVal val="0"/>
          <c:showCatName val="0"/>
          <c:showSerName val="0"/>
          <c:showPercent val="0"/>
          <c:showBubbleSize val="0"/>
        </c:dLbls>
        <c:gapWidth val="150"/>
        <c:overlap val="100"/>
        <c:axId val="96063488"/>
        <c:axId val="96065024"/>
      </c:barChart>
      <c:catAx>
        <c:axId val="960634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065024"/>
        <c:crosses val="autoZero"/>
        <c:auto val="1"/>
        <c:lblAlgn val="ctr"/>
        <c:lblOffset val="100"/>
        <c:noMultiLvlLbl val="0"/>
      </c:catAx>
      <c:valAx>
        <c:axId val="960650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0634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elete val="1"/>
          </c:dLbls>
          <c:cat>
            <c:strRef>
              <c:f>Sheet3!$C$15:$D$15</c:f>
              <c:strCache>
                <c:ptCount val="2"/>
                <c:pt idx="0">
                  <c:v>2019年车辆运行费</c:v>
                </c:pt>
                <c:pt idx="1">
                  <c:v>2018年车辆运行费</c:v>
                </c:pt>
              </c:strCache>
            </c:strRef>
          </c:cat>
          <c:val>
            <c:numRef>
              <c:f>Sheet3!$C$16:$D$16</c:f>
              <c:numCache>
                <c:formatCode>General</c:formatCode>
                <c:ptCount val="2"/>
                <c:pt idx="0">
                  <c:v>0</c:v>
                </c:pt>
                <c:pt idx="1">
                  <c:v>2.85</c:v>
                </c:pt>
              </c:numCache>
            </c:numRef>
          </c:val>
        </c:ser>
        <c:dLbls>
          <c:showLegendKey val="0"/>
          <c:showVal val="0"/>
          <c:showCatName val="0"/>
          <c:showSerName val="0"/>
          <c:showPercent val="0"/>
          <c:showBubbleSize val="0"/>
        </c:dLbls>
        <c:gapWidth val="150"/>
        <c:overlap val="100"/>
        <c:axId val="96154368"/>
        <c:axId val="96155904"/>
      </c:barChart>
      <c:catAx>
        <c:axId val="961543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155904"/>
        <c:crosses val="autoZero"/>
        <c:auto val="1"/>
        <c:lblAlgn val="ctr"/>
        <c:lblOffset val="100"/>
        <c:noMultiLvlLbl val="0"/>
      </c:catAx>
      <c:valAx>
        <c:axId val="96155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1543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Pt>
            <c:idx val="0"/>
            <c:bubble3D val="0"/>
          </c:dPt>
          <c:dPt>
            <c:idx val="1"/>
            <c:bubble3D val="0"/>
          </c:dPt>
          <c:dLbls>
            <c:delete val="1"/>
          </c:dLbls>
          <c:cat>
            <c:strRef>
              <c:f>Sheet3!$C$40:$D$40</c:f>
              <c:strCache>
                <c:ptCount val="2"/>
                <c:pt idx="0">
                  <c:v>2019年公务招待费</c:v>
                </c:pt>
                <c:pt idx="1">
                  <c:v>2018年公务招待费</c:v>
                </c:pt>
              </c:strCache>
            </c:strRef>
          </c:cat>
          <c:val>
            <c:numRef>
              <c:f>Sheet3!$C$41:$D$41</c:f>
              <c:numCache>
                <c:formatCode>General</c:formatCode>
                <c:ptCount val="2"/>
                <c:pt idx="0">
                  <c:v>0.04</c:v>
                </c:pt>
                <c:pt idx="1">
                  <c:v>0.12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CFA31-F9CF-44B1-A27B-10C7AE67F8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8481</Words>
  <Characters>4432</Characters>
  <Lines>36</Lines>
  <Paragraphs>25</Paragraphs>
  <TotalTime>27</TotalTime>
  <ScaleCrop>false</ScaleCrop>
  <LinksUpToDate>false</LinksUpToDate>
  <CharactersWithSpaces>12888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WPS_1528200198</cp:lastModifiedBy>
  <cp:lastPrinted>2020-11-02T02:23:37Z</cp:lastPrinted>
  <dcterms:modified xsi:type="dcterms:W3CDTF">2020-11-02T02:23:41Z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