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774"/>
        <w:tblOverlap w:val="never"/>
        <w:tblW w:w="127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36"/>
      </w:tblGrid>
      <w:tr w:rsidR="008A37D2">
        <w:trPr>
          <w:trHeight w:val="186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 w:rsidR="008A37D2">
        <w:trPr>
          <w:trHeight w:val="1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</w:p>
        </w:tc>
      </w:tr>
      <w:tr w:rsidR="008A37D2">
        <w:trPr>
          <w:trHeight w:val="1287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部门名称：西安市公安局阎良分局</w:t>
            </w:r>
          </w:p>
        </w:tc>
      </w:tr>
      <w:tr w:rsidR="008A37D2">
        <w:trPr>
          <w:trHeight w:val="82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保密审查情况：</w:t>
            </w:r>
          </w:p>
        </w:tc>
      </w:tr>
      <w:tr w:rsidR="008A37D2">
        <w:trPr>
          <w:trHeight w:val="74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部门主要负责人审签情况：</w:t>
            </w:r>
          </w:p>
        </w:tc>
      </w:tr>
      <w:tr w:rsidR="008A37D2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8A37D2">
        <w:trPr>
          <w:trHeight w:val="255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8A37D2">
        <w:trPr>
          <w:trHeight w:val="480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AF7459" w:rsidRDefault="00AF7459" w:rsidP="00AF7459">
            <w:pPr>
              <w:ind w:firstLineChars="1500" w:firstLine="4800"/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</w:pPr>
          </w:p>
          <w:p w:rsidR="00AF7459" w:rsidRDefault="00AF7459" w:rsidP="00AF7459">
            <w:pPr>
              <w:ind w:firstLineChars="1500" w:firstLine="4800"/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</w:pPr>
          </w:p>
          <w:p w:rsidR="008A37D2" w:rsidRDefault="00AF7459" w:rsidP="00AF7459">
            <w:pPr>
              <w:ind w:firstLineChars="1500" w:firstLine="4800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  <w:lastRenderedPageBreak/>
              <w:t>目 录</w:t>
            </w:r>
          </w:p>
        </w:tc>
      </w:tr>
    </w:tbl>
    <w:p w:rsidR="008A37D2" w:rsidRDefault="00AF7459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/>
          <w:sz w:val="32"/>
          <w:szCs w:val="32"/>
        </w:rPr>
        <w:t>2</w:t>
      </w:r>
    </w:p>
    <w:tbl>
      <w:tblPr>
        <w:tblpPr w:leftFromText="180" w:rightFromText="180" w:vertAnchor="text" w:horzAnchor="page" w:tblpX="1544" w:tblpY="120"/>
        <w:tblOverlap w:val="never"/>
        <w:tblW w:w="127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9"/>
        <w:gridCol w:w="7938"/>
        <w:gridCol w:w="1026"/>
        <w:gridCol w:w="3152"/>
      </w:tblGrid>
      <w:tr w:rsidR="008A37D2" w:rsidTr="00AF7459">
        <w:trPr>
          <w:trHeight w:val="444"/>
        </w:trPr>
        <w:tc>
          <w:tcPr>
            <w:tcW w:w="1275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 w:rsidP="00AF7459">
            <w:pPr>
              <w:widowControl/>
              <w:textAlignment w:val="bottom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8A37D2" w:rsidTr="00AF7459">
        <w:trPr>
          <w:trHeight w:val="51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不涉及的部门应公开空表</w:t>
            </w: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jc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年部门专项业务经费重点项目绩效目标表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 w:rsidP="00AF7459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按部门一级项目公开，无专项业务经费项目的部门，请公开空表并说明。</w:t>
            </w:r>
          </w:p>
        </w:tc>
      </w:tr>
      <w:tr w:rsidR="008A37D2" w:rsidTr="00AF7459">
        <w:trPr>
          <w:trHeight w:val="50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 w:rsidP="00AF7459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 w:rsidTr="00AF7459">
        <w:trPr>
          <w:trHeight w:val="7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 w:rsidP="00AF7459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 w:rsidP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不涉及的部门应公开空表</w:t>
            </w:r>
          </w:p>
        </w:tc>
      </w:tr>
    </w:tbl>
    <w:p w:rsidR="008A37D2" w:rsidRDefault="008A37D2">
      <w:pPr>
        <w:rPr>
          <w:rFonts w:ascii="仿宋_GB2312" w:eastAsia="仿宋_GB2312"/>
          <w:sz w:val="18"/>
          <w:szCs w:val="21"/>
        </w:rPr>
      </w:pPr>
    </w:p>
    <w:p w:rsidR="008A37D2" w:rsidRDefault="00AF7459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注：</w:t>
      </w:r>
      <w:r>
        <w:rPr>
          <w:rFonts w:ascii="仿宋_GB2312" w:eastAsia="仿宋_GB2312" w:hAnsi="宋体" w:cs="宋体"/>
          <w:color w:val="000000"/>
          <w:kern w:val="0"/>
          <w:sz w:val="16"/>
          <w:szCs w:val="16"/>
        </w:rPr>
        <w:t>1</w:t>
      </w: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、封面和目录的格式不得随意改变。</w:t>
      </w:r>
      <w:r>
        <w:rPr>
          <w:rFonts w:ascii="仿宋_GB2312" w:eastAsia="仿宋_GB2312" w:hAnsi="宋体" w:cs="宋体"/>
          <w:color w:val="000000"/>
          <w:kern w:val="0"/>
          <w:sz w:val="16"/>
          <w:szCs w:val="16"/>
        </w:rPr>
        <w:t>2</w:t>
      </w: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、公开空表一定要在目录说明理由。</w:t>
      </w:r>
      <w:r>
        <w:rPr>
          <w:rFonts w:ascii="仿宋_GB2312" w:eastAsia="仿宋_GB2312" w:hAnsi="宋体" w:cs="宋体"/>
          <w:color w:val="000000"/>
          <w:kern w:val="0"/>
          <w:sz w:val="16"/>
          <w:szCs w:val="16"/>
        </w:rPr>
        <w:t>3</w:t>
      </w:r>
      <w:r>
        <w:rPr>
          <w:rFonts w:ascii="仿宋_GB2312" w:eastAsia="仿宋_GB2312" w:hAnsi="宋体" w:cs="宋体" w:hint="eastAsia"/>
          <w:color w:val="000000"/>
          <w:kern w:val="0"/>
          <w:sz w:val="16"/>
          <w:szCs w:val="16"/>
        </w:rPr>
        <w:t>、区级各部门涉及公开扶贫项目资金绩效目标表的，请在重点项目绩效目标表中添加公开。</w:t>
      </w: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bookmarkStart w:id="0" w:name="_GoBack"/>
      <w:bookmarkEnd w:id="0"/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45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 w:rsidR="008A37D2">
        <w:trPr>
          <w:trHeight w:val="312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312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 w:rsidR="008A37D2">
        <w:trPr>
          <w:trHeight w:val="312"/>
        </w:trPr>
        <w:tc>
          <w:tcPr>
            <w:tcW w:w="397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8A37D2">
        <w:trPr>
          <w:trHeight w:val="312"/>
        </w:trPr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入</w:t>
            </w:r>
          </w:p>
        </w:tc>
        <w:tc>
          <w:tcPr>
            <w:tcW w:w="10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出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7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30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、财政拨款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、一般公共服务支出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、人员经费和公用经费支出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7106.25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、机关工资福利支出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7603.5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(1)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一般公共预算拨款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、外交支出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6253.5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、机关商品和服务支出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1891.05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其中：专项资金列入部门预算的项目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、国防支出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(2)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、机关资本性支出（一）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(2)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政府性基金拨款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、公共安全支出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8625.05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(3)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、机关资本性支出（二）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(3)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国有资本经营预算收入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、教育支出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(4)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、对事业单位经常性补助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、上级补助收入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、科学技术支出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、专项业务经费支出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、对事业单位资本性补助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、事业收入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、文化旅游体育与传媒支出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、对企业补助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其中：纳入财政专户管理的收费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、社会保障和就业支出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(2)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1041.9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、对企业资本性支出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、事业单位经营收入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、社会保险基金支出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(3)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对个人和家庭补助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、对个人和家庭的补助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、附属单位上缴收入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、卫生健康支出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(4)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、对社会保障基金补助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、其他收入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、节能环保支出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(5)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基本建设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、债务利息及费用支出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、城乡社区支出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(6)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、债务还本支出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、农林水支出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(7)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对企业补助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基本建设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、转移性支出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、交通运输支出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(8)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、预备费及预留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、资源勘探工业信息等支出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(9)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、其他支出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、商业服务业等支出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其他支出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、金融支出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、上缴上级支出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、援助其他地区支出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、事业单位经营支出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、自然资源海洋气象等支出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、对附属单位补助支出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、住房保障支出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、粮油物资储备支出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、国有资本经营预算支出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、灾害防治及应急管理支出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、预备费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、其他支出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、转移性支出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、债务还本支出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、债务付息支出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、债务发行费用支出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其中：财政拨款资金结转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非财政拨款资金结余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312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31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80"/>
        <w:gridCol w:w="498"/>
        <w:gridCol w:w="408"/>
        <w:gridCol w:w="653"/>
        <w:gridCol w:w="115"/>
        <w:gridCol w:w="738"/>
        <w:gridCol w:w="664"/>
        <w:gridCol w:w="19"/>
        <w:gridCol w:w="762"/>
        <w:gridCol w:w="19"/>
        <w:gridCol w:w="169"/>
        <w:gridCol w:w="535"/>
        <w:gridCol w:w="19"/>
        <w:gridCol w:w="314"/>
        <w:gridCol w:w="462"/>
        <w:gridCol w:w="19"/>
        <w:gridCol w:w="444"/>
        <w:gridCol w:w="303"/>
        <w:gridCol w:w="19"/>
        <w:gridCol w:w="1037"/>
        <w:gridCol w:w="19"/>
        <w:gridCol w:w="1224"/>
        <w:gridCol w:w="19"/>
        <w:gridCol w:w="29"/>
        <w:gridCol w:w="805"/>
        <w:gridCol w:w="19"/>
        <w:gridCol w:w="159"/>
        <w:gridCol w:w="810"/>
        <w:gridCol w:w="516"/>
        <w:gridCol w:w="19"/>
        <w:gridCol w:w="477"/>
        <w:gridCol w:w="386"/>
        <w:gridCol w:w="22"/>
      </w:tblGrid>
      <w:tr w:rsidR="008A37D2">
        <w:trPr>
          <w:gridAfter w:val="1"/>
          <w:wAfter w:w="22" w:type="dxa"/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705"/>
        </w:trPr>
        <w:tc>
          <w:tcPr>
            <w:tcW w:w="13144" w:type="dxa"/>
            <w:gridSpan w:val="3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 w:rsidR="008A37D2">
        <w:trPr>
          <w:gridAfter w:val="1"/>
          <w:wAfter w:w="22" w:type="dxa"/>
          <w:trHeight w:val="43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360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70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8A37D2">
        <w:trPr>
          <w:trHeight w:val="45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1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 w:rsidR="008A37D2">
        <w:trPr>
          <w:trHeight w:val="68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西安市公安局阎良分局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9518.15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9518.15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123001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西安市公安局阎良分局本级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9498.15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9498.15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123002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西安市阎良区武警中队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705"/>
        </w:trPr>
        <w:tc>
          <w:tcPr>
            <w:tcW w:w="12736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 w:rsidR="008A37D2">
        <w:trPr>
          <w:gridAfter w:val="2"/>
          <w:wAfter w:w="408" w:type="dxa"/>
          <w:trHeight w:val="43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gridAfter w:val="2"/>
          <w:wAfter w:w="408" w:type="dxa"/>
          <w:trHeight w:val="300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 w:rsidR="008A37D2">
        <w:trPr>
          <w:gridAfter w:val="2"/>
          <w:wAfter w:w="408" w:type="dxa"/>
          <w:trHeight w:val="60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8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37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 w:rsidR="008A37D2">
        <w:trPr>
          <w:gridAfter w:val="2"/>
          <w:wAfter w:w="408" w:type="dxa"/>
          <w:trHeight w:val="810"/>
        </w:trPr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西安市公安局阎良分局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9518.15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9518.15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123001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西安市公安局阎良分局本级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9498.15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9498.15</w:t>
            </w: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123002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西安市阎良区武警中队</w:t>
            </w: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gridAfter w:val="2"/>
          <w:wAfter w:w="408" w:type="dxa"/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30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4"/>
        <w:gridCol w:w="752"/>
        <w:gridCol w:w="2241"/>
        <w:gridCol w:w="896"/>
        <w:gridCol w:w="2473"/>
        <w:gridCol w:w="926"/>
        <w:gridCol w:w="2400"/>
        <w:gridCol w:w="880"/>
      </w:tblGrid>
      <w:tr w:rsidR="008A37D2">
        <w:trPr>
          <w:trHeight w:val="485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301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 w:rsidR="008A37D2">
        <w:trPr>
          <w:trHeight w:val="450"/>
        </w:trPr>
        <w:tc>
          <w:tcPr>
            <w:tcW w:w="319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 w:rsidR="008A37D2">
        <w:trPr>
          <w:trHeight w:val="340"/>
        </w:trPr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入</w:t>
            </w:r>
          </w:p>
        </w:tc>
        <w:tc>
          <w:tcPr>
            <w:tcW w:w="9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出</w:t>
            </w:r>
          </w:p>
        </w:tc>
      </w:tr>
      <w:tr w:rsidR="008A37D2">
        <w:trPr>
          <w:trHeight w:val="45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项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、一般公共预算拨款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、一般公共服务支出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、人员经费和公用经费支出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7106.25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、机关工资福利支出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7603.5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其中：专项资金列入部门预算的项目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、外交支出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6253.5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、机关商品和服务支出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1891.05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、政府性基金拨款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、国防支出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(2)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、机关资本性支出（一）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、国有资本经营预算收入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、公共安全支出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8625.05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(3)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对个人和家庭的补助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、机关资本性支出（二）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、教育支出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(4)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、对事业单位经常性补助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、科学技术支出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、专项业务经费支出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、对事业单位资本性补助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、文化旅游体育与传媒支出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工资福利支出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、对企业补助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、社会保障和就业支出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(2)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商品和服务支出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1041.9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、对企业资本性支出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、社会保险基金支出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(3)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对个人和家庭补助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、对个人和家庭的补助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、卫生健康支出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(4)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债务利息及费用支出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、对社会保障基金补助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、节能环保支出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(5)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基本建设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、债务利息及费用支出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、城乡社区支出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(6)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资本性支出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、债务还本支出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、农林水支出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(7)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对企业补助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基本建设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、转移性支出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、交通运输支出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(8)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对企业补助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、预备费及预留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、资源勘探工业信息等支出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(9)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对社会保障基金补助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、其他支出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、商业服务业等支出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     (10)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其他支出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、金融支出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、上缴上级支出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、援助其他地区支出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、事业单位经营支出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19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、自然资源海洋气象等支出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、对附属单位补助支出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、住房保障支出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、粮油物资储备支出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40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、国有资本经营预算支出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、灾害防治及应急管理支出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、预备费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、其他支出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、转移性支出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、债务还本支出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、债务付息支出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 xml:space="preserve">  29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、债务发行费用支出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507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</w:p>
        </w:tc>
      </w:tr>
      <w:tr w:rsidR="008A37D2">
        <w:trPr>
          <w:trHeight w:val="216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right"/>
              <w:rPr>
                <w:rFonts w:ascii="仿宋_GB2312" w:eastAsia="仿宋_GB2312" w:hAnsi="宋体" w:cs="宋体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tbl>
      <w:tblPr>
        <w:tblW w:w="12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67"/>
        <w:gridCol w:w="1937"/>
        <w:gridCol w:w="1837"/>
        <w:gridCol w:w="1831"/>
        <w:gridCol w:w="77"/>
        <w:gridCol w:w="2024"/>
        <w:gridCol w:w="1880"/>
        <w:gridCol w:w="1156"/>
      </w:tblGrid>
      <w:tr w:rsidR="008A37D2">
        <w:trPr>
          <w:trHeight w:val="60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570"/>
        </w:trPr>
        <w:tc>
          <w:tcPr>
            <w:tcW w:w="127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不含上年结转）</w:t>
            </w:r>
          </w:p>
        </w:tc>
      </w:tr>
      <w:tr w:rsidR="008A37D2">
        <w:trPr>
          <w:trHeight w:val="450"/>
        </w:trPr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41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A37D2">
        <w:trPr>
          <w:trHeight w:val="31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合计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6257.1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公共安全支出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8625.05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20402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公安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8625.05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2040201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行政运行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6213.15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2040202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一般行政管理事务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774.4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774.4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2040299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其他公安支出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1637.5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1637.5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社会保障和就业支出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20805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行政事业单位养老支出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2080505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20827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财政对其他社会保险基金的补助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2082702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财政对工伤保险基金的补助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卫生健康支出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21011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行政事业单位医疗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2101101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行政单位医疗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5"/>
          <w:szCs w:val="15"/>
        </w:rPr>
      </w:pPr>
    </w:p>
    <w:tbl>
      <w:tblPr>
        <w:tblW w:w="13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4"/>
        <w:gridCol w:w="1836"/>
        <w:gridCol w:w="1668"/>
        <w:gridCol w:w="1596"/>
        <w:gridCol w:w="1332"/>
        <w:gridCol w:w="1164"/>
        <w:gridCol w:w="1380"/>
        <w:gridCol w:w="1488"/>
        <w:gridCol w:w="984"/>
      </w:tblGrid>
      <w:tr w:rsidR="008A37D2">
        <w:trPr>
          <w:trHeight w:val="60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570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不含上年结转）</w:t>
            </w:r>
          </w:p>
        </w:tc>
      </w:tr>
      <w:tr w:rsidR="008A37D2">
        <w:trPr>
          <w:trHeight w:val="450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5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A37D2">
        <w:trPr>
          <w:trHeight w:val="31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合计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9518.15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6257.1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2411.9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工资福利支出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7603.5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6253.5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基本工资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津贴补贴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奖金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伙食补助费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其他工资福利支出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机关事业单位基本养老保险缴费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职业年金缴费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职工基本医疗保险缴费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其他社会保障缴费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住房公积金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50103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住房公积金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30199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其他工资福利支出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其他工资福利支出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商品和服务支出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1891.05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1041.9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办公费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1312.65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662.4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电费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取暖费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30211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差旅费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维修（护）费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维修（护）费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租赁费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会议费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会议费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30217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公务接待费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50206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公务接待费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30299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其他商品和服务支出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其他商品和服务支出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259.5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对个人和家庭的补助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30305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生活补助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50901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社会福利和救助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资本性支出（基本建设）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30902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办公设备购置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30903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专用设备购置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30905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基础设施建设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59999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其他支出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5"/>
        <w:gridCol w:w="2111"/>
        <w:gridCol w:w="1821"/>
        <w:gridCol w:w="2444"/>
        <w:gridCol w:w="2501"/>
        <w:gridCol w:w="2008"/>
      </w:tblGrid>
      <w:tr w:rsidR="008A37D2">
        <w:trPr>
          <w:trHeight w:val="60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570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不含上年结转）</w:t>
            </w:r>
          </w:p>
        </w:tc>
      </w:tr>
      <w:tr w:rsidR="008A37D2">
        <w:trPr>
          <w:trHeight w:val="450"/>
        </w:trPr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50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A37D2">
        <w:trPr>
          <w:trHeight w:val="31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合计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7106.25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6257.1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公共安全支出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6213.15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20402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公安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6213.15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2040201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行政运行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6213.15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5364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社会保障和就业支出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723.1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20805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行政事业单位养老支出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2080505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机关事业单位基本养老保险缴费支出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20827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财政对其他社会保险基金的补助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2082702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财政对工伤保险基金的补助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卫生健康支出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21011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行政事业单位医疗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</w:t>
            </w:r>
            <w:r>
              <w:rPr>
                <w:rFonts w:ascii="Arial" w:hAnsi="Arial" w:cs="Arial"/>
                <w:sz w:val="20"/>
                <w:szCs w:val="20"/>
              </w:rPr>
              <w:t>2101101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　　行政单位医疗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-7"/>
        <w:tblOverlap w:val="never"/>
        <w:tblW w:w="12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68"/>
        <w:gridCol w:w="1920"/>
        <w:gridCol w:w="1692"/>
        <w:gridCol w:w="1644"/>
        <w:gridCol w:w="1500"/>
        <w:gridCol w:w="1488"/>
        <w:gridCol w:w="1632"/>
        <w:gridCol w:w="1236"/>
      </w:tblGrid>
      <w:tr w:rsidR="008A37D2">
        <w:trPr>
          <w:trHeight w:val="60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57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-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不含上年结转）</w:t>
            </w:r>
          </w:p>
        </w:tc>
      </w:tr>
      <w:tr w:rsidR="008A37D2">
        <w:trPr>
          <w:trHeight w:val="450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5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8A37D2">
        <w:trPr>
          <w:trHeight w:val="31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合计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7106.25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6257.1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工资福利支出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6253.5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6253.5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基本工资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津贴补贴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奖金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工资奖金津补贴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机关事业单位基本养老保险缴费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30109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职业年金缴费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职工基本医疗保险缴费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其他社会保障缴费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社会保障缴费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30113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住房公积金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50103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住房公积金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商品和服务支出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849.15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办公费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650.25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650.25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电费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30208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取暖费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差旅费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办公经费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维修（护）费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50209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维修（护）费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会议费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会议费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30217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公务接待费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公务接待费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对个人和家庭的补助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7D2">
        <w:trPr>
          <w:trHeight w:val="255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</w:t>
            </w:r>
            <w:r>
              <w:rPr>
                <w:rFonts w:ascii="Arial" w:hAnsi="Arial" w:cs="Arial"/>
                <w:sz w:val="20"/>
                <w:szCs w:val="20"/>
              </w:rPr>
              <w:t>30305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　　生活补助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50901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社会福利和救助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30" w:tblpY="32"/>
        <w:tblOverlap w:val="never"/>
        <w:tblW w:w="138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 w:rsidR="008A37D2">
        <w:trPr>
          <w:trHeight w:val="450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0"/>
                <w:szCs w:val="30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 w:rsidR="008A37D2">
        <w:trPr>
          <w:trHeight w:val="450"/>
        </w:trPr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5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收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入</w:t>
            </w:r>
          </w:p>
        </w:tc>
        <w:tc>
          <w:tcPr>
            <w:tcW w:w="114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  <w:t xml:space="preserve">                    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出</w:t>
            </w: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项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目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、机关资本性支出（一）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债务付息及费用支出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资本性支出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基本建设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对企业补助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基本建设）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5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39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3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65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left"/>
              <w:rPr>
                <w:rFonts w:ascii="仿宋_GB2312" w:eastAsia="仿宋_GB2312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36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42" w:tblpY="26"/>
        <w:tblOverlap w:val="never"/>
        <w:tblW w:w="1272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8"/>
        <w:gridCol w:w="2304"/>
        <w:gridCol w:w="2267"/>
        <w:gridCol w:w="6665"/>
      </w:tblGrid>
      <w:tr w:rsidR="008A37D2">
        <w:trPr>
          <w:trHeight w:val="60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570"/>
        </w:trPr>
        <w:tc>
          <w:tcPr>
            <w:tcW w:w="127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 w:rsidR="008A37D2">
        <w:trPr>
          <w:trHeight w:val="45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45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 w:rsidR="008A37D2">
        <w:trPr>
          <w:trHeight w:val="3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办案业务费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662.4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公安办案业务经费是公安机关用于同犯罪分子作斗争，维护社会治安，保卫党、国家和人民生命财产安全的专用经费，保障分局正常开展案件办理等相关工作，总金额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6624000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扫黑除恶专项经费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ind w:firstLine="331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为坚决打赢扫黑除恶攻坚战，分局申报扫黑除恶专项经费，用于保障分局扫黑除恶专项斗争，经费主要用于分局刑侦大队，扫黑办工作经费，涉黑涉恶类案件办案业务经费，在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年度中合理合规使用扫黑经费。申报金额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700000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FK</w:t>
            </w:r>
            <w:r>
              <w:rPr>
                <w:rFonts w:hint="eastAsia"/>
                <w:color w:val="000000"/>
                <w:sz w:val="22"/>
                <w:szCs w:val="22"/>
              </w:rPr>
              <w:t>经费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用于分局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FK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工作经费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JD</w:t>
            </w:r>
            <w:r>
              <w:rPr>
                <w:rFonts w:hint="eastAsia"/>
                <w:color w:val="000000"/>
                <w:sz w:val="22"/>
                <w:szCs w:val="22"/>
              </w:rPr>
              <w:t>经费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用于分局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JD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工作经费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天网二期租赁费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天网一期建设监控系统点位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51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个，新建二期天网视频监控点位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52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个，新建二期警务监督监控系统点位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个，租赁费共计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600000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元。</w:t>
            </w:r>
          </w:p>
        </w:tc>
      </w:tr>
      <w:tr w:rsidR="008A37D2">
        <w:trPr>
          <w:trHeight w:val="35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辅警工资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tabs>
                <w:tab w:val="left" w:pos="1894"/>
              </w:tabs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全局辅警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360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人，每人每年工资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53000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元，警务辅助人员，主要负责辅助民警开展治安、交通管理、等警务工作，维护当地社会治安，申报金额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130000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非税成本返还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交警大队行驶证、驾驶证、机动车号牌收费返还等收费成本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非税收入返还（交警）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交警大队交通治安罚没返还收入，保障交警工作正常开展，申报金额约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150000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停车场租赁费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交警大队两处停车场租赁费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万元，违法车辆过磅费及物品卸货保管费月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万元，交通违法查扣车辆停放费约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万元，合计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万元。</w:t>
            </w:r>
          </w:p>
        </w:tc>
      </w:tr>
      <w:tr w:rsidR="008A37D2">
        <w:trPr>
          <w:trHeight w:val="3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交通设施维修费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西安市阎良区现有交通信号灯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处，每年需要缴纳维修费、电费等费用。红绿灯、卡口电费总计月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万元。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道路安全监控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为保障阎良区道路安全，分局对全区主要交通道路安装监控，实行实时道路监控，监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lastRenderedPageBreak/>
              <w:t>控网络租赁费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370000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.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智慧社区建设及服务费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tabs>
                <w:tab w:val="left" w:pos="869"/>
              </w:tabs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智慧平安小区建设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42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个小区运行一年来，有效地防范乐小区各类案件的发生，为广大居民营造了良好的治安环境。每个小区各项费用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1800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*40*12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=864000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123001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看守所在押人员伙食费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tabs>
                <w:tab w:val="left" w:pos="631"/>
              </w:tabs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看守所在押人员伙食费，共计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500000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元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。</w:t>
            </w: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123002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地方保障经费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tabs>
                <w:tab w:val="left" w:pos="1444"/>
              </w:tabs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、完成目标单位外围封控警戒任务，确保目标单位安全稳定。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、预算金额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20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万元。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、购买生活设施，改善工作环境，确保目标单位安全无事故，维护社会稳定。</w:t>
            </w:r>
          </w:p>
        </w:tc>
      </w:tr>
      <w:tr w:rsidR="008A37D2">
        <w:trPr>
          <w:trHeight w:val="35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pPr w:leftFromText="180" w:rightFromText="180" w:vertAnchor="text" w:horzAnchor="page" w:tblpX="1554" w:tblpY="41"/>
        <w:tblOverlap w:val="never"/>
        <w:tblW w:w="132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 w:rsidR="008A37D2">
        <w:trPr>
          <w:trHeight w:val="216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44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 w:rsidR="008A37D2">
        <w:trPr>
          <w:trHeight w:val="408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right"/>
              <w:textAlignment w:val="center"/>
              <w:rPr>
                <w:rFonts w:ascii="仿宋_GB2312" w:eastAsia="仿宋_GB2312" w:hAnsi="宋体" w:cs="黑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黑体" w:hint="eastAsia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8A37D2">
        <w:trPr>
          <w:trHeight w:val="82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16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90"/>
        </w:trPr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AF7459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  <w:r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pPr w:leftFromText="180" w:rightFromText="180" w:vertAnchor="text" w:horzAnchor="page" w:tblpX="1554" w:tblpY="13"/>
        <w:tblOverlap w:val="never"/>
        <w:tblW w:w="126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 w:rsidR="008A37D2">
        <w:trPr>
          <w:trHeight w:val="58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465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8A37D2">
        <w:trPr>
          <w:trHeight w:val="52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jc w:val="righ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8A37D2">
        <w:trPr>
          <w:trHeight w:val="660"/>
        </w:trPr>
        <w:tc>
          <w:tcPr>
            <w:tcW w:w="2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部门预算支出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政府预算支出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 w:rsidR="008A37D2">
        <w:trPr>
          <w:trHeight w:val="360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A37D2">
        <w:trPr>
          <w:trHeight w:val="255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tbl>
      <w:tblPr>
        <w:tblW w:w="127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79"/>
        <w:gridCol w:w="429"/>
        <w:gridCol w:w="24"/>
        <w:gridCol w:w="325"/>
        <w:gridCol w:w="24"/>
        <w:gridCol w:w="352"/>
        <w:gridCol w:w="24"/>
        <w:gridCol w:w="468"/>
        <w:gridCol w:w="24"/>
        <w:gridCol w:w="410"/>
        <w:gridCol w:w="24"/>
        <w:gridCol w:w="337"/>
        <w:gridCol w:w="24"/>
        <w:gridCol w:w="496"/>
        <w:gridCol w:w="550"/>
        <w:gridCol w:w="24"/>
        <w:gridCol w:w="36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 w:rsidR="008A37D2">
        <w:trPr>
          <w:gridAfter w:val="1"/>
          <w:wAfter w:w="24" w:type="dxa"/>
          <w:trHeight w:val="600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left"/>
              <w:textAlignment w:val="bottom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lastRenderedPageBreak/>
              <w:t>表</w:t>
            </w:r>
            <w:r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8A37D2">
        <w:trPr>
          <w:gridAfter w:val="1"/>
          <w:wAfter w:w="24" w:type="dxa"/>
          <w:trHeight w:val="570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2021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 w:rsidR="008A37D2">
        <w:trPr>
          <w:trHeight w:val="450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widowControl/>
              <w:jc w:val="right"/>
              <w:textAlignment w:val="bottom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 w:rsidR="008A37D2">
        <w:trPr>
          <w:trHeight w:val="345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4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 w:rsidR="008A37D2">
        <w:trPr>
          <w:trHeight w:val="34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7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 w:rsidR="008A37D2">
        <w:trPr>
          <w:trHeight w:val="465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公务用车购置及运行费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12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2"/>
                <w:szCs w:val="12"/>
              </w:rPr>
              <w:t>公务用车运行费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8A37D2">
            <w:pPr>
              <w:jc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3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8A37D2" w:rsidRDefault="00AF7459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2"/>
                <w:szCs w:val="12"/>
              </w:rPr>
              <w:t>**</w:t>
            </w: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123001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西安市公安局阎良分局本级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54.01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54.01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54.01</w:t>
            </w: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42.5</w:t>
            </w: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42.5</w:t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42.5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-11.51</w:t>
            </w: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-11.51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AF7459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12"/>
                <w:szCs w:val="12"/>
              </w:rPr>
              <w:t>-11.51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  <w:tr w:rsidR="008A37D2">
        <w:trPr>
          <w:trHeight w:val="25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8A37D2" w:rsidRDefault="008A37D2">
            <w:pPr>
              <w:rPr>
                <w:rFonts w:ascii="仿宋_GB2312" w:eastAsia="仿宋_GB2312" w:hAnsi="宋体" w:cs="宋体"/>
                <w:color w:val="000000"/>
                <w:sz w:val="12"/>
                <w:szCs w:val="12"/>
              </w:rPr>
            </w:pPr>
          </w:p>
        </w:tc>
      </w:tr>
    </w:tbl>
    <w:p w:rsidR="008A37D2" w:rsidRDefault="008A37D2">
      <w:pPr>
        <w:rPr>
          <w:rFonts w:ascii="仿宋_GB2312" w:eastAsia="仿宋_GB2312" w:hAnsi="宋体" w:cs="宋体"/>
          <w:color w:val="000000"/>
          <w:kern w:val="0"/>
          <w:sz w:val="16"/>
          <w:szCs w:val="16"/>
        </w:rPr>
        <w:sectPr w:rsidR="008A37D2">
          <w:pgSz w:w="16838" w:h="11906" w:orient="landscape"/>
          <w:pgMar w:top="1713" w:right="2041" w:bottom="1531" w:left="1531" w:header="851" w:footer="992" w:gutter="0"/>
          <w:cols w:space="425"/>
          <w:docGrid w:type="lines" w:linePitch="312"/>
        </w:sectPr>
      </w:pPr>
    </w:p>
    <w:p w:rsidR="008A37D2" w:rsidRDefault="008A37D2" w:rsidP="00AF7459">
      <w:pPr>
        <w:widowControl/>
        <w:jc w:val="left"/>
        <w:textAlignment w:val="bottom"/>
        <w:rPr>
          <w:rFonts w:ascii="仿宋_GB2312" w:eastAsia="仿宋_GB2312" w:hAnsi="宋体" w:cs="宋体"/>
          <w:color w:val="000000"/>
          <w:kern w:val="0"/>
          <w:sz w:val="16"/>
          <w:szCs w:val="16"/>
        </w:rPr>
      </w:pPr>
    </w:p>
    <w:sectPr w:rsidR="008A37D2" w:rsidSect="00AF7459">
      <w:footerReference w:type="even" r:id="rId7"/>
      <w:pgSz w:w="11907" w:h="16840"/>
      <w:pgMar w:top="1588" w:right="1474" w:bottom="1418" w:left="1588" w:header="851" w:footer="1247" w:gutter="0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7D2" w:rsidRDefault="008A37D2" w:rsidP="008A37D2">
      <w:r>
        <w:separator/>
      </w:r>
    </w:p>
  </w:endnote>
  <w:endnote w:type="continuationSeparator" w:id="0">
    <w:p w:rsidR="008A37D2" w:rsidRDefault="008A37D2" w:rsidP="008A3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7D2" w:rsidRDefault="00AF7459">
    <w:pPr>
      <w:pStyle w:val="a3"/>
      <w:tabs>
        <w:tab w:val="left" w:pos="8505"/>
      </w:tabs>
      <w:ind w:right="280" w:firstLineChars="100" w:firstLine="280"/>
      <w:jc w:val="both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1"/>
      </w:rPr>
      <w:t xml:space="preserve">— </w:t>
    </w:r>
    <w:r w:rsidR="008A37D2"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 w:rsidR="008A37D2"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 w:rsidR="008A37D2"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7D2" w:rsidRDefault="008A37D2" w:rsidP="008A37D2">
      <w:r>
        <w:separator/>
      </w:r>
    </w:p>
  </w:footnote>
  <w:footnote w:type="continuationSeparator" w:id="0">
    <w:p w:rsidR="008A37D2" w:rsidRDefault="008A37D2" w:rsidP="008A3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1C103B8"/>
    <w:rsid w:val="00135ABE"/>
    <w:rsid w:val="00150916"/>
    <w:rsid w:val="0018045A"/>
    <w:rsid w:val="001A394B"/>
    <w:rsid w:val="001A4116"/>
    <w:rsid w:val="0026634E"/>
    <w:rsid w:val="002F3C38"/>
    <w:rsid w:val="00310CCA"/>
    <w:rsid w:val="00317C28"/>
    <w:rsid w:val="00393028"/>
    <w:rsid w:val="003E2E3A"/>
    <w:rsid w:val="004023DF"/>
    <w:rsid w:val="004679CA"/>
    <w:rsid w:val="00485141"/>
    <w:rsid w:val="005A1D7B"/>
    <w:rsid w:val="005C0585"/>
    <w:rsid w:val="005F7AB4"/>
    <w:rsid w:val="00601F09"/>
    <w:rsid w:val="0060542D"/>
    <w:rsid w:val="006A1FAA"/>
    <w:rsid w:val="006F1F80"/>
    <w:rsid w:val="00712D69"/>
    <w:rsid w:val="008A37D2"/>
    <w:rsid w:val="008F7533"/>
    <w:rsid w:val="00917DF8"/>
    <w:rsid w:val="009D2FCE"/>
    <w:rsid w:val="00A76213"/>
    <w:rsid w:val="00AF7459"/>
    <w:rsid w:val="00B775D8"/>
    <w:rsid w:val="00C042C8"/>
    <w:rsid w:val="00C45B38"/>
    <w:rsid w:val="00C75336"/>
    <w:rsid w:val="00C834C0"/>
    <w:rsid w:val="00C94E46"/>
    <w:rsid w:val="00CB6A0F"/>
    <w:rsid w:val="00D13EFC"/>
    <w:rsid w:val="00D474B0"/>
    <w:rsid w:val="00E02B1D"/>
    <w:rsid w:val="00ED1C81"/>
    <w:rsid w:val="00EE244B"/>
    <w:rsid w:val="00F732BD"/>
    <w:rsid w:val="03E141C8"/>
    <w:rsid w:val="05F44930"/>
    <w:rsid w:val="0699430F"/>
    <w:rsid w:val="0730186A"/>
    <w:rsid w:val="0B851488"/>
    <w:rsid w:val="0F604FE4"/>
    <w:rsid w:val="0FA853C3"/>
    <w:rsid w:val="11D75B7D"/>
    <w:rsid w:val="16183BFC"/>
    <w:rsid w:val="1B7E3C8E"/>
    <w:rsid w:val="1DB11B58"/>
    <w:rsid w:val="21052765"/>
    <w:rsid w:val="210B5593"/>
    <w:rsid w:val="21F33025"/>
    <w:rsid w:val="288606B4"/>
    <w:rsid w:val="2D8B5D30"/>
    <w:rsid w:val="2ED20D7B"/>
    <w:rsid w:val="2FD14226"/>
    <w:rsid w:val="36452B7D"/>
    <w:rsid w:val="38E47198"/>
    <w:rsid w:val="39F134C4"/>
    <w:rsid w:val="3EA613A1"/>
    <w:rsid w:val="434F4716"/>
    <w:rsid w:val="472D211B"/>
    <w:rsid w:val="4904365A"/>
    <w:rsid w:val="49B5451B"/>
    <w:rsid w:val="4B6305D0"/>
    <w:rsid w:val="4D934CCA"/>
    <w:rsid w:val="4E5A1A88"/>
    <w:rsid w:val="4E7C570F"/>
    <w:rsid w:val="4F216604"/>
    <w:rsid w:val="4F343613"/>
    <w:rsid w:val="4FC2198D"/>
    <w:rsid w:val="502E548C"/>
    <w:rsid w:val="52890153"/>
    <w:rsid w:val="57E33210"/>
    <w:rsid w:val="5A7D042C"/>
    <w:rsid w:val="5AF823FB"/>
    <w:rsid w:val="5B517183"/>
    <w:rsid w:val="5CD3517C"/>
    <w:rsid w:val="6148026E"/>
    <w:rsid w:val="617F6F7E"/>
    <w:rsid w:val="63EF72F1"/>
    <w:rsid w:val="67905ACD"/>
    <w:rsid w:val="69451C0F"/>
    <w:rsid w:val="6A032892"/>
    <w:rsid w:val="6BF75E94"/>
    <w:rsid w:val="6EF46816"/>
    <w:rsid w:val="6F725A26"/>
    <w:rsid w:val="71C103B8"/>
    <w:rsid w:val="74524990"/>
    <w:rsid w:val="75865A97"/>
    <w:rsid w:val="779367F4"/>
    <w:rsid w:val="77FD5387"/>
    <w:rsid w:val="79FD0010"/>
    <w:rsid w:val="7A19012B"/>
    <w:rsid w:val="7AF1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D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A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A37D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A37D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41">
    <w:name w:val="font41"/>
    <w:basedOn w:val="a0"/>
    <w:uiPriority w:val="99"/>
    <w:rsid w:val="008A37D2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23</Pages>
  <Words>5971</Words>
  <Characters>5809</Characters>
  <Application>Microsoft Office Word</Application>
  <DocSecurity>0</DocSecurity>
  <Lines>48</Lines>
  <Paragraphs>23</Paragraphs>
  <ScaleCrop>false</ScaleCrop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cp:lastPrinted>2021-04-16T01:50:00Z</cp:lastPrinted>
  <dcterms:created xsi:type="dcterms:W3CDTF">2020-02-25T09:45:00Z</dcterms:created>
  <dcterms:modified xsi:type="dcterms:W3CDTF">2021-04-16T01:56:00Z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