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20" w:lineRule="exact"/>
        <w:jc w:val="center"/>
        <w:rPr>
          <w:rStyle w:val="7"/>
          <w:rFonts w:hint="default" w:ascii="方正小标宋简体" w:hAnsi="方正小标宋简体" w:eastAsia="方正小标宋简体" w:cs="方正小标宋简体"/>
          <w:b w:val="0"/>
          <w:bCs w:val="0"/>
          <w:sz w:val="44"/>
          <w:szCs w:val="44"/>
          <w:lang w:val="en-US"/>
        </w:rPr>
      </w:pPr>
      <w:r>
        <w:rPr>
          <w:rStyle w:val="7"/>
          <w:rFonts w:hint="eastAsia" w:ascii="方正小标宋简体" w:hAnsi="方正小标宋简体" w:eastAsia="方正小标宋简体" w:cs="方正小标宋简体"/>
          <w:sz w:val="44"/>
          <w:szCs w:val="44"/>
          <w:lang w:val="en-US" w:eastAsia="zh-CN"/>
        </w:rPr>
        <w:t xml:space="preserve"> 西安市阎良区广播电视台</w:t>
      </w:r>
    </w:p>
    <w:p>
      <w:pPr>
        <w:pStyle w:val="4"/>
        <w:shd w:val="clear" w:color="auto" w:fill="FFFFFF"/>
        <w:spacing w:before="0" w:beforeAutospacing="0" w:after="0" w:afterAutospacing="0" w:line="520" w:lineRule="exact"/>
        <w:jc w:val="center"/>
        <w:rPr>
          <w:rStyle w:val="7"/>
          <w:rFonts w:ascii="方正小标宋简体" w:hAnsi="方正小标宋简体" w:eastAsia="方正小标宋简体" w:cs="方正小标宋简体"/>
          <w:b w:val="0"/>
          <w:bCs w:val="0"/>
          <w:color w:val="000000"/>
          <w:sz w:val="44"/>
          <w:szCs w:val="44"/>
        </w:rPr>
      </w:pPr>
      <w:r>
        <w:rPr>
          <w:rStyle w:val="7"/>
          <w:rFonts w:hint="eastAsia" w:ascii="方正小标宋简体" w:hAnsi="方正小标宋简体" w:eastAsia="方正小标宋简体" w:cs="方正小标宋简体"/>
          <w:color w:val="000000"/>
          <w:sz w:val="44"/>
          <w:szCs w:val="44"/>
        </w:rPr>
        <w:t>201</w:t>
      </w:r>
      <w:r>
        <w:rPr>
          <w:rStyle w:val="7"/>
          <w:rFonts w:hint="eastAsia" w:ascii="方正小标宋简体" w:hAnsi="方正小标宋简体" w:eastAsia="方正小标宋简体" w:cs="方正小标宋简体"/>
          <w:color w:val="000000"/>
          <w:sz w:val="44"/>
          <w:szCs w:val="44"/>
          <w:lang w:val="en-US" w:eastAsia="zh-CN"/>
        </w:rPr>
        <w:t>9</w:t>
      </w:r>
      <w:r>
        <w:rPr>
          <w:rStyle w:val="7"/>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val="en-US"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default" w:ascii="宋体" w:hAnsi="宋体" w:cs="宋体" w:eastAsiaTheme="minorEastAsia"/>
          <w:b/>
          <w:bCs/>
          <w:sz w:val="32"/>
          <w:szCs w:val="32"/>
          <w:lang w:val="en-US"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val="en-US" w:eastAsia="zh-CN"/>
        </w:rPr>
        <w:t>已审签</w:t>
      </w:r>
    </w:p>
    <w:p>
      <w:pPr>
        <w:jc w:val="center"/>
        <w:rPr>
          <w:rFonts w:ascii="黑体" w:hAnsi="宋体" w:eastAsia="黑体"/>
          <w:bCs/>
          <w:color w:val="000000"/>
          <w:kern w:val="0"/>
          <w:sz w:val="44"/>
          <w:szCs w:val="44"/>
        </w:rPr>
      </w:pPr>
    </w:p>
    <w:p>
      <w:pPr>
        <w:jc w:val="center"/>
        <w:rPr>
          <w:rFonts w:ascii="黑体" w:hAnsi="宋体" w:eastAsia="黑体"/>
          <w:bCs/>
          <w:color w:val="000000"/>
          <w:kern w:val="0"/>
          <w:sz w:val="44"/>
          <w:szCs w:val="44"/>
        </w:rPr>
      </w:pPr>
    </w:p>
    <w:p>
      <w:pPr>
        <w:jc w:val="center"/>
        <w:rPr>
          <w:rFonts w:ascii="黑体" w:hAnsi="宋体" w:eastAsia="黑体"/>
          <w:bCs/>
          <w:color w:val="000000"/>
          <w:kern w:val="0"/>
          <w:sz w:val="44"/>
          <w:szCs w:val="44"/>
        </w:rPr>
      </w:pPr>
    </w:p>
    <w:p>
      <w:pPr>
        <w:jc w:val="center"/>
        <w:rPr>
          <w:rFonts w:ascii="黑体" w:hAnsi="宋体" w:eastAsia="黑体"/>
          <w:bCs/>
          <w:color w:val="000000"/>
          <w:kern w:val="0"/>
          <w:sz w:val="44"/>
          <w:szCs w:val="44"/>
        </w:rPr>
      </w:pPr>
    </w:p>
    <w:p>
      <w:pPr>
        <w:jc w:val="center"/>
        <w:rPr>
          <w:rFonts w:ascii="黑体" w:hAnsi="宋体" w:eastAsia="黑体"/>
          <w:bCs/>
          <w:color w:val="000000"/>
          <w:kern w:val="0"/>
          <w:sz w:val="44"/>
          <w:szCs w:val="44"/>
        </w:rPr>
      </w:pPr>
    </w:p>
    <w:p>
      <w:pPr>
        <w:ind w:firstLine="3960" w:firstLineChars="900"/>
        <w:jc w:val="both"/>
        <w:rPr>
          <w:rFonts w:ascii="黑体" w:hAnsi="宋体" w:eastAsia="黑体"/>
          <w:bCs/>
          <w:color w:val="000000"/>
          <w:kern w:val="0"/>
          <w:sz w:val="44"/>
          <w:szCs w:val="44"/>
        </w:rPr>
      </w:pPr>
    </w:p>
    <w:p>
      <w:pPr>
        <w:ind w:firstLine="3960" w:firstLineChars="900"/>
        <w:jc w:val="both"/>
        <w:rPr>
          <w:rFonts w:ascii="黑体" w:hAnsi="宋体" w:eastAsia="黑体"/>
          <w:bCs/>
          <w:color w:val="000000"/>
          <w:kern w:val="0"/>
          <w:sz w:val="44"/>
          <w:szCs w:val="44"/>
        </w:rPr>
      </w:pPr>
      <w:r>
        <w:rPr>
          <w:rFonts w:ascii="黑体" w:hAnsi="宋体" w:eastAsia="黑体"/>
          <w:bCs/>
          <w:color w:val="000000"/>
          <w:kern w:val="0"/>
          <w:sz w:val="44"/>
          <w:szCs w:val="44"/>
        </w:rPr>
        <w:t>目录</w:t>
      </w: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ind w:firstLine="3960" w:firstLineChars="900"/>
        <w:jc w:val="both"/>
        <w:rPr>
          <w:rFonts w:ascii="黑体" w:hAnsi="宋体" w:eastAsia="黑体"/>
          <w:bCs/>
          <w:color w:val="000000"/>
          <w:kern w:val="0"/>
          <w:sz w:val="44"/>
          <w:szCs w:val="44"/>
        </w:rPr>
      </w:pPr>
    </w:p>
    <w:p>
      <w:pPr>
        <w:jc w:val="center"/>
        <w:rPr>
          <w:rFonts w:ascii="黑体" w:hAnsi="宋体" w:eastAsia="黑体"/>
          <w:bCs/>
          <w:color w:val="000000"/>
          <w:kern w:val="0"/>
          <w:sz w:val="44"/>
          <w:szCs w:val="44"/>
        </w:rPr>
      </w:pPr>
    </w:p>
    <w:p>
      <w:pPr>
        <w:widowControl/>
        <w:jc w:val="center"/>
        <w:rPr>
          <w:rFonts w:hint="eastAsia" w:ascii="黑体" w:hAnsi="宋体" w:eastAsia="黑体"/>
          <w:color w:val="000000"/>
          <w:kern w:val="0"/>
          <w:sz w:val="44"/>
          <w:szCs w:val="44"/>
        </w:rPr>
      </w:pPr>
    </w:p>
    <w:p>
      <w:pPr>
        <w:widowControl/>
        <w:jc w:val="center"/>
        <w:rPr>
          <w:sz w:val="44"/>
          <w:szCs w:val="44"/>
        </w:rPr>
      </w:pPr>
      <w:r>
        <w:rPr>
          <w:rFonts w:hint="eastAsia" w:ascii="黑体" w:hAnsi="宋体" w:eastAsia="黑体"/>
          <w:color w:val="000000"/>
          <w:kern w:val="0"/>
          <w:sz w:val="44"/>
          <w:szCs w:val="44"/>
        </w:rPr>
        <w:t>第一部分 部门概况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一、部门主要职责及内设机构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spacing w:line="627" w:lineRule="atLeast"/>
        <w:rPr>
          <w:rFonts w:hint="eastAsia" w:ascii="仿宋" w:hAnsi="仿宋" w:eastAsia="仿宋"/>
          <w:szCs w:val="32"/>
        </w:rPr>
      </w:pPr>
      <w:r>
        <w:rPr>
          <w:rFonts w:hint="eastAsia" w:ascii="仿宋" w:hAnsi="仿宋" w:eastAsia="仿宋"/>
          <w:szCs w:val="32"/>
        </w:rPr>
        <w:t xml:space="preserve">    1、贯彻中央、省、市以及区委、区政府关于广播电视宣传的方针政策以及国家有关广播电影电视事业管理的法律、法规，把握宣传舆论导向。 </w:t>
      </w:r>
    </w:p>
    <w:p>
      <w:pPr>
        <w:spacing w:line="627" w:lineRule="atLeast"/>
        <w:ind w:firstLine="640" w:firstLineChars="200"/>
        <w:rPr>
          <w:rFonts w:hint="eastAsia" w:ascii="仿宋" w:hAnsi="仿宋" w:eastAsia="仿宋"/>
          <w:szCs w:val="32"/>
        </w:rPr>
      </w:pPr>
      <w:r>
        <w:rPr>
          <w:rFonts w:hint="eastAsia" w:ascii="仿宋" w:hAnsi="仿宋" w:eastAsia="仿宋"/>
          <w:szCs w:val="32"/>
        </w:rPr>
        <w:t>2、管理全区卫星电视广播地面接收设施；管理本区域内广播电视节目的交流、交易活动。</w:t>
      </w:r>
    </w:p>
    <w:p>
      <w:pPr>
        <w:spacing w:line="627" w:lineRule="atLeast"/>
        <w:rPr>
          <w:rFonts w:hint="eastAsia" w:ascii="仿宋" w:hAnsi="仿宋" w:eastAsia="仿宋"/>
          <w:szCs w:val="32"/>
          <w:lang w:eastAsia="zh-CN"/>
        </w:rPr>
      </w:pPr>
      <w:r>
        <w:rPr>
          <w:rFonts w:hint="eastAsia" w:ascii="仿宋" w:hAnsi="仿宋" w:eastAsia="仿宋"/>
          <w:szCs w:val="32"/>
        </w:rPr>
        <w:t xml:space="preserve">    3、保证广播电视节目的安全播出</w:t>
      </w:r>
      <w:r>
        <w:rPr>
          <w:rFonts w:hint="eastAsia" w:ascii="仿宋" w:hAnsi="仿宋" w:eastAsia="仿宋"/>
          <w:szCs w:val="32"/>
          <w:lang w:eastAsia="zh-CN"/>
        </w:rPr>
        <w:t>。</w:t>
      </w:r>
    </w:p>
    <w:p>
      <w:pPr>
        <w:spacing w:line="627" w:lineRule="atLeast"/>
        <w:ind w:firstLine="640"/>
        <w:rPr>
          <w:rFonts w:hint="eastAsia" w:ascii="仿宋" w:hAnsi="仿宋" w:eastAsia="仿宋"/>
          <w:szCs w:val="32"/>
        </w:rPr>
      </w:pPr>
      <w:r>
        <w:rPr>
          <w:rFonts w:hint="eastAsia" w:ascii="仿宋" w:hAnsi="仿宋" w:eastAsia="仿宋"/>
          <w:szCs w:val="32"/>
        </w:rPr>
        <w:t>4、承办区政府交办的其他事项。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spacing w:line="627" w:lineRule="atLeast"/>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本单位无“三定方案”，无内设机构。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spacing w:line="560" w:lineRule="exact"/>
        <w:ind w:firstLine="640" w:firstLineChars="200"/>
        <w:rPr>
          <w:rFonts w:hint="eastAsia" w:ascii="仿宋_GB2312" w:hAnsi="华文仿宋" w:eastAsia="仿宋_GB2312" w:cs="华文仿宋"/>
          <w:szCs w:val="32"/>
        </w:rPr>
      </w:pPr>
      <w:r>
        <w:rPr>
          <w:rFonts w:hint="eastAsia" w:ascii="仿宋_GB2312" w:hAnsi="华文仿宋" w:eastAsia="仿宋_GB2312" w:cs="华文仿宋"/>
          <w:szCs w:val="32"/>
        </w:rPr>
        <w:t>从决算单位构成看，本部门的部门决算只包括部门本级决算，本部门无下属事业单位。</w:t>
      </w:r>
    </w:p>
    <w:p>
      <w:pPr>
        <w:spacing w:line="560" w:lineRule="exact"/>
        <w:ind w:firstLine="640" w:firstLineChars="200"/>
        <w:rPr>
          <w:rFonts w:hint="eastAsia" w:ascii="仿宋_GB2312" w:hAnsi="华文仿宋" w:eastAsia="仿宋_GB2312" w:cs="华文仿宋"/>
          <w:szCs w:val="32"/>
        </w:rPr>
      </w:pP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9" w:type="dxa"/>
            <w:vAlign w:val="top"/>
          </w:tcPr>
          <w:p>
            <w:pPr>
              <w:spacing w:line="560" w:lineRule="exact"/>
              <w:jc w:val="center"/>
              <w:rPr>
                <w:rFonts w:ascii="仿宋_GB2312" w:hAnsi="华文仿宋" w:eastAsia="仿宋_GB2312" w:cs="华文仿宋"/>
                <w:szCs w:val="32"/>
              </w:rPr>
            </w:pPr>
            <w:r>
              <w:rPr>
                <w:rFonts w:hint="eastAsia" w:ascii="仿宋_GB2312" w:hAnsi="华文仿宋" w:eastAsia="仿宋_GB2312" w:cs="华文仿宋"/>
                <w:szCs w:val="32"/>
              </w:rPr>
              <w:t>序号</w:t>
            </w:r>
          </w:p>
        </w:tc>
        <w:tc>
          <w:tcPr>
            <w:tcW w:w="6923" w:type="dxa"/>
            <w:vAlign w:val="top"/>
          </w:tcPr>
          <w:p>
            <w:pPr>
              <w:spacing w:line="560" w:lineRule="exact"/>
              <w:jc w:val="center"/>
              <w:rPr>
                <w:rFonts w:ascii="仿宋_GB2312" w:hAnsi="华文仿宋" w:eastAsia="仿宋_GB2312" w:cs="华文仿宋"/>
                <w:szCs w:val="32"/>
              </w:rPr>
            </w:pPr>
            <w:r>
              <w:rPr>
                <w:rFonts w:hint="eastAsia" w:ascii="仿宋_GB2312" w:hAnsi="华文仿宋" w:eastAsia="仿宋_GB2312" w:cs="华文仿宋"/>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top"/>
          </w:tcPr>
          <w:p>
            <w:pPr>
              <w:spacing w:line="560" w:lineRule="exact"/>
              <w:jc w:val="center"/>
              <w:rPr>
                <w:rFonts w:ascii="仿宋_GB2312" w:hAnsi="华文仿宋" w:eastAsia="仿宋_GB2312" w:cs="华文仿宋"/>
                <w:szCs w:val="32"/>
              </w:rPr>
            </w:pPr>
            <w:r>
              <w:rPr>
                <w:rFonts w:ascii="仿宋_GB2312" w:hAnsi="华文仿宋" w:eastAsia="仿宋_GB2312" w:cs="华文仿宋"/>
                <w:szCs w:val="32"/>
              </w:rPr>
              <w:t>1</w:t>
            </w:r>
          </w:p>
        </w:tc>
        <w:tc>
          <w:tcPr>
            <w:tcW w:w="6923" w:type="dxa"/>
            <w:vAlign w:val="top"/>
          </w:tcPr>
          <w:p>
            <w:pPr>
              <w:spacing w:line="560" w:lineRule="exact"/>
              <w:rPr>
                <w:rFonts w:hint="eastAsia" w:ascii="仿宋_GB2312" w:hAnsi="华文仿宋" w:eastAsia="仿宋_GB2312" w:cs="华文仿宋"/>
                <w:szCs w:val="32"/>
                <w:lang w:eastAsia="zh-CN"/>
              </w:rPr>
            </w:pPr>
            <w:r>
              <w:rPr>
                <w:rFonts w:hint="eastAsia" w:ascii="仿宋_GB2312" w:hAnsi="华文仿宋" w:eastAsia="仿宋_GB2312" w:cs="华文仿宋"/>
                <w:szCs w:val="32"/>
                <w:lang w:val="en-US" w:eastAsia="zh-CN"/>
              </w:rPr>
              <w:t>西安市阎良区广播电视台</w:t>
            </w:r>
            <w:r>
              <w:rPr>
                <w:rFonts w:hint="eastAsia" w:ascii="仿宋_GB2312" w:hAnsi="华文仿宋" w:eastAsia="仿宋_GB2312" w:cs="华文仿宋"/>
                <w:szCs w:val="32"/>
              </w:rPr>
              <w:t>部门本级</w:t>
            </w:r>
          </w:p>
        </w:tc>
      </w:tr>
    </w:tbl>
    <w:p>
      <w:pPr>
        <w:ind w:firstLine="643" w:firstLineChars="200"/>
        <w:rPr>
          <w:rFonts w:ascii="黑体" w:hAnsi="黑体" w:eastAsia="黑体"/>
          <w:b/>
          <w:bCs/>
          <w:sz w:val="32"/>
          <w:szCs w:val="32"/>
        </w:rPr>
      </w:pPr>
      <w:r>
        <w:rPr>
          <w:rFonts w:hint="eastAsia" w:ascii="黑体" w:hAnsi="黑体" w:eastAsia="黑体"/>
          <w:b/>
          <w:bCs/>
          <w:sz w:val="32"/>
          <w:szCs w:val="32"/>
        </w:rPr>
        <w:t>三、部门人员情况</w:t>
      </w:r>
    </w:p>
    <w:p>
      <w:pPr>
        <w:spacing w:line="560" w:lineRule="exact"/>
        <w:ind w:firstLine="640" w:firstLineChars="200"/>
        <w:rPr>
          <w:rFonts w:hint="eastAsia" w:ascii="仿宋_GB2312" w:hAnsi="华文仿宋" w:eastAsia="仿宋_GB2312" w:cs="华文仿宋"/>
          <w:szCs w:val="32"/>
        </w:rPr>
      </w:pPr>
      <w:r>
        <w:rPr>
          <w:rFonts w:hint="eastAsia" w:ascii="仿宋_GB2312" w:hAnsi="华文仿宋" w:eastAsia="仿宋_GB2312" w:cs="华文仿宋"/>
          <w:szCs w:val="32"/>
        </w:rPr>
        <w:t>截止</w:t>
      </w:r>
      <w:r>
        <w:rPr>
          <w:rFonts w:ascii="仿宋_GB2312" w:hAnsi="华文仿宋" w:eastAsia="仿宋_GB2312" w:cs="华文仿宋"/>
          <w:szCs w:val="32"/>
        </w:rPr>
        <w:t>201</w:t>
      </w:r>
      <w:r>
        <w:rPr>
          <w:rFonts w:hint="eastAsia" w:ascii="仿宋_GB2312" w:hAnsi="华文仿宋" w:eastAsia="仿宋_GB2312" w:cs="华文仿宋"/>
          <w:szCs w:val="32"/>
          <w:lang w:val="en-US" w:eastAsia="zh-CN"/>
        </w:rPr>
        <w:t>9</w:t>
      </w:r>
      <w:r>
        <w:rPr>
          <w:rFonts w:hint="eastAsia" w:ascii="仿宋_GB2312" w:hAnsi="华文仿宋" w:eastAsia="仿宋_GB2312" w:cs="华文仿宋"/>
          <w:szCs w:val="32"/>
        </w:rPr>
        <w:t>年底，本部门人员编制</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人，其中行政编制</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人、事业编制</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人；实有人员</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人，其中行政</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人、事业</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人。单位管理的离退休人员</w:t>
      </w:r>
      <w:r>
        <w:rPr>
          <w:rFonts w:hint="eastAsia" w:ascii="仿宋_GB2312" w:hAnsi="华文仿宋" w:eastAsia="仿宋_GB2312" w:cs="华文仿宋"/>
          <w:szCs w:val="32"/>
          <w:lang w:val="en-US" w:eastAsia="zh-CN"/>
        </w:rPr>
        <w:t>6</w:t>
      </w:r>
      <w:r>
        <w:rPr>
          <w:rFonts w:hint="eastAsia" w:ascii="仿宋_GB2312" w:hAnsi="华文仿宋" w:eastAsia="仿宋_GB2312" w:cs="华文仿宋"/>
          <w:szCs w:val="32"/>
        </w:rPr>
        <w:t>人。</w:t>
      </w:r>
    </w:p>
    <w:p>
      <w:pPr>
        <w:spacing w:line="240" w:lineRule="auto"/>
        <w:ind w:firstLine="640" w:firstLineChars="200"/>
        <w:jc w:val="center"/>
        <w:rPr>
          <w:rFonts w:hint="eastAsia" w:ascii="仿宋_GB2312" w:hAnsi="华文仿宋" w:eastAsia="仿宋_GB2312" w:cs="华文仿宋"/>
          <w:szCs w:val="32"/>
          <w:lang w:eastAsia="zh-CN"/>
        </w:rPr>
      </w:pPr>
      <w:r>
        <w:rPr>
          <w:rFonts w:hint="eastAsia" w:ascii="仿宋_GB2312" w:hAnsi="华文仿宋" w:eastAsia="仿宋_GB2312" w:cs="华文仿宋"/>
          <w:szCs w:val="32"/>
          <w:lang w:eastAsia="zh-CN"/>
        </w:rPr>
        <w:drawing>
          <wp:inline distT="0" distB="0" distL="114300" distR="114300">
            <wp:extent cx="2552065" cy="2685415"/>
            <wp:effectExtent l="0" t="0" r="635" b="635"/>
            <wp:docPr id="1" name="图片 1" descr="微信图片_2018101015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010152415"/>
                    <pic:cNvPicPr>
                      <a:picLocks noChangeAspect="1"/>
                    </pic:cNvPicPr>
                  </pic:nvPicPr>
                  <pic:blipFill>
                    <a:blip r:embed="rId4"/>
                    <a:stretch>
                      <a:fillRect/>
                    </a:stretch>
                  </pic:blipFill>
                  <pic:spPr>
                    <a:xfrm>
                      <a:off x="0" y="0"/>
                      <a:ext cx="2552065" cy="2685415"/>
                    </a:xfrm>
                    <a:prstGeom prst="rect">
                      <a:avLst/>
                    </a:prstGeom>
                    <a:noFill/>
                    <a:ln>
                      <a:noFill/>
                    </a:ln>
                  </pic:spPr>
                </pic:pic>
              </a:graphicData>
            </a:graphic>
          </wp:inline>
        </w:drawing>
      </w:r>
    </w:p>
    <w:p>
      <w:pPr>
        <w:widowControl/>
        <w:numPr>
          <w:ilvl w:val="0"/>
          <w:numId w:val="1"/>
        </w:numPr>
        <w:jc w:val="center"/>
        <w:rPr>
          <w:rFonts w:hint="eastAsia" w:ascii="黑体" w:hAnsi="宋体" w:eastAsia="黑体"/>
          <w:color w:val="000000"/>
          <w:kern w:val="0"/>
          <w:sz w:val="44"/>
          <w:szCs w:val="44"/>
        </w:rPr>
      </w:pPr>
      <w:r>
        <w:rPr>
          <w:rFonts w:hint="eastAsia" w:ascii="黑体" w:hAnsi="宋体" w:eastAsia="黑体"/>
          <w:color w:val="000000"/>
          <w:kern w:val="0"/>
          <w:sz w:val="44"/>
          <w:szCs w:val="44"/>
        </w:rPr>
        <w:t xml:space="preserve"> 2019年度部门决算表</w:t>
      </w:r>
    </w:p>
    <w:tbl>
      <w:tblPr>
        <w:tblStyle w:val="5"/>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40"/>
              </w:tabs>
              <w:jc w:val="center"/>
              <w:rPr>
                <w:rFonts w:hint="eastAsia" w:ascii="宋体" w:hAnsi="宋体" w:eastAsia="方正仿宋简体" w:cs="宋体"/>
                <w:color w:val="000000"/>
                <w:sz w:val="24"/>
                <w:lang w:eastAsia="zh-CN"/>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96"/>
              </w:tabs>
              <w:jc w:val="center"/>
              <w:rPr>
                <w:rFonts w:hint="eastAsia" w:ascii="宋体" w:hAnsi="宋体" w:eastAsia="方正仿宋简体" w:cs="宋体"/>
                <w:color w:val="000000"/>
                <w:sz w:val="24"/>
                <w:lang w:eastAsia="zh-CN"/>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tabs>
                <w:tab w:val="left" w:pos="290"/>
              </w:tabs>
              <w:jc w:val="center"/>
              <w:rPr>
                <w:rFonts w:hint="eastAsia" w:ascii="宋体" w:hAnsi="宋体" w:eastAsia="方正仿宋简体" w:cs="宋体"/>
                <w:color w:val="000000"/>
                <w:sz w:val="24"/>
                <w:lang w:eastAsia="zh-CN"/>
              </w:rPr>
            </w:pP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宋体" w:hAnsi="宋体" w:eastAsia="方正仿宋简体" w:cs="宋体"/>
                <w:color w:val="000000"/>
                <w:sz w:val="24"/>
                <w:lang w:val="en-US" w:eastAsia="zh-CN"/>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不涉及</w:t>
            </w:r>
            <w:bookmarkStart w:id="0" w:name="_GoBack"/>
            <w:bookmarkEnd w:id="0"/>
          </w:p>
        </w:tc>
      </w:tr>
    </w:tbl>
    <w:p>
      <w:pPr>
        <w:widowControl/>
        <w:numPr>
          <w:ilvl w:val="0"/>
          <w:numId w:val="0"/>
        </w:numPr>
        <w:jc w:val="both"/>
        <w:rPr>
          <w:rFonts w:hint="eastAsia" w:ascii="黑体" w:hAnsi="宋体" w:eastAsia="黑体"/>
          <w:color w:val="000000"/>
          <w:kern w:val="0"/>
          <w:sz w:val="44"/>
          <w:szCs w:val="44"/>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pacing w:val="-34"/>
          <w:kern w:val="10"/>
          <w:sz w:val="21"/>
          <w:szCs w:val="21"/>
        </w:rPr>
        <w:t xml:space="preserve">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245.15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tabs>
                <w:tab w:val="left" w:pos="380"/>
              </w:tabs>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227.55</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14.09</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3.51</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245.15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245.15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245.15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245.15</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pStyle w:val="4"/>
        <w:shd w:val="clear" w:color="auto" w:fill="FFFFFF"/>
        <w:spacing w:before="0" w:beforeAutospacing="0" w:after="0" w:afterAutospacing="0" w:line="520" w:lineRule="exact"/>
        <w:jc w:val="both"/>
        <w:rPr>
          <w:rFonts w:ascii="宋体" w:hAnsi="宋体" w:eastAsia="宋体" w:cs="宋体"/>
          <w:b/>
          <w:bCs/>
          <w:sz w:val="48"/>
          <w:szCs w:val="48"/>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9033" w:type="dxa"/>
        <w:tblInd w:w="0" w:type="dxa"/>
        <w:tblLayout w:type="fixed"/>
        <w:tblCellMar>
          <w:top w:w="15" w:type="dxa"/>
          <w:left w:w="15" w:type="dxa"/>
          <w:bottom w:w="15" w:type="dxa"/>
          <w:right w:w="15" w:type="dxa"/>
        </w:tblCellMar>
      </w:tblPr>
      <w:tblGrid>
        <w:gridCol w:w="1027"/>
        <w:gridCol w:w="1068"/>
        <w:gridCol w:w="639"/>
        <w:gridCol w:w="975"/>
        <w:gridCol w:w="619"/>
        <w:gridCol w:w="861"/>
        <w:gridCol w:w="1128"/>
        <w:gridCol w:w="916"/>
        <w:gridCol w:w="824"/>
        <w:gridCol w:w="976"/>
      </w:tblGrid>
      <w:tr>
        <w:tblPrEx>
          <w:tblCellMar>
            <w:top w:w="15" w:type="dxa"/>
            <w:left w:w="15" w:type="dxa"/>
            <w:bottom w:w="15" w:type="dxa"/>
            <w:right w:w="15" w:type="dxa"/>
          </w:tblCellMar>
        </w:tblPrEx>
        <w:trPr>
          <w:trHeight w:val="439" w:hRule="atLeast"/>
        </w:trPr>
        <w:tc>
          <w:tcPr>
            <w:tcW w:w="2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项目</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本年收入合计</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财政拨款收入</w:t>
            </w: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上级补助收入</w:t>
            </w:r>
          </w:p>
        </w:tc>
        <w:tc>
          <w:tcPr>
            <w:tcW w:w="1989"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kern w:val="0"/>
                <w:sz w:val="21"/>
                <w:szCs w:val="21"/>
              </w:rPr>
            </w:pPr>
            <w:r>
              <w:rPr>
                <w:rFonts w:hint="eastAsia" w:ascii="宋体" w:hAnsi="宋体" w:eastAsia="宋体" w:cs="宋体"/>
                <w:i w:val="0"/>
                <w:color w:val="000000"/>
                <w:kern w:val="0"/>
                <w:sz w:val="22"/>
                <w:szCs w:val="22"/>
                <w:u w:val="none"/>
                <w:lang w:val="en-US" w:eastAsia="zh-CN" w:bidi="ar"/>
              </w:rPr>
              <w:t>事业收入</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经营收入</w:t>
            </w:r>
          </w:p>
        </w:tc>
        <w:tc>
          <w:tcPr>
            <w:tcW w:w="8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附属单位上缴收入</w:t>
            </w: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其他收入</w:t>
            </w:r>
          </w:p>
        </w:tc>
      </w:tr>
      <w:tr>
        <w:tblPrEx>
          <w:tblCellMar>
            <w:top w:w="15" w:type="dxa"/>
            <w:left w:w="15" w:type="dxa"/>
            <w:bottom w:w="15" w:type="dxa"/>
            <w:right w:w="15" w:type="dxa"/>
          </w:tblCellMar>
        </w:tblPrEx>
        <w:trPr>
          <w:trHeight w:val="1125" w:hRule="atLeast"/>
        </w:trPr>
        <w:tc>
          <w:tcPr>
            <w:tcW w:w="102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功能分类科目编码</w:t>
            </w:r>
          </w:p>
        </w:tc>
        <w:tc>
          <w:tcPr>
            <w:tcW w:w="106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科目名称</w:t>
            </w: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1989" w:type="dxa"/>
            <w:gridSpan w:val="2"/>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02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小计</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其中：教育收费</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2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合计</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227.56</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227.56</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新闻出版电影</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2070699</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其他新闻出版电影支出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广播电视</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63.38</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63.38</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2070805</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电视</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2070899</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其他广播电视支出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其他文化体育与传媒支出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2079999</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2101102</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2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项目</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本年收入合计</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财政拨款收入</w:t>
            </w: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上级补助收入</w:t>
            </w:r>
          </w:p>
        </w:tc>
        <w:tc>
          <w:tcPr>
            <w:tcW w:w="1989"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事业收入</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经营收入</w:t>
            </w:r>
          </w:p>
        </w:tc>
        <w:tc>
          <w:tcPr>
            <w:tcW w:w="8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附属单位上缴收入</w:t>
            </w: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其他收入</w:t>
            </w:r>
          </w:p>
        </w:tc>
      </w:tr>
      <w:tr>
        <w:tblPrEx>
          <w:tblCellMar>
            <w:top w:w="15" w:type="dxa"/>
            <w:left w:w="15" w:type="dxa"/>
            <w:bottom w:w="15" w:type="dxa"/>
            <w:right w:w="15" w:type="dxa"/>
          </w:tblCellMar>
        </w:tblPrEx>
        <w:trPr>
          <w:trHeight w:val="439" w:hRule="atLeast"/>
        </w:trPr>
        <w:tc>
          <w:tcPr>
            <w:tcW w:w="10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功能分类科目编码</w:t>
            </w:r>
          </w:p>
        </w:tc>
        <w:tc>
          <w:tcPr>
            <w:tcW w:w="106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科目名称</w:t>
            </w: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1989" w:type="dxa"/>
            <w:gridSpan w:val="2"/>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102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小计</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其中：教育收费</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pStyle w:val="4"/>
        <w:shd w:val="clear" w:color="auto" w:fill="FFFFFF"/>
        <w:spacing w:before="0" w:beforeAutospacing="0" w:after="0" w:afterAutospacing="0" w:line="520" w:lineRule="exact"/>
        <w:jc w:val="both"/>
        <w:rPr>
          <w:rFonts w:ascii="宋体" w:hAnsi="宋体" w:eastAsia="宋体" w:cs="宋体"/>
          <w:b/>
          <w:bCs/>
          <w:sz w:val="48"/>
          <w:szCs w:val="48"/>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 xml:space="preserve">  金额单位：万元</w:t>
      </w:r>
    </w:p>
    <w:tbl>
      <w:tblPr>
        <w:tblStyle w:val="5"/>
        <w:tblW w:w="8896" w:type="dxa"/>
        <w:tblInd w:w="0" w:type="dxa"/>
        <w:tblLayout w:type="fixed"/>
        <w:tblCellMar>
          <w:top w:w="15" w:type="dxa"/>
          <w:left w:w="15" w:type="dxa"/>
          <w:bottom w:w="15" w:type="dxa"/>
          <w:right w:w="15" w:type="dxa"/>
        </w:tblCellMar>
      </w:tblPr>
      <w:tblGrid>
        <w:gridCol w:w="914"/>
        <w:gridCol w:w="83"/>
        <w:gridCol w:w="2111"/>
        <w:gridCol w:w="994"/>
        <w:gridCol w:w="918"/>
        <w:gridCol w:w="957"/>
        <w:gridCol w:w="1012"/>
        <w:gridCol w:w="881"/>
        <w:gridCol w:w="1026"/>
      </w:tblGrid>
      <w:tr>
        <w:tblPrEx>
          <w:tblCellMar>
            <w:top w:w="15" w:type="dxa"/>
            <w:left w:w="15" w:type="dxa"/>
            <w:bottom w:w="15" w:type="dxa"/>
            <w:right w:w="15" w:type="dxa"/>
          </w:tblCellMar>
        </w:tblPrEx>
        <w:trPr>
          <w:trHeight w:val="372" w:hRule="atLeast"/>
        </w:trPr>
        <w:tc>
          <w:tcPr>
            <w:tcW w:w="310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9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0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1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310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214.22</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30.93</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227.56</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196.63</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30.93</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新闻出版电影</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2070699</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其他新闻出版电影支出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广播电视</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63.38</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2070805</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电视</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2070899</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其他广播电视支出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其他文化体育与传媒支出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2079999</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227.55</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227.55</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3.51</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3.51</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245.15</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245.15</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245.15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245.15</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245.15</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Pr>
        <w:ind w:firstLine="643" w:firstLineChars="200"/>
        <w:jc w:val="both"/>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214.22</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161.59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30.93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196.63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30.93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227.56</w:t>
            </w: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新闻出版电影</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其他新闻出版电影支出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广播电视</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63.38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63.38</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电视</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其他广播电视支出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其他文化体育与传媒支出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 xml:space="preserve"> 金额单位：万元</w:t>
      </w:r>
    </w:p>
    <w:tbl>
      <w:tblPr>
        <w:tblStyle w:val="5"/>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214.23</w:t>
            </w:r>
          </w:p>
        </w:tc>
        <w:tc>
          <w:tcPr>
            <w:tcW w:w="1437"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161.60</w:t>
            </w:r>
          </w:p>
        </w:tc>
        <w:tc>
          <w:tcPr>
            <w:tcW w:w="136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161.60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161.60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48.03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48.03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39.00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39.00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38.53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38.53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3.42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3.42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3.51</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15.02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15.02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22.55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22.55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0.49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0.49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0.58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0.58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8.97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8.97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12.36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12.36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3.34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3.34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2.59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2.59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编制部门：</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tabs>
                <w:tab w:val="left" w:pos="307"/>
              </w:tabs>
              <w:jc w:val="lef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ab/>
            </w: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tabs>
                <w:tab w:val="left" w:pos="573"/>
              </w:tabs>
              <w:ind w:firstLine="211" w:firstLineChars="100"/>
              <w:jc w:val="lef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tabs>
                <w:tab w:val="left" w:pos="448"/>
              </w:tabs>
              <w:jc w:val="lef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ab/>
            </w:r>
            <w:r>
              <w:rPr>
                <w:rFonts w:hint="eastAsia" w:ascii="宋体" w:hAnsi="宋体" w:eastAsia="宋体" w:cs="宋体"/>
                <w:b/>
                <w:color w:val="000000"/>
                <w:sz w:val="21"/>
                <w:szCs w:val="21"/>
                <w:lang w:val="en-US" w:eastAsia="zh-CN"/>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Pr>
        <w:tabs>
          <w:tab w:val="left" w:pos="6076"/>
        </w:tabs>
        <w:rPr>
          <w:rFonts w:hint="eastAsia" w:eastAsia="方正仿宋简体"/>
          <w:lang w:eastAsia="zh-CN"/>
        </w:rPr>
      </w:pPr>
      <w:r>
        <w:rPr>
          <w:rFonts w:hint="eastAsia"/>
          <w:lang w:eastAsia="zh-CN"/>
        </w:rPr>
        <w:tab/>
      </w:r>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widowControl/>
        <w:jc w:val="center"/>
        <w:rPr>
          <w:rFonts w:hint="eastAsia"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4"/>
        <w:shd w:val="clear" w:color="auto" w:fill="FFFFFF"/>
        <w:spacing w:before="0" w:beforeAutospacing="0" w:after="0" w:afterAutospacing="0" w:line="550" w:lineRule="exact"/>
        <w:ind w:firstLine="320" w:firstLineChars="100"/>
        <w:rPr>
          <w:rFonts w:hint="eastAsia" w:ascii="仿宋" w:hAnsi="仿宋" w:eastAsia="仿宋"/>
          <w:color w:val="000000"/>
          <w:sz w:val="32"/>
          <w:szCs w:val="32"/>
          <w:lang w:val="en-US" w:eastAsia="zh-CN"/>
        </w:rPr>
      </w:pPr>
      <w:r>
        <w:rPr>
          <w:rFonts w:hint="eastAsia" w:ascii="仿宋" w:hAnsi="仿宋" w:eastAsia="仿宋"/>
          <w:b w:val="0"/>
          <w:bCs/>
          <w:color w:val="000000"/>
          <w:sz w:val="32"/>
          <w:szCs w:val="32"/>
        </w:rPr>
        <w:t>（1）</w:t>
      </w:r>
      <w:r>
        <w:rPr>
          <w:rFonts w:hint="eastAsia" w:ascii="仿宋" w:hAnsi="仿宋" w:eastAsia="仿宋"/>
          <w:b w:val="0"/>
          <w:bCs/>
          <w:color w:val="000000"/>
          <w:sz w:val="32"/>
          <w:szCs w:val="32"/>
          <w:lang w:val="en-US" w:eastAsia="zh-CN"/>
        </w:rPr>
        <w:t>2019年度本年收入合计245.15</w:t>
      </w:r>
      <w:r>
        <w:rPr>
          <w:rFonts w:hint="eastAsia" w:ascii="仿宋" w:hAnsi="仿宋" w:eastAsia="仿宋"/>
          <w:b w:val="0"/>
          <w:bCs/>
          <w:color w:val="000000"/>
          <w:sz w:val="32"/>
          <w:szCs w:val="32"/>
        </w:rPr>
        <w:t>万元</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较上年增加34.81万元，主要原因是社保费列入预算。</w:t>
      </w:r>
    </w:p>
    <w:p>
      <w:pPr>
        <w:keepNext w:val="0"/>
        <w:keepLines w:val="0"/>
        <w:pageBreakBefore w:val="0"/>
        <w:widowControl/>
        <w:kinsoku/>
        <w:wordWrap/>
        <w:overflowPunct/>
        <w:topLinePunct w:val="0"/>
        <w:autoSpaceDE/>
        <w:autoSpaceDN/>
        <w:bidi w:val="0"/>
        <w:adjustRightInd/>
        <w:snapToGrid/>
        <w:spacing w:line="560" w:lineRule="exact"/>
        <w:ind w:firstLine="320" w:firstLineChars="100"/>
        <w:jc w:val="left"/>
        <w:textAlignment w:val="auto"/>
        <w:outlineLvl w:val="9"/>
        <w:rPr>
          <w:rFonts w:hint="eastAsia" w:ascii="仿宋" w:hAnsi="仿宋" w:eastAsia="仿宋"/>
          <w:b w:val="0"/>
          <w:bCs/>
          <w:color w:val="000000"/>
          <w:sz w:val="32"/>
          <w:szCs w:val="32"/>
          <w:lang w:val="en-US" w:eastAsia="zh-CN"/>
        </w:rPr>
      </w:pPr>
      <w:r>
        <w:rPr>
          <w:rFonts w:hint="eastAsia" w:ascii="仿宋" w:hAnsi="仿宋" w:eastAsia="仿宋"/>
          <w:color w:val="000000"/>
          <w:sz w:val="32"/>
          <w:szCs w:val="32"/>
        </w:rPr>
        <w:t>（2）</w:t>
      </w:r>
      <w:r>
        <w:rPr>
          <w:rFonts w:hint="eastAsia" w:ascii="仿宋" w:hAnsi="仿宋" w:eastAsia="仿宋"/>
          <w:b w:val="0"/>
          <w:bCs/>
          <w:color w:val="000000"/>
          <w:sz w:val="32"/>
          <w:szCs w:val="32"/>
          <w:lang w:val="en-US" w:eastAsia="zh-CN"/>
        </w:rPr>
        <w:t>2019年度本年支出合计245.15</w:t>
      </w:r>
      <w:r>
        <w:rPr>
          <w:rFonts w:hint="eastAsia" w:ascii="仿宋" w:hAnsi="仿宋" w:eastAsia="仿宋"/>
          <w:b w:val="0"/>
          <w:bCs/>
          <w:color w:val="000000"/>
          <w:sz w:val="32"/>
          <w:szCs w:val="32"/>
        </w:rPr>
        <w:t>万元</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较上年增加34.81万元，主要原因是社保费列入预算。</w:t>
      </w:r>
    </w:p>
    <w:p>
      <w:pPr>
        <w:keepNext w:val="0"/>
        <w:keepLines w:val="0"/>
        <w:pageBreakBefore w:val="0"/>
        <w:widowControl/>
        <w:kinsoku/>
        <w:wordWrap/>
        <w:overflowPunct/>
        <w:topLinePunct w:val="0"/>
        <w:autoSpaceDE/>
        <w:autoSpaceDN/>
        <w:bidi w:val="0"/>
        <w:adjustRightInd/>
        <w:snapToGrid/>
        <w:spacing w:line="240" w:lineRule="auto"/>
        <w:ind w:firstLine="320" w:firstLineChars="100"/>
        <w:jc w:val="left"/>
        <w:textAlignment w:val="auto"/>
        <w:outlineLvl w:val="9"/>
        <w:rPr>
          <w:rFonts w:hint="eastAsia"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drawing>
          <wp:inline distT="0" distB="0" distL="114300" distR="114300">
            <wp:extent cx="4533900" cy="2714625"/>
            <wp:effectExtent l="0" t="0" r="0" b="9525"/>
            <wp:docPr id="8" name="图片 8" descr="微信图片_2020101616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1016165737"/>
                    <pic:cNvPicPr>
                      <a:picLocks noChangeAspect="1"/>
                    </pic:cNvPicPr>
                  </pic:nvPicPr>
                  <pic:blipFill>
                    <a:blip r:embed="rId5"/>
                    <a:stretch>
                      <a:fillRect/>
                    </a:stretch>
                  </pic:blipFill>
                  <pic:spPr>
                    <a:xfrm>
                      <a:off x="0" y="0"/>
                      <a:ext cx="4533900" cy="271462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年本年收入合计</w:t>
      </w:r>
      <w:r>
        <w:rPr>
          <w:rFonts w:hint="eastAsia" w:ascii="仿宋_GB2312" w:hAnsi="华文仿宋" w:eastAsia="仿宋_GB2312" w:cs="华文仿宋"/>
          <w:sz w:val="32"/>
          <w:szCs w:val="32"/>
          <w:lang w:val="en-US" w:eastAsia="zh-CN"/>
        </w:rPr>
        <w:t>245.15</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4"/>
        <w:shd w:val="clear" w:color="auto" w:fill="FFFFFF"/>
        <w:spacing w:before="0" w:beforeAutospacing="0" w:after="0" w:afterAutospacing="0" w:line="240" w:lineRule="auto"/>
        <w:ind w:firstLine="640" w:firstLineChars="200"/>
        <w:rPr>
          <w:rFonts w:hint="eastAsia" w:ascii="仿宋_GB2312" w:hAnsi="华文仿宋" w:eastAsia="仿宋_GB2312" w:cs="华文仿宋"/>
          <w:sz w:val="32"/>
          <w:szCs w:val="32"/>
          <w:lang w:eastAsia="zh-CN"/>
        </w:rPr>
      </w:pPr>
      <w:r>
        <w:rPr>
          <w:rFonts w:hint="eastAsia" w:ascii="仿宋_GB2312" w:hAnsi="华文仿宋" w:eastAsia="仿宋_GB2312" w:cs="华文仿宋"/>
          <w:sz w:val="32"/>
          <w:szCs w:val="32"/>
        </w:rPr>
        <w:t>财政拨款</w:t>
      </w:r>
      <w:r>
        <w:rPr>
          <w:rFonts w:hint="eastAsia" w:ascii="仿宋_GB2312" w:hAnsi="华文仿宋" w:eastAsia="仿宋_GB2312" w:cs="华文仿宋"/>
          <w:sz w:val="32"/>
          <w:szCs w:val="32"/>
          <w:lang w:val="en-US" w:eastAsia="zh-CN"/>
        </w:rPr>
        <w:t>245.154</w:t>
      </w:r>
      <w:r>
        <w:rPr>
          <w:rFonts w:hint="eastAsia" w:ascii="仿宋_GB2312" w:hAnsi="华文仿宋" w:eastAsia="仿宋_GB2312" w:cs="华文仿宋"/>
          <w:sz w:val="32"/>
          <w:szCs w:val="32"/>
        </w:rPr>
        <w:t>万元，占总收入的</w:t>
      </w:r>
      <w:r>
        <w:rPr>
          <w:rFonts w:hint="eastAsia" w:ascii="仿宋_GB2312" w:hAnsi="华文仿宋" w:eastAsia="仿宋_GB2312" w:cs="华文仿宋"/>
          <w:sz w:val="32"/>
          <w:szCs w:val="32"/>
          <w:lang w:val="en-US" w:eastAsia="zh-CN"/>
        </w:rPr>
        <w:t>100</w:t>
      </w:r>
      <w:r>
        <w:rPr>
          <w:rFonts w:ascii="仿宋_GB2312" w:hAnsi="华文仿宋" w:eastAsia="仿宋_GB2312" w:cs="华文仿宋"/>
          <w:sz w:val="32"/>
          <w:szCs w:val="32"/>
        </w:rPr>
        <w:t>%</w:t>
      </w:r>
      <w:r>
        <w:rPr>
          <w:rFonts w:hint="eastAsia" w:ascii="仿宋_GB2312" w:hAnsi="华文仿宋" w:eastAsia="仿宋_GB2312" w:cs="华文仿宋"/>
          <w:sz w:val="32"/>
          <w:szCs w:val="32"/>
        </w:rPr>
        <w:t>，包括一般公共预算财政拨款</w:t>
      </w:r>
      <w:r>
        <w:rPr>
          <w:rFonts w:hint="eastAsia" w:ascii="仿宋_GB2312" w:hAnsi="华文仿宋" w:eastAsia="仿宋_GB2312" w:cs="华文仿宋"/>
          <w:sz w:val="32"/>
          <w:szCs w:val="32"/>
          <w:lang w:val="en-US" w:eastAsia="zh-CN"/>
        </w:rPr>
        <w:t>245.15</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w:t>
      </w:r>
      <w:r>
        <w:rPr>
          <w:rFonts w:hint="eastAsia" w:ascii="仿宋_GB2312" w:hAnsi="华文仿宋" w:eastAsia="仿宋_GB2312" w:cs="华文仿宋"/>
          <w:sz w:val="32"/>
          <w:szCs w:val="32"/>
          <w:lang w:eastAsia="zh-CN"/>
        </w:rPr>
        <w:drawing>
          <wp:inline distT="0" distB="0" distL="114300" distR="114300">
            <wp:extent cx="3800475" cy="2724150"/>
            <wp:effectExtent l="0" t="0" r="9525" b="0"/>
            <wp:docPr id="7" name="图片 7" descr="c8b91e2431f3523528b214e6868f7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8b91e2431f3523528b214e6868f72e"/>
                    <pic:cNvPicPr>
                      <a:picLocks noChangeAspect="1"/>
                    </pic:cNvPicPr>
                  </pic:nvPicPr>
                  <pic:blipFill>
                    <a:blip r:embed="rId6"/>
                    <a:stretch>
                      <a:fillRect/>
                    </a:stretch>
                  </pic:blipFill>
                  <pic:spPr>
                    <a:xfrm>
                      <a:off x="0" y="0"/>
                      <a:ext cx="3800475" cy="2724150"/>
                    </a:xfrm>
                    <a:prstGeom prst="rect">
                      <a:avLst/>
                    </a:prstGeom>
                  </pic:spPr>
                </pic:pic>
              </a:graphicData>
            </a:graphic>
          </wp:inline>
        </w:drawing>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年本年支出合计</w:t>
      </w:r>
      <w:r>
        <w:rPr>
          <w:rFonts w:hint="eastAsia" w:ascii="仿宋_GB2312" w:hAnsi="华文仿宋" w:eastAsia="仿宋_GB2312" w:cs="华文仿宋"/>
          <w:sz w:val="32"/>
          <w:szCs w:val="32"/>
          <w:lang w:val="en-US" w:eastAsia="zh-CN"/>
        </w:rPr>
        <w:t>245.15</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4"/>
        <w:numPr>
          <w:ilvl w:val="0"/>
          <w:numId w:val="3"/>
        </w:numPr>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214.23</w:t>
      </w:r>
      <w:r>
        <w:rPr>
          <w:rFonts w:hint="eastAsia" w:ascii="仿宋_GB2312" w:eastAsia="仿宋_GB2312"/>
          <w:sz w:val="32"/>
          <w:szCs w:val="32"/>
        </w:rPr>
        <w:t>万元，占总支出的</w:t>
      </w:r>
      <w:r>
        <w:rPr>
          <w:rFonts w:hint="eastAsia" w:ascii="仿宋_GB2312" w:eastAsia="仿宋_GB2312"/>
          <w:sz w:val="32"/>
          <w:szCs w:val="32"/>
          <w:lang w:val="en-US" w:eastAsia="zh-CN"/>
        </w:rPr>
        <w:t>87.39</w:t>
      </w:r>
      <w:r>
        <w:rPr>
          <w:rFonts w:hint="eastAsia" w:ascii="仿宋_GB2312" w:eastAsia="仿宋_GB2312"/>
          <w:sz w:val="32"/>
          <w:szCs w:val="32"/>
        </w:rPr>
        <w:t>%，是为保障机构正常运转、完成日常工作任务而发生的各项支出，包括人员经费</w:t>
      </w:r>
      <w:r>
        <w:rPr>
          <w:rFonts w:hint="eastAsia" w:ascii="仿宋_GB2312" w:eastAsia="仿宋_GB2312"/>
          <w:sz w:val="32"/>
          <w:szCs w:val="32"/>
          <w:lang w:val="en-US" w:eastAsia="zh-CN"/>
        </w:rPr>
        <w:t>161.6</w:t>
      </w:r>
      <w:r>
        <w:rPr>
          <w:rFonts w:hint="eastAsia" w:ascii="仿宋_GB2312" w:eastAsia="仿宋_GB2312"/>
          <w:sz w:val="32"/>
          <w:szCs w:val="32"/>
        </w:rPr>
        <w:t>万元和公用经费</w:t>
      </w:r>
      <w:r>
        <w:rPr>
          <w:rFonts w:hint="eastAsia" w:ascii="仿宋_GB2312" w:eastAsia="仿宋_GB2312"/>
          <w:sz w:val="32"/>
          <w:szCs w:val="32"/>
          <w:lang w:val="en-US" w:eastAsia="zh-CN"/>
        </w:rPr>
        <w:t>52.63</w:t>
      </w:r>
      <w:r>
        <w:rPr>
          <w:rFonts w:hint="eastAsia" w:ascii="仿宋_GB2312" w:eastAsia="仿宋_GB2312"/>
          <w:sz w:val="32"/>
          <w:szCs w:val="32"/>
        </w:rPr>
        <w:t>万元。</w:t>
      </w:r>
    </w:p>
    <w:p>
      <w:pPr>
        <w:pStyle w:val="4"/>
        <w:numPr>
          <w:ilvl w:val="0"/>
          <w:numId w:val="3"/>
        </w:numPr>
        <w:spacing w:before="0" w:beforeAutospacing="0" w:after="0" w:afterAutospacing="0" w:line="240" w:lineRule="auto"/>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30.92</w:t>
      </w:r>
      <w:r>
        <w:rPr>
          <w:rFonts w:hint="eastAsia" w:ascii="仿宋_GB2312" w:eastAsia="仿宋_GB2312"/>
          <w:sz w:val="32"/>
          <w:szCs w:val="32"/>
        </w:rPr>
        <w:t>万元，占总支出的</w:t>
      </w:r>
      <w:r>
        <w:rPr>
          <w:rFonts w:hint="eastAsia" w:ascii="仿宋_GB2312" w:eastAsia="仿宋_GB2312"/>
          <w:sz w:val="32"/>
          <w:szCs w:val="32"/>
          <w:lang w:val="en-US" w:eastAsia="zh-CN"/>
        </w:rPr>
        <w:t>12.61</w:t>
      </w:r>
      <w:r>
        <w:rPr>
          <w:rFonts w:hint="eastAsia" w:ascii="仿宋_GB2312" w:eastAsia="仿宋_GB2312"/>
          <w:sz w:val="32"/>
          <w:szCs w:val="32"/>
        </w:rPr>
        <w:t>%，是为完成特定的工作任务或事业发展目标，在基本支出之外发生的支出。主要</w:t>
      </w:r>
      <w:r>
        <w:rPr>
          <w:rFonts w:hint="eastAsia" w:ascii="仿宋_GB2312" w:eastAsia="仿宋_GB2312"/>
          <w:sz w:val="32"/>
          <w:szCs w:val="32"/>
          <w:lang w:val="en-US" w:eastAsia="zh-CN"/>
        </w:rPr>
        <w:t>包括业务发展经费</w:t>
      </w:r>
      <w:r>
        <w:rPr>
          <w:rFonts w:hint="eastAsia" w:ascii="仿宋_GB2312" w:eastAsia="仿宋_GB2312"/>
          <w:sz w:val="32"/>
          <w:szCs w:val="32"/>
        </w:rPr>
        <w:t>项目</w:t>
      </w:r>
      <w:r>
        <w:rPr>
          <w:rFonts w:hint="eastAsia" w:ascii="仿宋_GB2312" w:eastAsia="仿宋_GB2312"/>
          <w:sz w:val="32"/>
          <w:szCs w:val="32"/>
          <w:lang w:val="en-US" w:eastAsia="zh-CN"/>
        </w:rPr>
        <w:t>支出20.17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维修费项目支出10.75万元等。</w:t>
      </w:r>
      <w:r>
        <w:rPr>
          <w:rFonts w:hint="eastAsia" w:ascii="仿宋_GB2312" w:eastAsia="仿宋_GB2312"/>
          <w:sz w:val="32"/>
          <w:szCs w:val="32"/>
          <w:lang w:val="en-US" w:eastAsia="zh-CN"/>
        </w:rPr>
        <w:drawing>
          <wp:inline distT="0" distB="0" distL="114300" distR="114300">
            <wp:extent cx="4533900" cy="2705100"/>
            <wp:effectExtent l="0" t="0" r="0" b="0"/>
            <wp:docPr id="10" name="图片 10" descr="微信图片_2020101617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01016170603"/>
                    <pic:cNvPicPr>
                      <a:picLocks noChangeAspect="1"/>
                    </pic:cNvPicPr>
                  </pic:nvPicPr>
                  <pic:blipFill>
                    <a:blip r:embed="rId7"/>
                    <a:stretch>
                      <a:fillRect/>
                    </a:stretch>
                  </pic:blipFill>
                  <pic:spPr>
                    <a:xfrm>
                      <a:off x="0" y="0"/>
                      <a:ext cx="4533900" cy="2705100"/>
                    </a:xfrm>
                    <a:prstGeom prst="rect">
                      <a:avLst/>
                    </a:prstGeom>
                  </pic:spPr>
                </pic:pic>
              </a:graphicData>
            </a:graphic>
          </wp:inline>
        </w:drawing>
      </w:r>
    </w:p>
    <w:p>
      <w:pPr>
        <w:pStyle w:val="4"/>
        <w:numPr>
          <w:ilvl w:val="0"/>
          <w:numId w:val="2"/>
        </w:numPr>
        <w:shd w:val="clear" w:color="auto" w:fill="FFFFFF"/>
        <w:spacing w:before="0" w:beforeAutospacing="0" w:after="0" w:afterAutospacing="0" w:line="550" w:lineRule="exact"/>
        <w:ind w:left="0" w:leftChars="0" w:firstLine="640" w:firstLineChars="200"/>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4"/>
        <w:shd w:val="clear" w:color="auto" w:fill="FFFFFF"/>
        <w:spacing w:before="0" w:beforeAutospacing="0" w:after="0" w:afterAutospacing="0" w:line="550" w:lineRule="exact"/>
        <w:ind w:firstLine="640" w:firstLineChars="200"/>
        <w:rPr>
          <w:rFonts w:hint="eastAsia" w:ascii="仿宋" w:hAnsi="仿宋" w:eastAsia="仿宋"/>
          <w:color w:val="000000"/>
          <w:sz w:val="32"/>
          <w:szCs w:val="32"/>
          <w:lang w:val="en-US" w:eastAsia="zh-CN"/>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年财政拨款收入</w:t>
      </w:r>
      <w:r>
        <w:rPr>
          <w:rFonts w:hint="eastAsia" w:ascii="仿宋_GB2312" w:hAnsi="华文仿宋" w:eastAsia="仿宋_GB2312" w:cs="华文仿宋"/>
          <w:sz w:val="32"/>
          <w:szCs w:val="32"/>
          <w:lang w:val="en-US" w:eastAsia="zh-CN"/>
        </w:rPr>
        <w:t>245.15</w:t>
      </w:r>
      <w:r>
        <w:rPr>
          <w:rFonts w:hint="eastAsia" w:ascii="仿宋_GB2312" w:hAnsi="华文仿宋" w:eastAsia="仿宋_GB2312" w:cs="华文仿宋"/>
          <w:sz w:val="32"/>
          <w:szCs w:val="32"/>
        </w:rPr>
        <w:t>万元，</w:t>
      </w:r>
      <w:r>
        <w:rPr>
          <w:rFonts w:hint="eastAsia" w:ascii="仿宋" w:hAnsi="仿宋" w:eastAsia="仿宋"/>
          <w:b w:val="0"/>
          <w:bCs/>
          <w:color w:val="000000"/>
          <w:sz w:val="32"/>
          <w:szCs w:val="32"/>
          <w:lang w:val="en-US" w:eastAsia="zh-CN"/>
        </w:rPr>
        <w:t>较上年增加34.81万元，主要原因是社保费列入预算。</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 w:hAnsi="仿宋" w:eastAsia="仿宋"/>
          <w:b w:val="0"/>
          <w:bCs/>
          <w:color w:val="000000"/>
          <w:sz w:val="32"/>
          <w:szCs w:val="32"/>
          <w:lang w:val="en-US" w:eastAsia="zh-CN"/>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年财政拨款支出</w:t>
      </w:r>
      <w:r>
        <w:rPr>
          <w:rFonts w:hint="eastAsia" w:ascii="仿宋_GB2312" w:hAnsi="华文仿宋" w:eastAsia="仿宋_GB2312" w:cs="华文仿宋"/>
          <w:sz w:val="32"/>
          <w:szCs w:val="32"/>
          <w:lang w:val="en-US" w:eastAsia="zh-CN"/>
        </w:rPr>
        <w:t>245.15</w:t>
      </w:r>
      <w:r>
        <w:rPr>
          <w:rFonts w:hint="eastAsia" w:ascii="仿宋_GB2312" w:hAnsi="华文仿宋" w:eastAsia="仿宋_GB2312" w:cs="华文仿宋"/>
          <w:sz w:val="32"/>
          <w:szCs w:val="32"/>
        </w:rPr>
        <w:t>万元，</w:t>
      </w:r>
      <w:r>
        <w:rPr>
          <w:rFonts w:hint="eastAsia" w:ascii="仿宋" w:hAnsi="仿宋" w:eastAsia="仿宋"/>
          <w:b w:val="0"/>
          <w:bCs/>
          <w:color w:val="000000"/>
          <w:sz w:val="32"/>
          <w:szCs w:val="32"/>
          <w:lang w:val="en-US" w:eastAsia="zh-CN"/>
        </w:rPr>
        <w:t>较上年增加34.81万元，主要原因是社保费列入预算。</w:t>
      </w:r>
      <w:r>
        <w:rPr>
          <w:rFonts w:hint="eastAsia" w:ascii="仿宋" w:hAnsi="仿宋" w:eastAsia="仿宋"/>
          <w:b w:val="0"/>
          <w:bCs/>
          <w:color w:val="000000"/>
          <w:sz w:val="32"/>
          <w:szCs w:val="32"/>
          <w:lang w:val="en-US" w:eastAsia="zh-CN"/>
        </w:rPr>
        <w:drawing>
          <wp:inline distT="0" distB="0" distL="114300" distR="114300">
            <wp:extent cx="4533900" cy="2714625"/>
            <wp:effectExtent l="0" t="0" r="0" b="9525"/>
            <wp:docPr id="9" name="图片 9" descr="微信图片_2020101616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01016165737"/>
                    <pic:cNvPicPr>
                      <a:picLocks noChangeAspect="1"/>
                    </pic:cNvPicPr>
                  </pic:nvPicPr>
                  <pic:blipFill>
                    <a:blip r:embed="rId5"/>
                    <a:stretch>
                      <a:fillRect/>
                    </a:stretch>
                  </pic:blipFill>
                  <pic:spPr>
                    <a:xfrm>
                      <a:off x="0" y="0"/>
                      <a:ext cx="4533900" cy="271462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b w:val="0"/>
          <w:bCs/>
          <w:color w:val="000000"/>
          <w:sz w:val="32"/>
          <w:szCs w:val="32"/>
          <w:lang w:val="en-US" w:eastAsia="zh-CN"/>
        </w:rPr>
      </w:pPr>
      <w:r>
        <w:rPr>
          <w:rFonts w:hint="eastAsia"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bidi="ar"/>
        </w:rPr>
        <w:t>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245.15</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34.81</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16.55</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 w:hAnsi="仿宋" w:eastAsia="仿宋"/>
          <w:b w:val="0"/>
          <w:bCs/>
          <w:color w:val="000000"/>
          <w:sz w:val="32"/>
          <w:szCs w:val="32"/>
          <w:lang w:val="en-US" w:eastAsia="zh-CN"/>
        </w:rPr>
        <w:t>社保费列入预算。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仿宋" w:hAnsi="仿宋" w:eastAsia="仿宋"/>
          <w:b/>
          <w:bCs w:val="0"/>
          <w:color w:val="000000"/>
          <w:sz w:val="32"/>
          <w:szCs w:val="32"/>
          <w:lang w:val="en-US" w:eastAsia="zh-CN"/>
        </w:rPr>
        <w:t>（</w:t>
      </w: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pStyle w:val="4"/>
        <w:shd w:val="clear" w:color="auto" w:fill="FFFFFF"/>
        <w:spacing w:before="0" w:beforeAutospacing="0" w:after="0" w:afterAutospacing="0" w:line="55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w:t>
      </w:r>
      <w:r>
        <w:rPr>
          <w:rFonts w:hint="eastAsia" w:ascii="仿宋_GB2312" w:hAnsi="宋体" w:eastAsia="仿宋_GB2312" w:cs="仿宋_GB2312"/>
          <w:color w:val="000000"/>
          <w:kern w:val="0"/>
          <w:sz w:val="32"/>
          <w:szCs w:val="32"/>
          <w:lang w:val="en-US" w:eastAsia="zh-CN" w:bidi="ar"/>
        </w:rPr>
        <w:t>142.08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245.15</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172.54</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color w:val="000000"/>
          <w:kern w:val="0"/>
          <w:sz w:val="32"/>
          <w:szCs w:val="32"/>
          <w:lang w:bidi="ar"/>
        </w:rPr>
        <w:t>1.</w:t>
      </w:r>
      <w:r>
        <w:rPr>
          <w:rFonts w:hint="eastAsia" w:ascii="仿宋_GB2312" w:hAnsi="宋体" w:eastAsia="仿宋_GB2312" w:cs="仿宋_GB2312"/>
          <w:b/>
          <w:color w:val="000000"/>
          <w:kern w:val="0"/>
          <w:sz w:val="32"/>
          <w:szCs w:val="32"/>
          <w:lang w:val="en-US" w:eastAsia="zh-CN" w:bidi="ar"/>
        </w:rPr>
        <w:t>其他广播影视</w:t>
      </w:r>
      <w:r>
        <w:rPr>
          <w:rFonts w:hint="eastAsia" w:ascii="仿宋_GB2312" w:hAnsi="宋体" w:eastAsia="仿宋_GB2312" w:cs="仿宋_GB2312"/>
          <w:b w:val="0"/>
          <w:bCs/>
          <w:color w:val="000000"/>
          <w:kern w:val="0"/>
          <w:sz w:val="32"/>
          <w:szCs w:val="32"/>
          <w:lang w:val="en-US" w:eastAsia="zh-CN" w:bidi="ar"/>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139.8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52.63</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37.65</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小于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功能科目调整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 w:hAnsi="仿宋" w:eastAsia="仿宋"/>
          <w:color w:val="000000"/>
          <w:sz w:val="32"/>
          <w:szCs w:val="32"/>
          <w:lang w:val="en-US" w:eastAsia="zh-CN"/>
        </w:rPr>
        <w:t>2.</w:t>
      </w:r>
      <w:r>
        <w:rPr>
          <w:rFonts w:hint="eastAsia" w:ascii="仿宋" w:hAnsi="仿宋" w:eastAsia="仿宋"/>
          <w:b/>
          <w:bCs/>
          <w:color w:val="000000"/>
          <w:sz w:val="32"/>
          <w:szCs w:val="32"/>
          <w:lang w:val="en-US" w:eastAsia="zh-CN"/>
        </w:rPr>
        <w:t>电视</w:t>
      </w:r>
      <w:r>
        <w:rPr>
          <w:rFonts w:hint="eastAsia" w:ascii="仿宋" w:hAnsi="仿宋" w:eastAsia="仿宋"/>
          <w:color w:val="000000"/>
          <w:sz w:val="32"/>
          <w:szCs w:val="32"/>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10.75</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358.33</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功能科目调整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 w:hAnsi="仿宋" w:eastAsia="仿宋"/>
          <w:color w:val="000000"/>
          <w:sz w:val="32"/>
          <w:szCs w:val="32"/>
          <w:lang w:val="en-US" w:eastAsia="zh-CN"/>
        </w:rPr>
        <w:t>3.</w:t>
      </w:r>
      <w:r>
        <w:rPr>
          <w:rFonts w:hint="eastAsia" w:ascii="仿宋" w:hAnsi="仿宋" w:eastAsia="仿宋"/>
          <w:b/>
          <w:bCs/>
          <w:color w:val="000000"/>
          <w:sz w:val="32"/>
          <w:szCs w:val="32"/>
          <w:lang w:val="en-US" w:eastAsia="zh-CN"/>
        </w:rPr>
        <w:t>其他文化旅游体育与传媒</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144</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功能科目调整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bidi="ar"/>
        </w:rPr>
      </w:pPr>
      <w:r>
        <w:rPr>
          <w:rFonts w:hint="eastAsia" w:ascii="仿宋" w:hAnsi="仿宋" w:eastAsia="仿宋"/>
          <w:color w:val="000000"/>
          <w:sz w:val="32"/>
          <w:szCs w:val="32"/>
          <w:lang w:val="en-US" w:eastAsia="zh-CN"/>
        </w:rPr>
        <w:t>4.</w:t>
      </w:r>
      <w:r>
        <w:rPr>
          <w:rFonts w:hint="eastAsia" w:ascii="仿宋" w:hAnsi="仿宋" w:eastAsia="仿宋"/>
          <w:b/>
          <w:bCs/>
          <w:color w:val="000000"/>
          <w:sz w:val="32"/>
          <w:szCs w:val="32"/>
          <w:lang w:val="en-US" w:eastAsia="zh-CN"/>
        </w:rPr>
        <w:t>事业单位基本养老</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14.09</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社保费由预算单位缴费。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bidi="ar"/>
        </w:rPr>
      </w:pPr>
      <w:r>
        <w:rPr>
          <w:rFonts w:hint="eastAsia" w:ascii="仿宋" w:hAnsi="仿宋" w:eastAsia="仿宋"/>
          <w:color w:val="000000"/>
          <w:sz w:val="32"/>
          <w:szCs w:val="32"/>
          <w:lang w:val="en-US" w:eastAsia="zh-CN"/>
        </w:rPr>
        <w:t>5.</w:t>
      </w:r>
      <w:r>
        <w:rPr>
          <w:rFonts w:hint="eastAsia" w:ascii="仿宋" w:hAnsi="仿宋" w:eastAsia="仿宋"/>
          <w:b/>
          <w:bCs/>
          <w:color w:val="000000"/>
          <w:sz w:val="32"/>
          <w:szCs w:val="32"/>
          <w:lang w:val="en-US" w:eastAsia="zh-CN"/>
        </w:rPr>
        <w:t>事业单位医疗</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3.5</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社保费由预算单位缴费。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 w:hAnsi="仿宋" w:eastAsia="仿宋"/>
          <w:color w:val="000000"/>
          <w:sz w:val="32"/>
          <w:szCs w:val="32"/>
          <w:lang w:val="en-US" w:eastAsia="zh-CN"/>
        </w:rPr>
        <w:t>6.</w:t>
      </w:r>
      <w:r>
        <w:rPr>
          <w:rFonts w:hint="eastAsia" w:ascii="仿宋" w:hAnsi="仿宋" w:eastAsia="仿宋"/>
          <w:b/>
          <w:bCs/>
          <w:color w:val="000000"/>
          <w:sz w:val="32"/>
          <w:szCs w:val="32"/>
          <w:lang w:val="en-US" w:eastAsia="zh-CN"/>
        </w:rPr>
        <w:t>其他新闻出版电影</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20.18</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功能科目调整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bidi="ar"/>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olor w:val="000000"/>
          <w:kern w:val="0"/>
          <w:sz w:val="32"/>
          <w:szCs w:val="32"/>
          <w:lang w:val="en-US" w:eastAsia="zh-CN" w:bidi="ar"/>
        </w:rPr>
        <w:t>六、</w:t>
      </w:r>
      <w:r>
        <w:rPr>
          <w:rFonts w:hint="eastAsia" w:ascii="黑体" w:hAnsi="黑体" w:eastAsia="黑体"/>
          <w:color w:val="000000"/>
          <w:kern w:val="0"/>
          <w:sz w:val="32"/>
          <w:szCs w:val="32"/>
          <w:lang w:bidi="ar"/>
        </w:rPr>
        <w:t>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214.23</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161.6</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52.63</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161.6</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48.03</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绩效工资38.53万元、奖金39万元、职业年金3.4万元、公积金15.02万元、单位养老14.09万元、单位医疗3.5万元。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52.63</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val="en-US" w:eastAsia="zh-CN" w:bidi="ar"/>
        </w:rPr>
        <w:t>办公费22.55万元、印刷费0.49万元、电费1.38万元、邮电费0.37万元、差旅费0.58万元、工会经费3.34万元、维修费8.97万元、劳务费12.36万元、其他交通费用2.59万元。</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olor w:val="000000"/>
          <w:kern w:val="0"/>
          <w:sz w:val="32"/>
          <w:szCs w:val="32"/>
          <w:lang w:bidi="ar"/>
        </w:rPr>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仿宋_GB2312"/>
          <w:color w:val="000000"/>
          <w:kern w:val="0"/>
          <w:sz w:val="32"/>
          <w:szCs w:val="32"/>
          <w:lang w:val="en-US" w:eastAsia="zh-CN"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1.06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1.06</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2019年无因公出国事宜，无购车计划，</w:t>
      </w:r>
      <w:r>
        <w:rPr>
          <w:rFonts w:hint="eastAsia" w:ascii="仿宋_GB2312" w:eastAsia="仿宋_GB2312"/>
          <w:color w:val="000000"/>
          <w:sz w:val="32"/>
          <w:szCs w:val="32"/>
          <w:lang w:val="en-US" w:eastAsia="zh-CN"/>
        </w:rPr>
        <w:t>本着厉行节约原则无人员招待。</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left"/>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不涉及。</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left"/>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无购置支出。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事业单位实行车改，无公务用车</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1.06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1.06万元，</w:t>
      </w:r>
      <w:r>
        <w:rPr>
          <w:rFonts w:ascii="仿宋_GB2312" w:hAnsi="宋体" w:eastAsia="仿宋_GB2312" w:cs="仿宋_GB2312"/>
          <w:color w:val="000000"/>
          <w:kern w:val="0"/>
          <w:sz w:val="32"/>
          <w:szCs w:val="32"/>
          <w:lang w:bidi="ar"/>
        </w:rPr>
        <w:t>主要原因是</w:t>
      </w:r>
      <w:r>
        <w:rPr>
          <w:rFonts w:hint="eastAsia" w:ascii="仿宋_GB2312" w:eastAsia="仿宋_GB2312"/>
          <w:color w:val="000000"/>
          <w:sz w:val="32"/>
          <w:szCs w:val="32"/>
          <w:lang w:val="en-US" w:eastAsia="zh-CN"/>
        </w:rPr>
        <w:t>本着厉行节约原则无人员招待</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drawing>
          <wp:inline distT="0" distB="0" distL="114300" distR="114300">
            <wp:extent cx="4533900" cy="2695575"/>
            <wp:effectExtent l="0" t="0" r="0" b="9525"/>
            <wp:docPr id="11" name="图片 11" descr="微信图片_2020101617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01016172226"/>
                    <pic:cNvPicPr>
                      <a:picLocks noChangeAspect="1"/>
                    </pic:cNvPicPr>
                  </pic:nvPicPr>
                  <pic:blipFill>
                    <a:blip r:embed="rId8"/>
                    <a:stretch>
                      <a:fillRect/>
                    </a:stretch>
                  </pic:blipFill>
                  <pic:spPr>
                    <a:xfrm>
                      <a:off x="0" y="0"/>
                      <a:ext cx="4533900" cy="269557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w:t>
      </w:r>
      <w:r>
        <w:rPr>
          <w:rFonts w:hint="eastAsia" w:ascii="仿宋" w:hAnsi="仿宋" w:eastAsia="仿宋" w:cs="华文仿宋"/>
          <w:szCs w:val="32"/>
          <w:lang w:val="en-US" w:eastAsia="zh-CN"/>
        </w:rPr>
        <w:t>无人员参加培训</w:t>
      </w:r>
      <w:r>
        <w:rPr>
          <w:rFonts w:hint="eastAsia" w:ascii="仿宋_GB2312" w:hAnsi="宋体" w:eastAsia="仿宋_GB2312" w:cs="仿宋_GB2312"/>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321" w:firstLineChars="1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0.28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0.28</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2019年无会议事项。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黑体" w:hAnsi="黑体" w:eastAsia="仿宋_GB2312"/>
          <w:color w:val="000000"/>
          <w:kern w:val="0"/>
          <w:sz w:val="32"/>
          <w:szCs w:val="32"/>
          <w:lang w:val="en-US" w:eastAsia="zh-CN" w:bidi="ar"/>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33</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2019年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245.15</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1</w:t>
      </w:r>
      <w:r>
        <w:rPr>
          <w:rFonts w:hint="eastAsia" w:ascii="仿宋_GB2312" w:hAnsi="仿宋_GB2312" w:eastAsia="仿宋_GB2312" w:cs="仿宋_GB2312"/>
          <w:color w:val="000000"/>
          <w:kern w:val="0"/>
          <w:sz w:val="31"/>
          <w:szCs w:val="31"/>
          <w:lang w:val="en-US" w:eastAsia="zh-CN" w:bidi="ar"/>
        </w:rPr>
        <w:t>.维修费</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bidi="ar"/>
        </w:rPr>
        <w:t>为电视台的正常运转与发展提供必要的设备更新，以保障广播电视宣传和事业建设可持续发展。</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val="en-US" w:eastAsia="zh-CN" w:bidi="ar"/>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val="en-US" w:eastAsia="zh-CN" w:bidi="ar"/>
        </w:rPr>
        <w:t>无</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2.</w:t>
      </w:r>
      <w:r>
        <w:rPr>
          <w:rFonts w:hint="eastAsia" w:ascii="仿宋_GB2312" w:hAnsi="仿宋_GB2312" w:eastAsia="仿宋_GB2312" w:cs="仿宋_GB2312"/>
          <w:color w:val="000000"/>
          <w:kern w:val="0"/>
          <w:sz w:val="31"/>
          <w:szCs w:val="31"/>
          <w:lang w:val="en-US" w:eastAsia="zh-CN" w:bidi="ar"/>
        </w:rPr>
        <w:t>业务发展经费</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30</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27.93</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93.1</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bidi="ar"/>
        </w:rPr>
        <w:t>为电视台的正常运转与发展提供必要的人员、技术保障，以保障广播电视宣传和事业建设可持续发展。</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default" w:ascii="仿宋_GB2312" w:hAnsi="仿宋_GB2312" w:eastAsia="仿宋_GB2312" w:cs="仿宋_GB2312"/>
          <w:color w:val="000000"/>
          <w:kern w:val="0"/>
          <w:sz w:val="31"/>
          <w:szCs w:val="31"/>
          <w:lang w:val="en-US" w:bidi="ar"/>
        </w:rPr>
      </w:pPr>
      <w:r>
        <w:rPr>
          <w:rFonts w:ascii="仿宋_GB2312" w:hAnsi="仿宋_GB2312" w:eastAsia="仿宋_GB2312" w:cs="仿宋_GB2312"/>
          <w:color w:val="000000"/>
          <w:kern w:val="0"/>
          <w:sz w:val="31"/>
          <w:szCs w:val="31"/>
          <w:lang w:bidi="ar"/>
        </w:rPr>
        <w:t>发现的问题及原因：</w:t>
      </w:r>
      <w:r>
        <w:rPr>
          <w:rFonts w:hint="eastAsia" w:ascii="仿宋" w:hAnsi="仿宋" w:eastAsia="仿宋" w:cs="仿宋"/>
          <w:color w:val="000000"/>
          <w:sz w:val="32"/>
          <w:szCs w:val="32"/>
          <w:lang w:val="en-US" w:eastAsia="zh-CN"/>
        </w:rPr>
        <w:t>无。</w:t>
      </w:r>
    </w:p>
    <w:p>
      <w:pPr>
        <w:numPr>
          <w:ilvl w:val="0"/>
          <w:numId w:val="0"/>
        </w:numPr>
        <w:ind w:firstLine="620" w:firstLineChars="200"/>
        <w:rPr>
          <w:rFonts w:hint="eastAsia" w:ascii="仿宋_GB2312" w:eastAsia="仿宋_GB2312"/>
          <w:color w:val="000000"/>
          <w:sz w:val="32"/>
          <w:szCs w:val="32"/>
          <w:lang w:val="en-US" w:eastAsia="zh-CN"/>
        </w:rPr>
      </w:pPr>
      <w:r>
        <w:rPr>
          <w:rFonts w:ascii="仿宋_GB2312" w:hAnsi="仿宋_GB2312" w:eastAsia="仿宋_GB2312" w:cs="仿宋_GB2312"/>
          <w:color w:val="000000"/>
          <w:kern w:val="0"/>
          <w:sz w:val="31"/>
          <w:szCs w:val="31"/>
          <w:lang w:bidi="ar"/>
        </w:rPr>
        <w:t>下一步改进措施：</w:t>
      </w:r>
      <w:r>
        <w:rPr>
          <w:rFonts w:hint="eastAsia" w:ascii="仿宋_GB2312" w:eastAsia="仿宋_GB2312"/>
          <w:color w:val="000000"/>
          <w:sz w:val="32"/>
          <w:szCs w:val="32"/>
          <w:lang w:val="en-US" w:eastAsia="zh-CN"/>
        </w:rPr>
        <w:t>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142.08</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245.15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172.54</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bidi="ar"/>
        </w:rPr>
        <w:t xml:space="preserve"> </w:t>
      </w: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bidi="ar"/>
        </w:rPr>
        <w:t>充分发挥广播电视的舆论导向作用，加大主旋律报道力度，围绕区委、区政府的中心工作开展新闻宣传，积极践行“三贴近”原则，为阎良的建设与发展提供有力的舆论保障和精神动力。2</w:t>
      </w:r>
      <w:r>
        <w:rPr>
          <w:rFonts w:hint="eastAsia" w:ascii="仿宋_GB2312" w:hAnsi="仿宋_GB2312" w:eastAsia="仿宋_GB2312" w:cs="仿宋_GB2312"/>
          <w:color w:val="000000"/>
          <w:kern w:val="0"/>
          <w:sz w:val="31"/>
          <w:szCs w:val="31"/>
          <w:lang w:eastAsia="zh-CN" w:bidi="ar"/>
        </w:rPr>
        <w:t>、</w:t>
      </w:r>
      <w:r>
        <w:rPr>
          <w:rFonts w:hint="eastAsia" w:ascii="仿宋_GB2312" w:hAnsi="仿宋_GB2312" w:eastAsia="仿宋_GB2312" w:cs="仿宋_GB2312"/>
          <w:color w:val="000000"/>
          <w:kern w:val="0"/>
          <w:sz w:val="31"/>
          <w:szCs w:val="31"/>
          <w:lang w:bidi="ar"/>
        </w:rPr>
        <w:t xml:space="preserve">负责广播电视安全播出和设备设施的安全防范工作；完整传输中央、省、市广播电视节目。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全年制作播发《阎良新闻》240期、《魅力航城》48期、《一周要闻》48期</w:t>
      </w:r>
      <w:r>
        <w:rPr>
          <w:rFonts w:hint="eastAsia" w:ascii="仿宋_GB2312" w:hAnsi="仿宋_GB2312" w:eastAsia="仿宋_GB2312" w:cs="仿宋_GB2312"/>
          <w:color w:val="000000"/>
          <w:kern w:val="0"/>
          <w:sz w:val="31"/>
          <w:szCs w:val="31"/>
          <w:lang w:eastAsia="zh-CN" w:bidi="ar"/>
        </w:rPr>
        <w:t>。</w:t>
      </w:r>
    </w:p>
    <w:p>
      <w:pPr>
        <w:ind w:firstLine="620" w:firstLineChars="200"/>
        <w:rPr>
          <w:rFonts w:hint="eastAsia" w:ascii="仿宋" w:hAnsi="仿宋" w:eastAsia="仿宋" w:cs="仿宋"/>
          <w:color w:val="000000"/>
          <w:sz w:val="32"/>
          <w:szCs w:val="32"/>
        </w:rPr>
      </w:pPr>
      <w:r>
        <w:rPr>
          <w:rFonts w:ascii="仿宋_GB2312" w:hAnsi="仿宋_GB2312" w:eastAsia="仿宋_GB2312" w:cs="仿宋_GB2312"/>
          <w:color w:val="000000"/>
          <w:kern w:val="0"/>
          <w:sz w:val="31"/>
          <w:szCs w:val="31"/>
          <w:lang w:bidi="ar"/>
        </w:rPr>
        <w:t>发现的问题及原因：</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财务管理方面</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财务制度更新不及时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已不能满足现有财务管理需要。</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固定资产管理方面</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固定资产卡片信息不完整</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财政系统内固定资产卡片大部分没有填写使用部门、管理部门，使用人和存放地点。</w:t>
      </w:r>
    </w:p>
    <w:p>
      <w:pPr>
        <w:numPr>
          <w:ilvl w:val="0"/>
          <w:numId w:val="0"/>
        </w:num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3.社会效益方面</w:t>
      </w:r>
    </w:p>
    <w:p>
      <w:pPr>
        <w:numPr>
          <w:ilvl w:val="0"/>
          <w:numId w:val="0"/>
        </w:numP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公众宣传平台评论量、点击率不够活跃。</w:t>
      </w:r>
    </w:p>
    <w:p>
      <w:pPr>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财务管理方面</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及时更新单位的财务管理制度，或更新单项规定的方式补充、完善相关管理制度，使制度与执行相统一。</w:t>
      </w:r>
    </w:p>
    <w:p>
      <w:p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固定资产管理</w:t>
      </w:r>
      <w:r>
        <w:rPr>
          <w:rFonts w:hint="eastAsia" w:ascii="仿宋" w:hAnsi="仿宋" w:eastAsia="仿宋" w:cs="仿宋"/>
          <w:color w:val="000000"/>
          <w:sz w:val="32"/>
          <w:szCs w:val="32"/>
          <w:lang w:val="en-US" w:eastAsia="zh-CN"/>
        </w:rPr>
        <w:t>方面</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议资产管理部门改变现有管理方法，以行政事业单位资产管理信息系统为主，补充固定资产卡片信息，将固定资产管理工作责任到人，由实际使用人管理领用固定资产。年末盘点时以个人为单位进行盘点，与行政事业单位资产管理信息系统固定资产卡片一一对应。</w:t>
      </w:r>
    </w:p>
    <w:p>
      <w:pPr>
        <w:numPr>
          <w:ilvl w:val="0"/>
          <w:numId w:val="0"/>
        </w:numPr>
        <w:ind w:left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3.增强社会效益方面</w:t>
      </w:r>
    </w:p>
    <w:p>
      <w:pPr>
        <w:numPr>
          <w:ilvl w:val="0"/>
          <w:numId w:val="0"/>
        </w:numPr>
        <w:rPr>
          <w:rFonts w:hint="eastAsia" w:ascii="仿宋_GB2312" w:eastAsia="仿宋_GB2312"/>
          <w:color w:val="000000"/>
          <w:sz w:val="32"/>
          <w:szCs w:val="32"/>
        </w:rPr>
      </w:pPr>
      <w:r>
        <w:rPr>
          <w:rFonts w:hint="eastAsia" w:ascii="仿宋" w:hAnsi="仿宋" w:eastAsia="仿宋" w:cs="仿宋"/>
          <w:color w:val="000000"/>
          <w:sz w:val="32"/>
          <w:szCs w:val="32"/>
          <w:lang w:val="en-US" w:eastAsia="zh-CN"/>
        </w:rPr>
        <w:t xml:space="preserve">    </w:t>
      </w:r>
      <w:r>
        <w:rPr>
          <w:rFonts w:hint="eastAsia" w:ascii="仿宋_GB2312" w:eastAsia="仿宋_GB2312"/>
          <w:color w:val="000000"/>
          <w:sz w:val="32"/>
          <w:szCs w:val="32"/>
        </w:rPr>
        <w:t>充分发挥广播电视的舆论导向作用，</w:t>
      </w:r>
      <w:r>
        <w:rPr>
          <w:rFonts w:hint="eastAsia" w:ascii="仿宋" w:hAnsi="仿宋" w:eastAsia="仿宋" w:cs="仿宋"/>
          <w:color w:val="000000"/>
          <w:sz w:val="32"/>
          <w:szCs w:val="32"/>
          <w:lang w:val="en-US" w:eastAsia="zh-CN"/>
        </w:rPr>
        <w:t xml:space="preserve"> 加大宣传力度，</w:t>
      </w:r>
      <w:r>
        <w:rPr>
          <w:rFonts w:hint="eastAsia" w:ascii="仿宋_GB2312" w:eastAsia="仿宋_GB2312"/>
          <w:color w:val="000000"/>
          <w:sz w:val="32"/>
          <w:szCs w:val="32"/>
        </w:rPr>
        <w:t>为阎良的建设与发展提供有力的舆论保障和精神动力。</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tbl>
      <w:tblPr>
        <w:tblStyle w:val="5"/>
        <w:tblW w:w="9285" w:type="dxa"/>
        <w:tblInd w:w="0" w:type="dxa"/>
        <w:shd w:val="clear" w:color="auto" w:fill="auto"/>
        <w:tblLayout w:type="autofit"/>
        <w:tblCellMar>
          <w:top w:w="0" w:type="dxa"/>
          <w:left w:w="0" w:type="dxa"/>
          <w:bottom w:w="0" w:type="dxa"/>
          <w:right w:w="0" w:type="dxa"/>
        </w:tblCellMar>
      </w:tblPr>
      <w:tblGrid>
        <w:gridCol w:w="555"/>
        <w:gridCol w:w="555"/>
        <w:gridCol w:w="1035"/>
        <w:gridCol w:w="1980"/>
        <w:gridCol w:w="1185"/>
        <w:gridCol w:w="1320"/>
        <w:gridCol w:w="1140"/>
        <w:gridCol w:w="1515"/>
      </w:tblGrid>
      <w:tr>
        <w:tblPrEx>
          <w:shd w:val="clear" w:color="auto" w:fill="auto"/>
          <w:tblCellMar>
            <w:top w:w="0" w:type="dxa"/>
            <w:left w:w="0" w:type="dxa"/>
            <w:bottom w:w="0" w:type="dxa"/>
            <w:right w:w="0" w:type="dxa"/>
          </w:tblCellMar>
        </w:tblPrEx>
        <w:trPr>
          <w:trHeight w:val="600" w:hRule="atLeast"/>
        </w:trPr>
        <w:tc>
          <w:tcPr>
            <w:tcW w:w="928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1928" w:firstLineChars="600"/>
              <w:jc w:val="both"/>
              <w:textAlignment w:val="center"/>
              <w:rPr>
                <w:rFonts w:hint="eastAsia" w:ascii="宋体" w:hAnsi="宋体" w:eastAsia="宋体" w:cs="宋体"/>
                <w:b/>
                <w:i w:val="0"/>
                <w:color w:val="000000"/>
                <w:sz w:val="32"/>
                <w:szCs w:val="32"/>
                <w:u w:val="none"/>
              </w:rPr>
            </w:pPr>
            <w:r>
              <w:rPr>
                <w:rStyle w:val="10"/>
                <w:rFonts w:hint="eastAsia"/>
                <w:lang w:val="en-US" w:eastAsia="zh-CN" w:bidi="ar"/>
              </w:rPr>
              <w:t>区</w:t>
            </w:r>
            <w:r>
              <w:rPr>
                <w:rStyle w:val="10"/>
                <w:lang w:val="en-US" w:eastAsia="zh-CN" w:bidi="ar"/>
              </w:rPr>
              <w:t>级预算（项目）绩效目标自评表</w:t>
            </w:r>
            <w:r>
              <w:rPr>
                <w:rStyle w:val="11"/>
                <w:lang w:val="en-US" w:eastAsia="zh-CN" w:bidi="ar"/>
              </w:rPr>
              <w:t xml:space="preserve"> </w:t>
            </w:r>
          </w:p>
        </w:tc>
      </w:tr>
      <w:tr>
        <w:tblPrEx>
          <w:shd w:val="clear" w:color="auto" w:fill="auto"/>
          <w:tblCellMar>
            <w:top w:w="0" w:type="dxa"/>
            <w:left w:w="0" w:type="dxa"/>
            <w:bottom w:w="0" w:type="dxa"/>
            <w:right w:w="0" w:type="dxa"/>
          </w:tblCellMar>
        </w:tblPrEx>
        <w:trPr>
          <w:trHeight w:val="432" w:hRule="atLeast"/>
        </w:trPr>
        <w:tc>
          <w:tcPr>
            <w:tcW w:w="9285"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设备维修费</w:t>
            </w:r>
          </w:p>
        </w:tc>
      </w:tr>
      <w:tr>
        <w:tblPrEx>
          <w:shd w:val="clear" w:color="auto" w:fill="auto"/>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西安市阎良区广播电视台</w:t>
            </w:r>
          </w:p>
        </w:tc>
      </w:tr>
      <w:tr>
        <w:tblPrEx>
          <w:shd w:val="clear" w:color="auto" w:fill="auto"/>
          <w:tblCellMar>
            <w:top w:w="0" w:type="dxa"/>
            <w:left w:w="0" w:type="dxa"/>
            <w:bottom w:w="0" w:type="dxa"/>
            <w:right w:w="0" w:type="dxa"/>
          </w:tblCellMar>
        </w:tblPrEx>
        <w:trPr>
          <w:trHeight w:val="6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shd w:val="clear" w:color="auto" w:fill="auto"/>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shd w:val="clear" w:color="auto" w:fill="auto"/>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2"/>
                <w:lang w:val="en-US" w:eastAsia="zh-CN" w:bidi="ar"/>
              </w:rPr>
              <w:t xml:space="preserve"> </w:t>
            </w:r>
            <w:r>
              <w:rPr>
                <w:rStyle w:val="13"/>
                <w:lang w:val="en-US" w:eastAsia="zh-CN" w:bidi="ar"/>
              </w:rPr>
              <w:t>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2"/>
                <w:lang w:val="en-US" w:eastAsia="zh-CN" w:bidi="ar"/>
              </w:rPr>
              <w:t xml:space="preserve"> </w:t>
            </w:r>
            <w:r>
              <w:rPr>
                <w:rStyle w:val="13"/>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r>
      <w:tr>
        <w:tblPrEx>
          <w:shd w:val="clear" w:color="auto" w:fill="auto"/>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4"/>
                <w:lang w:val="en-US" w:eastAsia="zh-CN" w:bidi="ar"/>
              </w:rPr>
              <w:t xml:space="preserve">      </w:t>
            </w:r>
            <w:r>
              <w:rPr>
                <w:rStyle w:val="15"/>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shd w:val="clear" w:color="auto" w:fill="auto"/>
          <w:tblCellMar>
            <w:top w:w="0" w:type="dxa"/>
            <w:left w:w="0" w:type="dxa"/>
            <w:bottom w:w="0" w:type="dxa"/>
            <w:right w:w="0"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为电视台的正常运转与发展提供必要的设备更新，以保障广播电视宣传和事业建设可持续发展。</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shd w:val="clear" w:color="auto" w:fill="auto"/>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指标1：维修摄像机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3台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指标2：维修播出设备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4台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指标3：维修打印机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2台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指标4：维修空调</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3台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指标1：验收合格率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sz w:val="20"/>
                <w:szCs w:val="20"/>
                <w:u w:val="none"/>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指标1：维修摄像机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指标2：维修播出设备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1.5万元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指标3：维修打印机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0.1万元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指标4：维修空调</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0.2万元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382" w:firstLineChars="0"/>
              <w:jc w:val="both"/>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指标1：保障电视台办公设备正常运行率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sz w:val="20"/>
                <w:szCs w:val="20"/>
                <w:u w:val="none"/>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指标1：职工满意度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73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tbl>
      <w:tblPr>
        <w:tblStyle w:val="5"/>
        <w:tblW w:w="9285" w:type="dxa"/>
        <w:tblInd w:w="0" w:type="dxa"/>
        <w:shd w:val="clear" w:color="auto" w:fill="auto"/>
        <w:tblLayout w:type="autofit"/>
        <w:tblCellMar>
          <w:top w:w="0" w:type="dxa"/>
          <w:left w:w="0" w:type="dxa"/>
          <w:bottom w:w="0" w:type="dxa"/>
          <w:right w:w="0" w:type="dxa"/>
        </w:tblCellMar>
      </w:tblPr>
      <w:tblGrid>
        <w:gridCol w:w="555"/>
        <w:gridCol w:w="555"/>
        <w:gridCol w:w="1035"/>
        <w:gridCol w:w="1980"/>
        <w:gridCol w:w="1185"/>
        <w:gridCol w:w="1320"/>
        <w:gridCol w:w="1140"/>
        <w:gridCol w:w="1515"/>
      </w:tblGrid>
      <w:tr>
        <w:tblPrEx>
          <w:tblCellMar>
            <w:top w:w="0" w:type="dxa"/>
            <w:left w:w="0" w:type="dxa"/>
            <w:bottom w:w="0" w:type="dxa"/>
            <w:right w:w="0" w:type="dxa"/>
          </w:tblCellMar>
        </w:tblPrEx>
        <w:trPr>
          <w:trHeight w:val="600" w:hRule="atLeast"/>
        </w:trPr>
        <w:tc>
          <w:tcPr>
            <w:tcW w:w="928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区级预算（项目）绩效目标自评表</w:t>
            </w:r>
            <w:r>
              <w:rPr>
                <w:rFonts w:hint="eastAsia" w:ascii="宋体" w:hAnsi="宋体" w:eastAsia="宋体" w:cs="宋体"/>
                <w:i w:val="0"/>
                <w:color w:val="000000"/>
                <w:kern w:val="0"/>
                <w:sz w:val="32"/>
                <w:szCs w:val="32"/>
                <w:u w:val="none"/>
                <w:lang w:val="en-US" w:eastAsia="zh-CN" w:bidi="ar"/>
              </w:rPr>
              <w:t xml:space="preserve"> </w:t>
            </w:r>
          </w:p>
        </w:tc>
      </w:tr>
      <w:tr>
        <w:tblPrEx>
          <w:shd w:val="clear" w:color="auto" w:fill="auto"/>
          <w:tblCellMar>
            <w:top w:w="0" w:type="dxa"/>
            <w:left w:w="0" w:type="dxa"/>
            <w:bottom w:w="0" w:type="dxa"/>
            <w:right w:w="0" w:type="dxa"/>
          </w:tblCellMar>
        </w:tblPrEx>
        <w:trPr>
          <w:trHeight w:val="432" w:hRule="atLeast"/>
        </w:trPr>
        <w:tc>
          <w:tcPr>
            <w:tcW w:w="9285"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shd w:val="clear" w:color="auto" w:fill="auto"/>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业务发展经费</w:t>
            </w:r>
          </w:p>
        </w:tc>
      </w:tr>
      <w:tr>
        <w:tblPrEx>
          <w:shd w:val="clear" w:color="auto" w:fill="auto"/>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西安市阎良区广播电视台</w:t>
            </w:r>
          </w:p>
        </w:tc>
      </w:tr>
      <w:tr>
        <w:tblPrEx>
          <w:shd w:val="clear" w:color="auto" w:fill="auto"/>
          <w:tblCellMar>
            <w:top w:w="0" w:type="dxa"/>
            <w:left w:w="0" w:type="dxa"/>
            <w:bottom w:w="0" w:type="dxa"/>
            <w:right w:w="0" w:type="dxa"/>
          </w:tblCellMar>
        </w:tblPrEx>
        <w:trPr>
          <w:trHeight w:val="6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shd w:val="clear" w:color="auto" w:fill="auto"/>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30</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27.93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93.1%</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30</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27.93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93.1%</w:t>
            </w:r>
          </w:p>
        </w:tc>
      </w:tr>
      <w:tr>
        <w:tblPrEx>
          <w:shd w:val="clear" w:color="auto" w:fill="auto"/>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shd w:val="clear" w:color="auto" w:fill="auto"/>
          <w:tblCellMar>
            <w:top w:w="0" w:type="dxa"/>
            <w:left w:w="0" w:type="dxa"/>
            <w:bottom w:w="0" w:type="dxa"/>
            <w:right w:w="0"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为电视台的正常运转与发展提供必要的人员、技术保障，以保障广播电视宣传和事业建设可持续发展。</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shd w:val="clear" w:color="auto" w:fill="auto"/>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指标1：临聘人员</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11人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指标2:播控设备购置更新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3台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指标3：摄录设备购置更新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3台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指标1：出勤率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指标2：验收合格率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指标1：出勤时间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指标2：购置时间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2019年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指标1：临聘人员工资</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24.2万元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指标2：播控设备购置更新支出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4.5万元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指标3：摄录设备购置更新支出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4.3万元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指标1：安全播出率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指标1：群众满意度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指标2：职工满意度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73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无</w:t>
            </w:r>
          </w:p>
        </w:tc>
      </w:tr>
    </w:tbl>
    <w:p>
      <w:pPr>
        <w:widowControl/>
        <w:jc w:val="left"/>
        <w:rPr>
          <w:rFonts w:hint="eastAsia" w:ascii="仿宋_GB2312" w:hAnsi="仿宋_GB2312" w:eastAsia="仿宋_GB2312" w:cs="仿宋_GB2312"/>
          <w:color w:val="000000"/>
          <w:kern w:val="0"/>
          <w:sz w:val="31"/>
          <w:szCs w:val="31"/>
          <w:lang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部门整体支出绩效自评表</w:t>
      </w: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（2019年度）</w:t>
      </w:r>
    </w:p>
    <w:tbl>
      <w:tblPr>
        <w:tblStyle w:val="5"/>
        <w:tblW w:w="15945" w:type="dxa"/>
        <w:tblInd w:w="0" w:type="dxa"/>
        <w:shd w:val="clear" w:color="auto" w:fill="auto"/>
        <w:tblLayout w:type="fixed"/>
        <w:tblCellMar>
          <w:top w:w="0" w:type="dxa"/>
          <w:left w:w="0" w:type="dxa"/>
          <w:bottom w:w="0" w:type="dxa"/>
          <w:right w:w="0" w:type="dxa"/>
        </w:tblCellMar>
      </w:tblPr>
      <w:tblGrid>
        <w:gridCol w:w="525"/>
        <w:gridCol w:w="541"/>
        <w:gridCol w:w="487"/>
        <w:gridCol w:w="290"/>
        <w:gridCol w:w="2001"/>
        <w:gridCol w:w="3250"/>
        <w:gridCol w:w="240"/>
        <w:gridCol w:w="710"/>
        <w:gridCol w:w="769"/>
        <w:gridCol w:w="412"/>
        <w:gridCol w:w="4527"/>
        <w:gridCol w:w="1595"/>
        <w:gridCol w:w="10"/>
        <w:gridCol w:w="588"/>
      </w:tblGrid>
      <w:tr>
        <w:tblPrEx>
          <w:tblCellMar>
            <w:top w:w="0" w:type="dxa"/>
            <w:left w:w="0" w:type="dxa"/>
            <w:bottom w:w="0" w:type="dxa"/>
            <w:right w:w="0" w:type="dxa"/>
          </w:tblCellMar>
        </w:tblPrEx>
        <w:trPr>
          <w:gridAfter w:val="1"/>
          <w:wAfter w:w="588" w:type="dxa"/>
          <w:trHeight w:val="450" w:hRule="atLeast"/>
        </w:trPr>
        <w:tc>
          <w:tcPr>
            <w:tcW w:w="3844"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填报单位:</w:t>
            </w:r>
            <w:r>
              <w:rPr>
                <w:rFonts w:hint="eastAsia" w:ascii="宋体" w:hAnsi="宋体" w:eastAsia="宋体" w:cs="宋体"/>
                <w:i w:val="0"/>
                <w:color w:val="000000"/>
                <w:sz w:val="20"/>
                <w:szCs w:val="20"/>
                <w:u w:val="none"/>
              </w:rPr>
              <w:t>西安市阎良区广播电视台</w:t>
            </w:r>
          </w:p>
        </w:tc>
        <w:tc>
          <w:tcPr>
            <w:tcW w:w="325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default" w:ascii="仿宋_GB2312" w:hAnsi="宋体" w:eastAsia="仿宋_GB2312" w:cs="仿宋_GB2312"/>
                <w:i w:val="0"/>
                <w:color w:val="000000"/>
                <w:kern w:val="0"/>
                <w:sz w:val="24"/>
                <w:szCs w:val="24"/>
                <w:u w:val="none"/>
                <w:lang w:val="en-US" w:eastAsia="zh-CN" w:bidi="ar"/>
              </w:rPr>
              <w:t>自评得分：</w:t>
            </w:r>
            <w:r>
              <w:rPr>
                <w:rFonts w:hint="eastAsia" w:ascii="仿宋_GB2312" w:hAnsi="宋体" w:eastAsia="仿宋_GB2312" w:cs="仿宋_GB2312"/>
                <w:i w:val="0"/>
                <w:color w:val="000000"/>
                <w:kern w:val="0"/>
                <w:sz w:val="24"/>
                <w:szCs w:val="24"/>
                <w:u w:val="none"/>
                <w:lang w:val="en-US" w:eastAsia="zh-CN" w:bidi="ar"/>
              </w:rPr>
              <w:t>96</w:t>
            </w:r>
          </w:p>
        </w:tc>
        <w:tc>
          <w:tcPr>
            <w:tcW w:w="24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71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769"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412"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45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0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2"/>
          <w:wAfter w:w="598" w:type="dxa"/>
          <w:trHeight w:val="450" w:hRule="atLeast"/>
        </w:trPr>
        <w:tc>
          <w:tcPr>
            <w:tcW w:w="3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（一）简要概述部门职能与职责。</w:t>
            </w:r>
          </w:p>
        </w:tc>
        <w:tc>
          <w:tcPr>
            <w:tcW w:w="1150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sz w:val="20"/>
                <w:szCs w:val="20"/>
                <w:u w:val="none"/>
              </w:rPr>
              <w:t>充分发挥广播电视的舆论导向作用，加大主旋律报道力度，围绕区委、区政府的中心工作开展新闻宣传，积极践行“三贴近”原则，为阎良的建设与发展提供有力的舆论保障和精神动力。</w:t>
            </w:r>
          </w:p>
        </w:tc>
      </w:tr>
      <w:tr>
        <w:tblPrEx>
          <w:tblCellMar>
            <w:top w:w="0" w:type="dxa"/>
            <w:left w:w="0" w:type="dxa"/>
            <w:bottom w:w="0" w:type="dxa"/>
            <w:right w:w="0" w:type="dxa"/>
          </w:tblCellMar>
        </w:tblPrEx>
        <w:trPr>
          <w:gridAfter w:val="2"/>
          <w:wAfter w:w="598" w:type="dxa"/>
          <w:trHeight w:val="450" w:hRule="atLeast"/>
        </w:trPr>
        <w:tc>
          <w:tcPr>
            <w:tcW w:w="3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（二）简要概述部门支出情况，按活动内容分类。</w:t>
            </w:r>
          </w:p>
        </w:tc>
        <w:tc>
          <w:tcPr>
            <w:tcW w:w="1150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其他文化旅游体育与传媒支出支出144万元、其他广播电视支出52.63万元、事业单位基本养老支出14.09万元、事业单位基本医疗支出3.5万元、电视支出10.75万元、其他新闻出版电影支出20.18万元。</w:t>
            </w:r>
          </w:p>
        </w:tc>
      </w:tr>
      <w:tr>
        <w:tblPrEx>
          <w:tblCellMar>
            <w:top w:w="0" w:type="dxa"/>
            <w:left w:w="0" w:type="dxa"/>
            <w:bottom w:w="0" w:type="dxa"/>
            <w:right w:w="0" w:type="dxa"/>
          </w:tblCellMar>
        </w:tblPrEx>
        <w:trPr>
          <w:gridAfter w:val="2"/>
          <w:wAfter w:w="598" w:type="dxa"/>
          <w:trHeight w:val="450" w:hRule="atLeast"/>
        </w:trPr>
        <w:tc>
          <w:tcPr>
            <w:tcW w:w="3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（三）简要概述当年市委市政府下达的重点工作。</w:t>
            </w:r>
          </w:p>
        </w:tc>
        <w:tc>
          <w:tcPr>
            <w:tcW w:w="1150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588" w:type="dxa"/>
          <w:trHeight w:val="1458"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gridAfter w:val="1"/>
          <w:wAfter w:w="588" w:type="dxa"/>
          <w:trHeight w:val="67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投入</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预算执行（25分）</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完成率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（10分）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320" w:leftChars="-100" w:firstLine="0" w:firstLineChars="0"/>
              <w:jc w:val="left"/>
              <w:textAlignment w:val="center"/>
              <w:rPr>
                <w:rFonts w:hint="default" w:ascii="楷体_GB2312" w:hAnsi="宋体" w:eastAsia="楷体_GB2312" w:cs="楷体_GB2312"/>
                <w:i w:val="0"/>
                <w:color w:val="000000"/>
                <w:kern w:val="0"/>
                <w:sz w:val="20"/>
                <w:szCs w:val="20"/>
                <w:u w:val="none"/>
                <w:lang w:val="en-US" w:eastAsia="zh-CN" w:bidi="ar"/>
              </w:rPr>
            </w:pPr>
            <w:r>
              <w:rPr>
                <w:rFonts w:hint="default" w:ascii="楷体_GB2312" w:hAnsi="宋体" w:eastAsia="楷体_GB2312" w:cs="楷体_GB2312"/>
                <w:i w:val="0"/>
                <w:color w:val="000000"/>
                <w:kern w:val="0"/>
                <w:sz w:val="20"/>
                <w:szCs w:val="20"/>
                <w:u w:val="none"/>
                <w:lang w:val="en-US" w:eastAsia="zh-CN" w:bidi="ar"/>
              </w:rPr>
              <w:t>预算完成率＝100%的，得10分。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预算完成率≥95%的，得9分。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预算完成率在90%（含）和95%之间，得8分。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预算完成率在85%（含）和90%之间，得7分。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预算完成率在80%（含）和85%之间，得6分。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预算完成率在70%（含）和80%之间，</w:t>
            </w:r>
          </w:p>
          <w:p>
            <w:pPr>
              <w:bidi w:val="0"/>
              <w:ind w:right="-214" w:rightChars="-67"/>
              <w:jc w:val="left"/>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得4分。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预算完成率＜70%的，得0分。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172.54%</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588" w:type="dxa"/>
          <w:trHeight w:val="227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预算包括一般公共预算与政府性基金预算。</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预算调整率绝对值≤5%，得5分。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172.54%</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调整数均为</w:t>
            </w:r>
            <w:r>
              <w:rPr>
                <w:rFonts w:hint="default" w:ascii="楷体_GB2312" w:hAnsi="宋体" w:eastAsia="楷体_GB2312" w:cs="楷体_GB2312"/>
                <w:i w:val="0"/>
                <w:color w:val="000000"/>
                <w:kern w:val="0"/>
                <w:sz w:val="20"/>
                <w:szCs w:val="20"/>
                <w:u w:val="none"/>
                <w:lang w:val="en-US" w:eastAsia="zh-CN" w:bidi="ar"/>
              </w:rPr>
              <w:t>本年度内涉及预算的追加、追减或结构调整的资金</w:t>
            </w:r>
            <w:r>
              <w:rPr>
                <w:rFonts w:hint="eastAsia" w:ascii="楷体_GB2312" w:hAnsi="宋体" w:eastAsia="楷体_GB2312" w:cs="楷体_GB2312"/>
                <w:i w:val="0"/>
                <w:color w:val="000000"/>
                <w:kern w:val="0"/>
                <w:sz w:val="20"/>
                <w:szCs w:val="20"/>
                <w:u w:val="none"/>
                <w:lang w:val="en-US" w:eastAsia="zh-CN" w:bidi="ar"/>
              </w:rPr>
              <w:t>。</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588" w:type="dxa"/>
          <w:trHeight w:val="1271"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gridAfter w:val="1"/>
          <w:wAfter w:w="588" w:type="dxa"/>
          <w:trHeight w:val="906"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投入</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预算执行（25分）</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支出进度率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172.54%</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shd w:val="clear" w:color="auto" w:fill="auto"/>
          <w:tblCellMar>
            <w:top w:w="0" w:type="dxa"/>
            <w:left w:w="0" w:type="dxa"/>
            <w:bottom w:w="0" w:type="dxa"/>
            <w:right w:w="0" w:type="dxa"/>
          </w:tblCellMar>
        </w:tblPrEx>
        <w:trPr>
          <w:gridAfter w:val="1"/>
          <w:wAfter w:w="588" w:type="dxa"/>
          <w:trHeight w:val="834"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预算编制准确率（5分）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预算编制准确率≤20%，得5分。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预算编制准确率在20%和40%（含）之间，得3分。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预算编制准确率＞40%，得0分。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部门预算中无除财政拨款其他收入</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588" w:type="dxa"/>
          <w:trHeight w:val="1139"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过程</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预算管理（15分）</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kern w:val="0"/>
                <w:sz w:val="20"/>
                <w:szCs w:val="20"/>
                <w:u w:val="none"/>
                <w:lang w:val="en-US" w:eastAsia="zh-CN" w:bidi="ar"/>
              </w:rPr>
              <w:t>50</w:t>
            </w:r>
            <w:r>
              <w:rPr>
                <w:rFonts w:hint="eastAsia" w:ascii="楷体_GB2312" w:hAnsi="宋体" w:eastAsia="楷体_GB2312" w:cs="楷体_GB2312"/>
                <w:i w:val="0"/>
                <w:color w:val="000000"/>
                <w:sz w:val="20"/>
                <w:szCs w:val="20"/>
                <w:u w:val="none"/>
                <w:lang w:val="en-US" w:eastAsia="zh-CN"/>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eastAsia" w:ascii="楷体_GB2312" w:hAnsi="宋体" w:eastAsia="楷体_GB2312" w:cs="楷体_GB2312"/>
                <w:i w:val="0"/>
                <w:color w:val="000000"/>
                <w:sz w:val="20"/>
                <w:szCs w:val="20"/>
                <w:u w:val="none"/>
                <w:lang w:val="en-US" w:eastAsia="zh-CN"/>
              </w:rPr>
              <w:t>0%</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588" w:type="dxa"/>
          <w:trHeight w:val="17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资产管理规范性</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right="342" w:rightChars="107"/>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1.新增资产配置按预算执行。</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2.资产有偿使用、处置按规定程序审批。</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3.资产收益及时、足额上缴财政。</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全部符合5分，有1项不符扣2分,扣完为止。</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rPr>
            </w:pPr>
            <w:r>
              <w:rPr>
                <w:rFonts w:hint="eastAsia" w:ascii="楷体_GB2312" w:hAnsi="宋体" w:eastAsia="楷体_GB2312" w:cs="楷体_GB2312"/>
                <w:i w:val="0"/>
                <w:color w:val="000000"/>
                <w:sz w:val="20"/>
                <w:szCs w:val="20"/>
                <w:u w:val="none"/>
                <w:lang w:val="en-US" w:eastAsia="zh-CN"/>
              </w:rPr>
              <w:t>部门决算、2019年资产年报</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4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588" w:type="dxa"/>
          <w:trHeight w:val="90" w:hRule="atLeast"/>
        </w:trPr>
        <w:tc>
          <w:tcPr>
            <w:tcW w:w="525" w:type="dxa"/>
            <w:tcBorders>
              <w:top w:val="nil"/>
              <w:left w:val="nil"/>
              <w:bottom w:val="nil"/>
              <w:right w:val="nil"/>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541"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487" w:type="dxa"/>
            <w:tcBorders>
              <w:top w:val="nil"/>
              <w:left w:val="nil"/>
              <w:bottom w:val="nil"/>
              <w:right w:val="nil"/>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29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2001" w:type="dxa"/>
            <w:tcBorders>
              <w:top w:val="nil"/>
              <w:left w:val="nil"/>
              <w:bottom w:val="nil"/>
              <w:right w:val="nil"/>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3250"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240"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10"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69"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412" w:type="dxa"/>
            <w:tcBorders>
              <w:top w:val="nil"/>
              <w:left w:val="nil"/>
              <w:bottom w:val="nil"/>
              <w:right w:val="nil"/>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45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0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588" w:type="dxa"/>
          <w:trHeight w:val="143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gridAfter w:val="1"/>
          <w:wAfter w:w="588" w:type="dxa"/>
          <w:trHeight w:val="2786"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过程</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预算管理（15分）</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资金使用合规性</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2.资金的拨付有完整的审批程序和手续；</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3.重大项目开支经过评估论证；</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4.符合部门预算批复的用途；</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5.不存在截留、挤占、挪用、虚列支出等情况。</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全部符合5分,有1项不符扣2分。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内部控制报告</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4</w:t>
            </w:r>
          </w:p>
        </w:tc>
        <w:tc>
          <w:tcPr>
            <w:tcW w:w="4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部分财务制度未及时更新</w:t>
            </w:r>
          </w:p>
          <w:p>
            <w:pPr>
              <w:rPr>
                <w:rFonts w:hint="default" w:ascii="宋体" w:hAnsi="宋体" w:eastAsia="宋体" w:cs="宋体"/>
                <w:i w:val="0"/>
                <w:color w:val="000000"/>
                <w:sz w:val="24"/>
                <w:szCs w:val="24"/>
                <w:u w:val="none"/>
                <w:lang w:val="en-US" w:eastAsia="zh-CN"/>
              </w:rPr>
            </w:pPr>
            <w:r>
              <w:rPr>
                <w:rFonts w:hint="eastAsia" w:ascii="仿宋" w:hAnsi="仿宋" w:eastAsia="仿宋" w:cs="仿宋"/>
                <w:color w:val="000000"/>
                <w:sz w:val="21"/>
                <w:szCs w:val="21"/>
              </w:rPr>
              <w:t>完善相关管理制度，使制度与执行相统一</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gridAfter w:val="1"/>
          <w:wAfter w:w="588" w:type="dxa"/>
          <w:trHeight w:val="163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效果</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履职尽责（60分）</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项目产出</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（40分）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40</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3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18"/>
                <w:szCs w:val="18"/>
                <w:u w:val="none"/>
                <w:lang w:val="en-US" w:eastAsia="zh-CN"/>
              </w:rPr>
            </w:pPr>
            <w:r>
              <w:rPr>
                <w:rFonts w:hint="eastAsia" w:ascii="楷体_GB2312" w:hAnsi="宋体" w:eastAsia="楷体_GB2312" w:cs="楷体_GB2312"/>
                <w:i w:val="0"/>
                <w:color w:val="000000"/>
                <w:sz w:val="18"/>
                <w:szCs w:val="18"/>
                <w:u w:val="none"/>
                <w:lang w:val="en-US" w:eastAsia="zh-CN"/>
              </w:rPr>
              <w:t>38</w:t>
            </w:r>
          </w:p>
        </w:tc>
        <w:tc>
          <w:tcPr>
            <w:tcW w:w="4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18"/>
                <w:szCs w:val="18"/>
                <w:u w:val="none"/>
                <w:lang w:val="en-US" w:eastAsia="zh-CN"/>
              </w:rPr>
            </w:pPr>
            <w:r>
              <w:rPr>
                <w:rFonts w:hint="eastAsia" w:ascii="仿宋" w:hAnsi="仿宋" w:eastAsia="仿宋" w:cs="仿宋"/>
                <w:i w:val="0"/>
                <w:color w:val="000000"/>
                <w:sz w:val="21"/>
                <w:szCs w:val="21"/>
                <w:u w:val="none"/>
                <w:lang w:val="en-US" w:eastAsia="zh-CN"/>
              </w:rPr>
              <w:t>控制预算</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588" w:type="dxa"/>
          <w:trHeight w:val="71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项目效益</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（20分）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3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19</w:t>
            </w:r>
          </w:p>
        </w:tc>
        <w:tc>
          <w:tcPr>
            <w:tcW w:w="4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r>
              <w:rPr>
                <w:rFonts w:hint="eastAsia" w:ascii="仿宋" w:hAnsi="仿宋" w:eastAsia="仿宋" w:cs="仿宋"/>
                <w:color w:val="000000"/>
                <w:sz w:val="21"/>
                <w:szCs w:val="21"/>
                <w:lang w:val="en-US" w:eastAsia="zh-CN"/>
              </w:rPr>
              <w:t>公众宣传平台评论量、点击率不够活跃。</w:t>
            </w:r>
            <w:r>
              <w:rPr>
                <w:rFonts w:hint="eastAsia" w:ascii="仿宋_GB2312" w:eastAsia="仿宋_GB2312"/>
                <w:color w:val="000000"/>
                <w:sz w:val="21"/>
                <w:szCs w:val="21"/>
              </w:rPr>
              <w:t>分发挥广播电视的舆论导向作用，</w:t>
            </w:r>
            <w:r>
              <w:rPr>
                <w:rFonts w:hint="eastAsia" w:ascii="仿宋" w:hAnsi="仿宋" w:eastAsia="仿宋" w:cs="仿宋"/>
                <w:color w:val="000000"/>
                <w:sz w:val="21"/>
                <w:szCs w:val="21"/>
                <w:lang w:val="en-US" w:eastAsia="zh-CN"/>
              </w:rPr>
              <w:t xml:space="preserve"> 加大宣传力度。</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395" w:hRule="atLeast"/>
        </w:trPr>
        <w:tc>
          <w:tcPr>
            <w:tcW w:w="1594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sectPr>
          <w:pgSz w:w="16838" w:h="11906" w:orient="landscape"/>
          <w:pgMar w:top="1800" w:right="678"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olor w:val="000000"/>
          <w:kern w:val="0"/>
          <w:sz w:val="32"/>
          <w:szCs w:val="32"/>
          <w:lang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示例：</w:t>
      </w: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7.72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52.63</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681.74</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44.91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功能科目调整。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宋体" w:eastAsia="仿宋_GB2312" w:cs="宋体"/>
          <w:szCs w:val="32"/>
        </w:rPr>
        <w:t>单位价值</w:t>
      </w:r>
      <w:r>
        <w:rPr>
          <w:rFonts w:hint="eastAsia" w:ascii="仿宋_GB2312" w:hAnsi="宋体" w:eastAsia="仿宋_GB2312" w:cs="宋体"/>
          <w:szCs w:val="32"/>
          <w:lang w:val="en-US" w:eastAsia="zh-CN"/>
        </w:rPr>
        <w:t>20</w:t>
      </w:r>
      <w:r>
        <w:rPr>
          <w:rFonts w:hint="eastAsia" w:ascii="仿宋_GB2312" w:hAnsi="宋体" w:eastAsia="仿宋_GB2312" w:cs="宋体"/>
          <w:szCs w:val="32"/>
        </w:rPr>
        <w:t>万元以上大型设备</w:t>
      </w:r>
      <w:r>
        <w:rPr>
          <w:rFonts w:hint="eastAsia" w:ascii="仿宋_GB2312" w:hAnsi="宋体" w:eastAsia="仿宋_GB2312" w:cs="宋体"/>
          <w:szCs w:val="32"/>
          <w:lang w:val="en-US" w:eastAsia="zh-CN"/>
        </w:rPr>
        <w:t>1</w:t>
      </w:r>
      <w:r>
        <w:rPr>
          <w:rFonts w:hint="eastAsia" w:ascii="仿宋_GB2312" w:hAnsi="宋体" w:eastAsia="仿宋_GB2312" w:cs="宋体"/>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6"/>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 w:hAnsi="仿宋" w:eastAsia="仿宋"/>
          <w:color w:val="00000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 w:hAnsi="仿宋" w:eastAsia="仿宋"/>
          <w:b w:val="0"/>
          <w:bCs/>
          <w:color w:val="000000"/>
          <w:sz w:val="32"/>
          <w:szCs w:val="32"/>
          <w:lang w:val="en-US" w:eastAsia="zh-CN"/>
        </w:rPr>
      </w:pPr>
    </w:p>
    <w:p>
      <w:pPr>
        <w:pStyle w:val="4"/>
        <w:shd w:val="clear" w:color="auto" w:fill="FFFFFF"/>
        <w:spacing w:before="0" w:beforeAutospacing="0" w:after="0" w:afterAutospacing="0" w:line="550" w:lineRule="exact"/>
        <w:ind w:firstLine="320" w:firstLineChars="100"/>
        <w:rPr>
          <w:rFonts w:hint="eastAsia" w:ascii="仿宋" w:hAnsi="仿宋" w:eastAsia="仿宋"/>
          <w:color w:val="000000"/>
          <w:sz w:val="32"/>
          <w:szCs w:val="32"/>
          <w:lang w:val="en-US" w:eastAsia="zh-CN"/>
        </w:rPr>
      </w:pPr>
    </w:p>
    <w:p>
      <w:pPr>
        <w:pStyle w:val="4"/>
        <w:shd w:val="clear" w:color="auto" w:fill="FFFFFF"/>
        <w:spacing w:before="0" w:beforeAutospacing="0" w:after="0" w:afterAutospacing="0" w:line="550" w:lineRule="exact"/>
        <w:ind w:firstLine="320" w:firstLineChars="100"/>
        <w:rPr>
          <w:rFonts w:hint="eastAsia" w:ascii="仿宋" w:hAnsi="仿宋" w:eastAsia="仿宋"/>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widowControl/>
        <w:jc w:val="center"/>
        <w:rPr>
          <w:rFonts w:hint="eastAsia" w:ascii="黑体" w:hAnsi="宋体" w:eastAsia="黑体"/>
          <w:color w:val="000000"/>
          <w:kern w:val="0"/>
          <w:sz w:val="44"/>
          <w:szCs w:val="44"/>
        </w:rPr>
      </w:pPr>
    </w:p>
    <w:p>
      <w:pPr>
        <w:spacing w:line="560" w:lineRule="exact"/>
        <w:ind w:firstLine="640" w:firstLineChars="200"/>
        <w:rPr>
          <w:rFonts w:hint="eastAsia" w:ascii="仿宋_GB2312" w:hAnsi="华文仿宋" w:eastAsia="仿宋_GB2312" w:cs="华文仿宋"/>
          <w:szCs w:val="32"/>
          <w:lang w:eastAsia="zh-CN"/>
        </w:rPr>
      </w:pPr>
    </w:p>
    <w:p>
      <w:pPr>
        <w:pStyle w:val="4"/>
        <w:shd w:val="clear" w:color="auto" w:fill="FFFFFF"/>
        <w:spacing w:before="0" w:beforeAutospacing="0" w:after="0" w:afterAutospacing="0" w:line="240" w:lineRule="auto"/>
        <w:ind w:firstLine="640" w:firstLineChars="200"/>
        <w:jc w:val="center"/>
        <w:rPr>
          <w:rFonts w:hint="eastAsia" w:ascii="仿宋_GB2312" w:hAnsi="华文仿宋" w:eastAsia="仿宋_GB2312" w:cs="华文仿宋"/>
          <w:sz w:val="32"/>
          <w:szCs w:val="32"/>
          <w:lang w:val="en-US" w:eastAsia="zh-CN"/>
        </w:rPr>
      </w:pPr>
    </w:p>
    <w:p>
      <w:pPr>
        <w:pStyle w:val="4"/>
        <w:numPr>
          <w:ilvl w:val="0"/>
          <w:numId w:val="0"/>
        </w:numPr>
        <w:spacing w:before="0" w:beforeAutospacing="0" w:after="0" w:afterAutospacing="0" w:line="240" w:lineRule="auto"/>
        <w:ind w:leftChars="200"/>
        <w:rPr>
          <w:rFonts w:hint="eastAsia" w:ascii="仿宋_GB2312" w:eastAsia="仿宋_GB2312"/>
          <w:sz w:val="32"/>
          <w:szCs w:val="32"/>
          <w:lang w:val="en-US" w:eastAsia="zh-CN"/>
        </w:rPr>
      </w:pPr>
    </w:p>
    <w:p>
      <w:pPr>
        <w:pStyle w:val="4"/>
        <w:shd w:val="clear" w:color="auto" w:fill="FFFFFF"/>
        <w:spacing w:before="0" w:beforeAutospacing="0" w:after="0" w:afterAutospacing="0" w:line="550" w:lineRule="exact"/>
        <w:ind w:firstLine="640" w:firstLineChars="200"/>
        <w:rPr>
          <w:rFonts w:hint="eastAsia" w:ascii="仿宋" w:hAnsi="仿宋" w:eastAsia="仿宋"/>
          <w:color w:val="000000"/>
          <w:sz w:val="32"/>
          <w:szCs w:val="32"/>
          <w:lang w:val="en-US" w:eastAsia="zh-CN"/>
        </w:rPr>
      </w:pPr>
    </w:p>
    <w:p>
      <w:pPr>
        <w:spacing w:line="560" w:lineRule="exact"/>
        <w:rPr>
          <w:rFonts w:ascii="华文仿宋" w:hAnsi="华文仿宋" w:eastAsia="华文仿宋" w:cs="华文仿宋"/>
          <w:szCs w:val="32"/>
        </w:rPr>
      </w:pPr>
    </w:p>
    <w:p>
      <w:pPr>
        <w:spacing w:line="560" w:lineRule="exact"/>
        <w:rPr>
          <w:rFonts w:ascii="华文仿宋" w:hAnsi="华文仿宋" w:eastAsia="华文仿宋" w:cs="华文仿宋"/>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37A7E"/>
    <w:multiLevelType w:val="singleLevel"/>
    <w:tmpl w:val="A4037A7E"/>
    <w:lvl w:ilvl="0" w:tentative="0">
      <w:start w:val="2"/>
      <w:numFmt w:val="chineseCounting"/>
      <w:suff w:val="space"/>
      <w:lvlText w:val="第%1部分"/>
      <w:lvlJc w:val="left"/>
      <w:rPr>
        <w:rFonts w:hint="eastAsia"/>
      </w:rPr>
    </w:lvl>
  </w:abstractNum>
  <w:abstractNum w:abstractNumId="1">
    <w:nsid w:val="FB1C1F01"/>
    <w:multiLevelType w:val="singleLevel"/>
    <w:tmpl w:val="FB1C1F01"/>
    <w:lvl w:ilvl="0" w:tentative="0">
      <w:start w:val="3"/>
      <w:numFmt w:val="chineseCounting"/>
      <w:suff w:val="nothing"/>
      <w:lvlText w:val="（%1）"/>
      <w:lvlJc w:val="left"/>
      <w:rPr>
        <w:rFonts w:hint="eastAsia"/>
      </w:rPr>
    </w:lvl>
  </w:abstractNum>
  <w:abstractNum w:abstractNumId="2">
    <w:nsid w:val="37CAD716"/>
    <w:multiLevelType w:val="singleLevel"/>
    <w:tmpl w:val="37CAD716"/>
    <w:lvl w:ilvl="0" w:tentative="0">
      <w:start w:val="3"/>
      <w:numFmt w:val="chineseCounting"/>
      <w:suff w:val="nothing"/>
      <w:lvlText w:val="%1、"/>
      <w:lvlJc w:val="left"/>
      <w:rPr>
        <w:rFonts w:hint="eastAsia"/>
      </w:rPr>
    </w:lvl>
  </w:abstractNum>
  <w:abstractNum w:abstractNumId="3">
    <w:nsid w:val="39BEA4A8"/>
    <w:multiLevelType w:val="singleLevel"/>
    <w:tmpl w:val="39BEA4A8"/>
    <w:lvl w:ilvl="0" w:tentative="0">
      <w:start w:val="4"/>
      <w:numFmt w:val="chineseCounting"/>
      <w:suff w:val="space"/>
      <w:lvlText w:val="第%1部分"/>
      <w:lvlJc w:val="left"/>
      <w:rPr>
        <w:rFonts w:hint="eastAsia"/>
      </w:rPr>
    </w:lvl>
  </w:abstractNum>
  <w:abstractNum w:abstractNumId="4">
    <w:nsid w:val="57E88EE4"/>
    <w:multiLevelType w:val="singleLevel"/>
    <w:tmpl w:val="57E88EE4"/>
    <w:lvl w:ilvl="0" w:tentative="0">
      <w:start w:val="7"/>
      <w:numFmt w:val="chineseCounting"/>
      <w:suff w:val="nothing"/>
      <w:lvlText w:val="%1、"/>
      <w:lvlJc w:val="left"/>
      <w:rPr>
        <w:rFonts w:hint="eastAsia"/>
      </w:rPr>
    </w:lvl>
  </w:abstractNum>
  <w:abstractNum w:abstractNumId="5">
    <w:nsid w:val="5F65E823"/>
    <w:multiLevelType w:val="singleLevel"/>
    <w:tmpl w:val="5F65E823"/>
    <w:lvl w:ilvl="0" w:tentative="0">
      <w:start w:val="1"/>
      <w:numFmt w:val="decimal"/>
      <w:suff w:val="nothing"/>
      <w:lvlText w:val="（%1）"/>
      <w:lvlJc w:val="left"/>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2"/>
    <w:rsid w:val="00101E02"/>
    <w:rsid w:val="00270E51"/>
    <w:rsid w:val="002A4E14"/>
    <w:rsid w:val="00353F12"/>
    <w:rsid w:val="003E3DDC"/>
    <w:rsid w:val="004D2445"/>
    <w:rsid w:val="00621588"/>
    <w:rsid w:val="00704FEE"/>
    <w:rsid w:val="009A55D8"/>
    <w:rsid w:val="00A12C31"/>
    <w:rsid w:val="00B55CD7"/>
    <w:rsid w:val="00DE3D63"/>
    <w:rsid w:val="00EB33B0"/>
    <w:rsid w:val="015D58FD"/>
    <w:rsid w:val="017E5686"/>
    <w:rsid w:val="01C746C6"/>
    <w:rsid w:val="01CD2E4F"/>
    <w:rsid w:val="0213663B"/>
    <w:rsid w:val="02D5467C"/>
    <w:rsid w:val="065B5C1D"/>
    <w:rsid w:val="06910EAA"/>
    <w:rsid w:val="06C109AE"/>
    <w:rsid w:val="08C22F4B"/>
    <w:rsid w:val="0A0E1646"/>
    <w:rsid w:val="0CAF4337"/>
    <w:rsid w:val="0DB43289"/>
    <w:rsid w:val="0F2029C0"/>
    <w:rsid w:val="0F870265"/>
    <w:rsid w:val="13403F7B"/>
    <w:rsid w:val="139A1695"/>
    <w:rsid w:val="15DA3173"/>
    <w:rsid w:val="17B70A56"/>
    <w:rsid w:val="18F871F4"/>
    <w:rsid w:val="1A3031D1"/>
    <w:rsid w:val="1B420A1D"/>
    <w:rsid w:val="1C287AD1"/>
    <w:rsid w:val="1C3856CA"/>
    <w:rsid w:val="1C624DF0"/>
    <w:rsid w:val="1C9C50D6"/>
    <w:rsid w:val="1DF94D4F"/>
    <w:rsid w:val="1E5875C0"/>
    <w:rsid w:val="1F86612B"/>
    <w:rsid w:val="21FD5768"/>
    <w:rsid w:val="231827EB"/>
    <w:rsid w:val="236F6773"/>
    <w:rsid w:val="23F77372"/>
    <w:rsid w:val="27562765"/>
    <w:rsid w:val="28DE08C7"/>
    <w:rsid w:val="298C6F01"/>
    <w:rsid w:val="299C7739"/>
    <w:rsid w:val="2AB117E3"/>
    <w:rsid w:val="2C6C60E8"/>
    <w:rsid w:val="2E6318DB"/>
    <w:rsid w:val="2EAB02B8"/>
    <w:rsid w:val="2EF528EB"/>
    <w:rsid w:val="2F5572B1"/>
    <w:rsid w:val="30A92898"/>
    <w:rsid w:val="3159166E"/>
    <w:rsid w:val="316F0D5B"/>
    <w:rsid w:val="348A2841"/>
    <w:rsid w:val="3548736E"/>
    <w:rsid w:val="358F595E"/>
    <w:rsid w:val="389306C4"/>
    <w:rsid w:val="392F2682"/>
    <w:rsid w:val="3A4D5ED6"/>
    <w:rsid w:val="3AB74E89"/>
    <w:rsid w:val="3D2952B9"/>
    <w:rsid w:val="3DF939EF"/>
    <w:rsid w:val="3F7C3B40"/>
    <w:rsid w:val="41EC1ECC"/>
    <w:rsid w:val="42BA0293"/>
    <w:rsid w:val="45714E4D"/>
    <w:rsid w:val="4616370B"/>
    <w:rsid w:val="49391BC4"/>
    <w:rsid w:val="4AD810C6"/>
    <w:rsid w:val="4BAE579B"/>
    <w:rsid w:val="4C1464B3"/>
    <w:rsid w:val="4C2059BB"/>
    <w:rsid w:val="4C4A388C"/>
    <w:rsid w:val="4C8700EB"/>
    <w:rsid w:val="4CF80250"/>
    <w:rsid w:val="4DF92132"/>
    <w:rsid w:val="4F104EB8"/>
    <w:rsid w:val="4F3B1704"/>
    <w:rsid w:val="4FFC73B1"/>
    <w:rsid w:val="52163EC0"/>
    <w:rsid w:val="52466641"/>
    <w:rsid w:val="526D5775"/>
    <w:rsid w:val="529C1EDE"/>
    <w:rsid w:val="52D21252"/>
    <w:rsid w:val="52FE0B23"/>
    <w:rsid w:val="532D05C1"/>
    <w:rsid w:val="53646FB6"/>
    <w:rsid w:val="538C0094"/>
    <w:rsid w:val="551A6AEC"/>
    <w:rsid w:val="55700C69"/>
    <w:rsid w:val="55E61F1B"/>
    <w:rsid w:val="56DC0CE8"/>
    <w:rsid w:val="571F679D"/>
    <w:rsid w:val="57BC2E39"/>
    <w:rsid w:val="589E147F"/>
    <w:rsid w:val="5BE64336"/>
    <w:rsid w:val="5C5E4D31"/>
    <w:rsid w:val="5CDE040F"/>
    <w:rsid w:val="5D8D1A43"/>
    <w:rsid w:val="5E440D48"/>
    <w:rsid w:val="5EC0571F"/>
    <w:rsid w:val="5F601153"/>
    <w:rsid w:val="60CA1F9A"/>
    <w:rsid w:val="62572A73"/>
    <w:rsid w:val="62791935"/>
    <w:rsid w:val="62BE432C"/>
    <w:rsid w:val="62DD6723"/>
    <w:rsid w:val="63EF275F"/>
    <w:rsid w:val="63F275F0"/>
    <w:rsid w:val="63FB1E6F"/>
    <w:rsid w:val="64631A8D"/>
    <w:rsid w:val="64B012DD"/>
    <w:rsid w:val="65BA110E"/>
    <w:rsid w:val="66975563"/>
    <w:rsid w:val="69CB374A"/>
    <w:rsid w:val="6A59679C"/>
    <w:rsid w:val="6A923491"/>
    <w:rsid w:val="6B75717C"/>
    <w:rsid w:val="6CE41E90"/>
    <w:rsid w:val="6D130BA7"/>
    <w:rsid w:val="6E6F3391"/>
    <w:rsid w:val="6EF21EFC"/>
    <w:rsid w:val="706B399A"/>
    <w:rsid w:val="74983629"/>
    <w:rsid w:val="75DF75A3"/>
    <w:rsid w:val="767B250F"/>
    <w:rsid w:val="796E7003"/>
    <w:rsid w:val="79C044BF"/>
    <w:rsid w:val="79C8501E"/>
    <w:rsid w:val="7A6B5A95"/>
    <w:rsid w:val="7A9E3890"/>
    <w:rsid w:val="7B173E06"/>
    <w:rsid w:val="7B254CC5"/>
    <w:rsid w:val="7B642AAB"/>
    <w:rsid w:val="7B800A50"/>
    <w:rsid w:val="7CA51292"/>
    <w:rsid w:val="7CC57794"/>
    <w:rsid w:val="7CCD0619"/>
    <w:rsid w:val="7DDC217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4">
    <w:name w:val="Normal (Web)"/>
    <w:basedOn w:val="1"/>
    <w:next w:val="3"/>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99"/>
    <w:rPr>
      <w:rFonts w:cs="Times New Roman"/>
      <w:b/>
      <w:bCs/>
    </w:rPr>
  </w:style>
  <w:style w:type="character" w:customStyle="1" w:styleId="8">
    <w:name w:val="Footer Char"/>
    <w:basedOn w:val="6"/>
    <w:link w:val="2"/>
    <w:semiHidden/>
    <w:qFormat/>
    <w:locked/>
    <w:uiPriority w:val="99"/>
    <w:rPr>
      <w:rFonts w:cs="Times New Roman"/>
      <w:sz w:val="18"/>
      <w:szCs w:val="18"/>
    </w:rPr>
  </w:style>
  <w:style w:type="character" w:customStyle="1" w:styleId="9">
    <w:name w:val="Header Char"/>
    <w:basedOn w:val="6"/>
    <w:link w:val="3"/>
    <w:semiHidden/>
    <w:qFormat/>
    <w:locked/>
    <w:uiPriority w:val="99"/>
    <w:rPr>
      <w:rFonts w:cs="Times New Roman"/>
      <w:sz w:val="18"/>
      <w:szCs w:val="18"/>
    </w:rPr>
  </w:style>
  <w:style w:type="character" w:customStyle="1" w:styleId="10">
    <w:name w:val="font71"/>
    <w:basedOn w:val="6"/>
    <w:qFormat/>
    <w:uiPriority w:val="0"/>
    <w:rPr>
      <w:rFonts w:hint="eastAsia" w:ascii="宋体" w:hAnsi="宋体" w:eastAsia="宋体" w:cs="宋体"/>
      <w:b/>
      <w:color w:val="000000"/>
      <w:sz w:val="32"/>
      <w:szCs w:val="32"/>
      <w:u w:val="none"/>
    </w:rPr>
  </w:style>
  <w:style w:type="character" w:customStyle="1" w:styleId="11">
    <w:name w:val="font41"/>
    <w:basedOn w:val="6"/>
    <w:qFormat/>
    <w:uiPriority w:val="0"/>
    <w:rPr>
      <w:rFonts w:hint="eastAsia" w:ascii="宋体" w:hAnsi="宋体" w:eastAsia="宋体" w:cs="宋体"/>
      <w:color w:val="000000"/>
      <w:sz w:val="32"/>
      <w:szCs w:val="32"/>
      <w:u w:val="none"/>
    </w:rPr>
  </w:style>
  <w:style w:type="character" w:customStyle="1" w:styleId="12">
    <w:name w:val="font11"/>
    <w:basedOn w:val="6"/>
    <w:qFormat/>
    <w:uiPriority w:val="0"/>
    <w:rPr>
      <w:rFonts w:hint="eastAsia" w:ascii="宋体" w:hAnsi="宋体" w:eastAsia="宋体" w:cs="宋体"/>
      <w:color w:val="000000"/>
      <w:sz w:val="20"/>
      <w:szCs w:val="20"/>
      <w:u w:val="none"/>
    </w:rPr>
  </w:style>
  <w:style w:type="character" w:customStyle="1" w:styleId="13">
    <w:name w:val="font01"/>
    <w:basedOn w:val="6"/>
    <w:qFormat/>
    <w:uiPriority w:val="0"/>
    <w:rPr>
      <w:rFonts w:hint="eastAsia" w:ascii="宋体" w:hAnsi="宋体" w:eastAsia="宋体" w:cs="宋体"/>
      <w:color w:val="000000"/>
      <w:sz w:val="20"/>
      <w:szCs w:val="20"/>
      <w:u w:val="none"/>
    </w:rPr>
  </w:style>
  <w:style w:type="character" w:customStyle="1" w:styleId="14">
    <w:name w:val="font101"/>
    <w:basedOn w:val="6"/>
    <w:qFormat/>
    <w:uiPriority w:val="0"/>
    <w:rPr>
      <w:rFonts w:hint="eastAsia" w:ascii="宋体" w:hAnsi="宋体" w:eastAsia="宋体" w:cs="宋体"/>
      <w:color w:val="000000"/>
      <w:sz w:val="18"/>
      <w:szCs w:val="18"/>
      <w:u w:val="none"/>
    </w:rPr>
  </w:style>
  <w:style w:type="character" w:customStyle="1" w:styleId="15">
    <w:name w:val="font5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Pages>
  <Words>455</Words>
  <Characters>2595</Characters>
  <Lines>0</Lines>
  <Paragraphs>0</Paragraphs>
  <TotalTime>11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王圈圈</cp:lastModifiedBy>
  <cp:lastPrinted>2020-10-20T07:46:00Z</cp:lastPrinted>
  <dcterms:modified xsi:type="dcterms:W3CDTF">2021-05-12T08:02:12Z</dcterms:modified>
  <dc:title>XX(部门)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A55AC6D5013940E9984737A255743093</vt:lpwstr>
  </property>
</Properties>
</file>