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jc w:val="center"/>
        <w:rPr>
          <w:rStyle w:val="10"/>
          <w:rFonts w:ascii="方正小标宋简体" w:hAnsi="方正小标宋简体" w:eastAsia="方正小标宋简体" w:cs="方正小标宋简体"/>
          <w:sz w:val="44"/>
          <w:szCs w:val="44"/>
        </w:rPr>
      </w:pPr>
      <w:r>
        <w:rPr>
          <w:rStyle w:val="10"/>
          <w:rFonts w:hint="eastAsia" w:ascii="方正小标宋简体" w:hAnsi="方正小标宋简体" w:eastAsia="方正小标宋简体" w:cs="方正小标宋简体"/>
          <w:sz w:val="44"/>
          <w:szCs w:val="44"/>
        </w:rPr>
        <w:t>西安市阎良区体育场</w:t>
      </w:r>
    </w:p>
    <w:p>
      <w:pPr>
        <w:pStyle w:val="6"/>
        <w:shd w:val="clear" w:color="auto" w:fill="FFFFFF"/>
        <w:spacing w:before="0" w:beforeAutospacing="0" w:after="0" w:afterAutospacing="0"/>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hint="default" w:asciiTheme="minorEastAsia" w:hAnsiTheme="minorEastAsia" w:eastAsiaTheme="minorEastAsia" w:cstheme="minorEastAsia"/>
          <w:b/>
          <w:bCs/>
          <w:szCs w:val="32"/>
          <w:lang w:val="en-US" w:eastAsia="zh-CN"/>
        </w:rPr>
      </w:pPr>
      <w:r>
        <w:rPr>
          <w:rFonts w:hint="eastAsia" w:asciiTheme="minorEastAsia" w:hAnsiTheme="minorEastAsia" w:eastAsiaTheme="minorEastAsia" w:cstheme="minorEastAsia"/>
          <w:b/>
          <w:bCs/>
          <w:szCs w:val="32"/>
        </w:rPr>
        <w:t>保密审查情况：</w:t>
      </w:r>
      <w:r>
        <w:rPr>
          <w:rFonts w:hint="eastAsia" w:asciiTheme="minorEastAsia" w:hAnsiTheme="minorEastAsia" w:eastAsiaTheme="minorEastAsia" w:cstheme="minorEastAsia"/>
          <w:b/>
          <w:bCs/>
          <w:szCs w:val="32"/>
          <w:lang w:val="en-US" w:eastAsia="zh-CN"/>
        </w:rPr>
        <w:t>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hint="eastAsia" w:asciiTheme="minorEastAsia" w:hAnsiTheme="minorEastAsia" w:eastAsiaTheme="minorEastAsia" w:cstheme="minorEastAsia"/>
          <w:b/>
          <w:bCs/>
          <w:szCs w:val="32"/>
          <w:lang w:val="en-US" w:eastAsia="zh-CN"/>
        </w:rPr>
      </w:pPr>
      <w:r>
        <w:rPr>
          <w:rFonts w:hint="eastAsia" w:asciiTheme="minorEastAsia" w:hAnsiTheme="minorEastAsia" w:eastAsiaTheme="minorEastAsia" w:cstheme="minorEastAsia"/>
          <w:b/>
          <w:bCs/>
          <w:szCs w:val="32"/>
        </w:rPr>
        <w:t>部门主要负责人审签情况：</w:t>
      </w:r>
      <w:r>
        <w:rPr>
          <w:rFonts w:hint="eastAsia" w:asciiTheme="minorEastAsia" w:hAnsiTheme="minorEastAsia" w:eastAsiaTheme="minorEastAsia" w:cstheme="minorEastAsia"/>
          <w:b/>
          <w:bCs/>
          <w:szCs w:val="32"/>
          <w:lang w:val="en-US" w:eastAsia="zh-CN"/>
        </w:rPr>
        <w:t>刘幼红</w:t>
      </w:r>
      <w:bookmarkStart w:id="4" w:name="_GoBack"/>
      <w:bookmarkEnd w:id="4"/>
      <w:r>
        <w:rPr>
          <w:rFonts w:hint="eastAsia" w:asciiTheme="minorEastAsia" w:hAnsiTheme="minorEastAsia" w:eastAsiaTheme="minorEastAsia" w:cstheme="minorEastAsia"/>
          <w:b/>
          <w:bCs/>
          <w:szCs w:val="32"/>
          <w:lang w:val="en-US" w:eastAsia="zh-CN"/>
        </w:rPr>
        <w:t xml:space="preserve">已审签           </w:t>
      </w:r>
    </w:p>
    <w:p>
      <w:pPr>
        <w:spacing w:line="400" w:lineRule="exact"/>
        <w:ind w:firstLine="2088" w:firstLineChars="650"/>
        <w:rPr>
          <w:rFonts w:hint="eastAsia" w:asciiTheme="minorEastAsia" w:hAnsiTheme="minorEastAsia" w:eastAsiaTheme="minorEastAsia" w:cstheme="minorEastAsia"/>
          <w:b/>
          <w:bCs/>
          <w:szCs w:val="32"/>
          <w:lang w:val="en-US" w:eastAsia="zh-CN"/>
        </w:rPr>
      </w:pPr>
    </w:p>
    <w:p>
      <w:pPr>
        <w:spacing w:line="400" w:lineRule="exact"/>
        <w:ind w:firstLine="2088" w:firstLineChars="650"/>
        <w:rPr>
          <w:rFonts w:hint="eastAsia" w:asciiTheme="minorEastAsia" w:hAnsiTheme="minorEastAsia" w:eastAsiaTheme="minorEastAsia" w:cstheme="minorEastAsia"/>
          <w:b/>
          <w:bCs/>
          <w:szCs w:val="32"/>
          <w:lang w:val="en-US" w:eastAsia="zh-CN"/>
        </w:rPr>
      </w:pPr>
    </w:p>
    <w:p>
      <w:pPr>
        <w:spacing w:line="400" w:lineRule="exact"/>
        <w:ind w:firstLine="2088" w:firstLineChars="650"/>
        <w:rPr>
          <w:rFonts w:hint="eastAsia" w:asciiTheme="minorEastAsia" w:hAnsiTheme="minorEastAsia" w:eastAsiaTheme="minorEastAsia" w:cstheme="minorEastAsia"/>
          <w:b/>
          <w:bCs/>
          <w:szCs w:val="32"/>
          <w:lang w:val="en-US" w:eastAsia="zh-CN"/>
        </w:rPr>
      </w:pPr>
    </w:p>
    <w:p>
      <w:pPr>
        <w:spacing w:line="400" w:lineRule="exact"/>
        <w:ind w:firstLine="2088" w:firstLineChars="650"/>
        <w:rPr>
          <w:rFonts w:hint="eastAsia" w:asciiTheme="minorEastAsia" w:hAnsiTheme="minorEastAsia" w:eastAsiaTheme="minorEastAsia" w:cstheme="minorEastAsia"/>
          <w:b/>
          <w:bCs/>
          <w:szCs w:val="32"/>
          <w:lang w:val="en-US" w:eastAsia="zh-CN"/>
        </w:rPr>
      </w:pPr>
    </w:p>
    <w:p>
      <w:pPr>
        <w:spacing w:line="400" w:lineRule="exact"/>
        <w:ind w:firstLine="3600" w:firstLineChars="1000"/>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一、阎良区体育场主要职责及内设机构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二、阎良区体育场决算单位构成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三、阎良区体育场人员情况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（二）阎良区体育场决算中项目绩效自评结果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（三）阎良区体育场决算中整体支出绩效自评结果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方正小标宋简体" w:eastAsia="方正小标宋简体" w:hAnsiTheme="majorEastAsia" w:cstheme="majorEastAsia"/>
          <w:color w:val="000000"/>
          <w:kern w:val="0"/>
          <w:sz w:val="36"/>
          <w:szCs w:val="36"/>
        </w:rPr>
      </w:pPr>
      <w:r>
        <w:rPr>
          <w:rFonts w:hint="eastAsia" w:ascii="方正小标宋简体" w:eastAsia="方正小标宋简体" w:hAnsiTheme="majorEastAsia" w:cstheme="majorEastAsia"/>
          <w:color w:val="000000"/>
          <w:kern w:val="0"/>
          <w:sz w:val="36"/>
          <w:szCs w:val="36"/>
        </w:rPr>
        <w:t>部门概况</w:t>
      </w:r>
    </w:p>
    <w:p>
      <w:pPr>
        <w:spacing w:line="560" w:lineRule="exact"/>
        <w:ind w:firstLine="880" w:firstLineChars="200"/>
        <w:jc w:val="left"/>
        <w:rPr>
          <w:rFonts w:ascii="黑体" w:hAnsi="宋体" w:eastAsia="黑体"/>
          <w:color w:val="000000"/>
          <w:kern w:val="0"/>
          <w:sz w:val="44"/>
          <w:szCs w:val="44"/>
        </w:rPr>
      </w:pPr>
    </w:p>
    <w:p>
      <w:pPr>
        <w:pStyle w:val="6"/>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rPr>
          <w:rFonts w:ascii="仿宋" w:hAnsi="仿宋" w:eastAsia="仿宋" w:cs="仿宋"/>
          <w:b/>
          <w:bCs/>
          <w:szCs w:val="32"/>
        </w:rPr>
      </w:pPr>
      <w:r>
        <w:rPr>
          <w:rFonts w:hint="eastAsia" w:ascii="仿宋" w:hAnsi="仿宋" w:eastAsia="仿宋" w:cs="仿宋"/>
          <w:b/>
          <w:bCs/>
          <w:szCs w:val="32"/>
        </w:rPr>
        <w:t>一、部门概况</w:t>
      </w:r>
    </w:p>
    <w:p>
      <w:pPr>
        <w:ind w:firstLine="640" w:firstLineChars="200"/>
        <w:rPr>
          <w:rFonts w:ascii="黑体" w:hAnsi="宋体" w:eastAsia="黑体"/>
          <w:color w:val="000000"/>
          <w:kern w:val="0"/>
          <w:szCs w:val="32"/>
        </w:rPr>
      </w:pPr>
      <w:r>
        <w:rPr>
          <w:rFonts w:hint="eastAsia" w:ascii="仿宋" w:hAnsi="仿宋" w:eastAsia="仿宋" w:cs="仿宋"/>
          <w:szCs w:val="32"/>
        </w:rPr>
        <w:t>阎良区体育场为我区差额事业单位，机构在职人员8人，退休人员7人。主要工作为指导全区各项体育运动，促进体育事业发展，优秀运动队建设，后备人才的培养，项目注册管理，群众各项体育项目竞赛的管理与组织教练员、裁判员等级的培训等。</w:t>
      </w:r>
    </w:p>
    <w:p>
      <w:pPr>
        <w:widowControl/>
        <w:spacing w:line="560" w:lineRule="exact"/>
        <w:ind w:firstLine="643" w:firstLineChars="200"/>
        <w:jc w:val="left"/>
        <w:rPr>
          <w:szCs w:val="32"/>
        </w:rPr>
      </w:pPr>
      <w:r>
        <w:rPr>
          <w:rFonts w:hint="eastAsia" w:ascii="楷体" w:hAnsi="楷体" w:eastAsia="楷体" w:cs="楷体"/>
          <w:b/>
          <w:bCs/>
          <w:color w:val="000000"/>
          <w:kern w:val="0"/>
          <w:szCs w:val="32"/>
        </w:rPr>
        <w:t>（一）主要职责</w:t>
      </w:r>
    </w:p>
    <w:p>
      <w:pPr>
        <w:ind w:firstLine="640" w:firstLineChars="200"/>
        <w:rPr>
          <w:rFonts w:ascii="仿宋" w:hAnsi="仿宋" w:eastAsia="仿宋" w:cs="仿宋"/>
          <w:szCs w:val="32"/>
        </w:rPr>
      </w:pPr>
      <w:r>
        <w:rPr>
          <w:rFonts w:hint="eastAsia" w:ascii="仿宋" w:hAnsi="仿宋" w:eastAsia="仿宋" w:cs="仿宋"/>
          <w:szCs w:val="32"/>
        </w:rPr>
        <w:t>1.贯彻落实党和国家体育工作方针、政策,拟定并组织实施全区体育事业中长期发展规划,推进全区体育公共服务和体育体制改革,促进多元化体育服务体系建设。</w:t>
      </w:r>
    </w:p>
    <w:p>
      <w:pPr>
        <w:ind w:firstLine="640" w:firstLineChars="200"/>
        <w:rPr>
          <w:rFonts w:ascii="仿宋" w:hAnsi="仿宋" w:eastAsia="仿宋" w:cs="仿宋"/>
          <w:szCs w:val="32"/>
        </w:rPr>
      </w:pPr>
      <w:r>
        <w:rPr>
          <w:rFonts w:hint="eastAsia" w:ascii="仿宋" w:hAnsi="仿宋" w:eastAsia="仿宋" w:cs="仿宋"/>
          <w:szCs w:val="32"/>
        </w:rPr>
        <w:t>2.推行《全民健身计划》,指导开展群众性体育活动,实施国家体育锻炼标准,开展国民体质监测;指导公共体育设施建设,负责公共体育设施的监督管理。</w:t>
      </w:r>
    </w:p>
    <w:p>
      <w:pPr>
        <w:ind w:firstLine="640" w:firstLineChars="200"/>
        <w:rPr>
          <w:rFonts w:ascii="仿宋" w:hAnsi="仿宋" w:eastAsia="仿宋" w:cs="仿宋"/>
          <w:szCs w:val="32"/>
        </w:rPr>
      </w:pPr>
      <w:r>
        <w:rPr>
          <w:rFonts w:hint="eastAsia" w:ascii="仿宋" w:hAnsi="仿宋" w:eastAsia="仿宋" w:cs="仿宋"/>
          <w:szCs w:val="32"/>
        </w:rPr>
        <w:t>3.组织制定全区体育竞赛制度、计划;组织参加和承办体育竞赛,举办全区综合性体育竞赛。</w:t>
      </w:r>
    </w:p>
    <w:p>
      <w:pPr>
        <w:ind w:firstLine="640" w:firstLineChars="200"/>
        <w:rPr>
          <w:rFonts w:ascii="仿宋" w:hAnsi="仿宋" w:eastAsia="仿宋" w:cs="仿宋"/>
          <w:szCs w:val="32"/>
        </w:rPr>
      </w:pPr>
      <w:r>
        <w:rPr>
          <w:rFonts w:hint="eastAsia" w:ascii="仿宋" w:hAnsi="仿宋" w:eastAsia="仿宋" w:cs="仿宋"/>
          <w:szCs w:val="32"/>
        </w:rPr>
        <w:t>4.指导全区业余训练和优秀运动队建设,培养体育后备人才;统筹规划全区青少年体育发展,指导和推进青少年体育工作。</w:t>
      </w:r>
    </w:p>
    <w:p>
      <w:pPr>
        <w:ind w:firstLine="640" w:firstLineChars="200"/>
        <w:rPr>
          <w:rFonts w:ascii="仿宋" w:hAnsi="仿宋" w:eastAsia="仿宋" w:cs="仿宋"/>
          <w:szCs w:val="32"/>
        </w:rPr>
      </w:pPr>
      <w:r>
        <w:rPr>
          <w:rFonts w:hint="eastAsia" w:ascii="仿宋" w:hAnsi="仿宋" w:eastAsia="仿宋" w:cs="仿宋"/>
          <w:szCs w:val="32"/>
        </w:rPr>
        <w:t>5.负责全区体育社团的业务指导;负责体育培训机构管理工作。</w:t>
      </w:r>
    </w:p>
    <w:p>
      <w:pPr>
        <w:ind w:firstLine="640" w:firstLineChars="200"/>
        <w:rPr>
          <w:rFonts w:ascii="仿宋" w:hAnsi="仿宋" w:eastAsia="仿宋" w:cs="仿宋"/>
          <w:szCs w:val="32"/>
        </w:rPr>
      </w:pPr>
      <w:r>
        <w:rPr>
          <w:rFonts w:hint="eastAsia" w:ascii="仿宋" w:hAnsi="仿宋" w:eastAsia="仿宋" w:cs="仿宋"/>
          <w:szCs w:val="32"/>
        </w:rPr>
        <w:t>6.承办上级管理部门交办的其他事项。</w:t>
      </w:r>
    </w:p>
    <w:p>
      <w:pPr>
        <w:widowControl/>
        <w:numPr>
          <w:ilvl w:val="0"/>
          <w:numId w:val="2"/>
        </w:numPr>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widowControl/>
        <w:spacing w:line="560" w:lineRule="exact"/>
        <w:jc w:val="left"/>
        <w:rPr>
          <w:rFonts w:ascii="仿宋" w:hAnsi="仿宋" w:eastAsia="仿宋" w:cs="仿宋"/>
          <w:color w:val="000000"/>
          <w:kern w:val="0"/>
          <w:szCs w:val="32"/>
        </w:rPr>
      </w:pPr>
      <w:r>
        <w:rPr>
          <w:rFonts w:hint="eastAsia" w:ascii="楷体" w:hAnsi="楷体" w:eastAsia="楷体" w:cs="楷体"/>
          <w:b/>
          <w:bCs/>
          <w:color w:val="000000"/>
          <w:kern w:val="0"/>
          <w:szCs w:val="32"/>
        </w:rPr>
        <w:t xml:space="preserve">  </w:t>
      </w:r>
      <w:r>
        <w:rPr>
          <w:rFonts w:hint="eastAsia" w:ascii="仿宋" w:hAnsi="仿宋" w:eastAsia="仿宋" w:cs="仿宋"/>
          <w:color w:val="000000"/>
          <w:kern w:val="0"/>
          <w:szCs w:val="32"/>
        </w:rPr>
        <w:t>根据上述职责任务，阎良区体育场设2个内设机构</w:t>
      </w:r>
    </w:p>
    <w:p>
      <w:pPr>
        <w:widowControl/>
        <w:numPr>
          <w:ilvl w:val="0"/>
          <w:numId w:val="3"/>
        </w:numPr>
        <w:spacing w:line="560" w:lineRule="exact"/>
        <w:jc w:val="left"/>
        <w:rPr>
          <w:rFonts w:ascii="仿宋" w:hAnsi="仿宋" w:eastAsia="仿宋" w:cs="仿宋"/>
          <w:color w:val="000000"/>
          <w:kern w:val="0"/>
          <w:szCs w:val="32"/>
        </w:rPr>
      </w:pPr>
      <w:r>
        <w:rPr>
          <w:rFonts w:hint="eastAsia" w:ascii="仿宋" w:hAnsi="仿宋" w:eastAsia="仿宋" w:cs="仿宋"/>
          <w:color w:val="000000"/>
          <w:kern w:val="0"/>
          <w:szCs w:val="32"/>
        </w:rPr>
        <w:t>综合科(下设办公室和财务室）</w:t>
      </w:r>
    </w:p>
    <w:p>
      <w:pPr>
        <w:ind w:firstLine="640" w:firstLineChars="200"/>
        <w:rPr>
          <w:rFonts w:ascii="仿宋_GB2312" w:hAnsi="仿宋_GB2312" w:eastAsia="仿宋_GB2312" w:cs="仿宋_GB2312"/>
          <w:szCs w:val="32"/>
        </w:rPr>
      </w:pPr>
      <w:r>
        <w:rPr>
          <w:rFonts w:hint="eastAsia" w:ascii="仿宋" w:hAnsi="仿宋" w:eastAsia="仿宋" w:cs="仿宋"/>
          <w:color w:val="000000"/>
          <w:kern w:val="0"/>
          <w:szCs w:val="32"/>
        </w:rPr>
        <w:t>办公室职责：</w:t>
      </w:r>
      <w:r>
        <w:rPr>
          <w:rFonts w:hint="eastAsia" w:ascii="仿宋" w:hAnsi="仿宋" w:eastAsia="仿宋" w:cs="仿宋"/>
          <w:szCs w:val="32"/>
        </w:rPr>
        <w:t>1</w:t>
      </w:r>
      <w:r>
        <w:rPr>
          <w:rFonts w:hint="eastAsia" w:ascii="仿宋_GB2312" w:hAnsi="仿宋_GB2312" w:eastAsia="仿宋_GB2312" w:cs="仿宋_GB2312"/>
          <w:szCs w:val="32"/>
        </w:rPr>
        <w:t>.负责体育场业务文件接收、登记、材料起草、文件归档、工作督办、印章管理等工作；</w:t>
      </w:r>
    </w:p>
    <w:p>
      <w:pPr>
        <w:ind w:firstLine="627" w:firstLineChars="196"/>
        <w:rPr>
          <w:rFonts w:ascii="仿宋_GB2312" w:hAnsi="仿宋_GB2312" w:eastAsia="仿宋_GB2312" w:cs="仿宋_GB2312"/>
          <w:szCs w:val="32"/>
        </w:rPr>
      </w:pPr>
      <w:r>
        <w:rPr>
          <w:rFonts w:hint="eastAsia" w:ascii="仿宋_GB2312" w:hAnsi="仿宋_GB2312" w:eastAsia="仿宋_GB2312" w:cs="仿宋_GB2312"/>
          <w:szCs w:val="32"/>
        </w:rPr>
        <w:t>2.负责体育场信息采编上报、批示办理等情况；</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3.负责筹备会议、专题会议议题汇总、材料收集、会议记录及会场布置等；</w:t>
      </w:r>
    </w:p>
    <w:p>
      <w:pPr>
        <w:ind w:firstLine="640" w:firstLineChars="200"/>
        <w:rPr>
          <w:rFonts w:ascii="仿宋_GB2312" w:hAnsi="仿宋_GB2312" w:eastAsia="仿宋_GB2312" w:cs="仿宋_GB2312"/>
          <w:bCs/>
          <w:szCs w:val="32"/>
        </w:rPr>
      </w:pPr>
      <w:r>
        <w:rPr>
          <w:rFonts w:hint="eastAsia" w:ascii="仿宋_GB2312" w:hAnsi="仿宋_GB2312" w:eastAsia="仿宋_GB2312" w:cs="仿宋_GB2312"/>
          <w:szCs w:val="32"/>
        </w:rPr>
        <w:t>4.</w:t>
      </w:r>
      <w:r>
        <w:rPr>
          <w:rFonts w:hint="eastAsia" w:ascii="仿宋_GB2312" w:hAnsi="仿宋_GB2312" w:eastAsia="仿宋_GB2312" w:cs="仿宋_GB2312"/>
          <w:bCs/>
          <w:szCs w:val="32"/>
        </w:rPr>
        <w:t>负责群众来信、来访和网上信访的分解、办理、回复工作；</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5.负责起草体育场工作要点、总结，具体落实各项学习教育活动和检查、汇报等；</w:t>
      </w:r>
    </w:p>
    <w:p>
      <w:pPr>
        <w:ind w:firstLine="600"/>
        <w:rPr>
          <w:rFonts w:ascii="楷体" w:hAnsi="楷体" w:eastAsia="楷体" w:cs="楷体"/>
          <w:b/>
          <w:bCs/>
          <w:color w:val="000000"/>
          <w:kern w:val="0"/>
          <w:szCs w:val="32"/>
        </w:rPr>
      </w:pPr>
      <w:r>
        <w:rPr>
          <w:rFonts w:hint="eastAsia" w:ascii="仿宋_GB2312" w:hAnsi="仿宋_GB2312" w:eastAsia="仿宋_GB2312" w:cs="仿宋_GB2312"/>
          <w:szCs w:val="32"/>
        </w:rPr>
        <w:t>6.配合领导做好各项管理工作。</w:t>
      </w:r>
    </w:p>
    <w:p>
      <w:pPr>
        <w:ind w:firstLine="643" w:firstLineChars="200"/>
        <w:rPr>
          <w:rFonts w:ascii="仿宋" w:hAnsi="仿宋" w:eastAsia="仿宋" w:cs="仿宋"/>
          <w:szCs w:val="32"/>
        </w:rPr>
      </w:pPr>
      <w:r>
        <w:rPr>
          <w:rFonts w:hint="eastAsia" w:ascii="楷体" w:hAnsi="楷体" w:eastAsia="楷体" w:cs="楷体"/>
          <w:b/>
          <w:bCs/>
          <w:color w:val="000000"/>
          <w:kern w:val="0"/>
          <w:szCs w:val="32"/>
        </w:rPr>
        <w:t>财务室职责：1.</w:t>
      </w:r>
      <w:r>
        <w:rPr>
          <w:rFonts w:hint="eastAsia" w:ascii="仿宋" w:hAnsi="仿宋" w:eastAsia="仿宋" w:cs="仿宋"/>
          <w:szCs w:val="32"/>
        </w:rPr>
        <w:t>按期完成个月记账、结账和账务处理，以及各类会计档案进行了分类、装订、归档，及时准确的填报各类月度、季度、年终财务报表，并及时向各个部门报送；</w:t>
      </w:r>
    </w:p>
    <w:p>
      <w:pPr>
        <w:widowControl/>
        <w:spacing w:line="560" w:lineRule="exact"/>
        <w:ind w:left="321"/>
        <w:jc w:val="left"/>
        <w:rPr>
          <w:rFonts w:ascii="楷体" w:hAnsi="楷体" w:eastAsia="楷体" w:cs="楷体"/>
          <w:b/>
          <w:bCs/>
          <w:color w:val="000000"/>
          <w:kern w:val="0"/>
          <w:szCs w:val="32"/>
        </w:rPr>
      </w:pPr>
      <w:r>
        <w:rPr>
          <w:rFonts w:hint="eastAsia" w:ascii="仿宋" w:hAnsi="仿宋" w:eastAsia="仿宋" w:cs="仿宋"/>
          <w:szCs w:val="32"/>
        </w:rPr>
        <w:t>2.认真做好年度部门决算工作，并按照要求及时报送本部门的预决算和三公经费等各类报表；及时办理单位各个职工的工资、养老、医疗和公积金等业务的审批和申报工作，保障职工的切身利益，解决职工的后顾之忧。</w:t>
      </w:r>
    </w:p>
    <w:p>
      <w:pPr>
        <w:widowControl/>
        <w:numPr>
          <w:ilvl w:val="0"/>
          <w:numId w:val="3"/>
        </w:numPr>
        <w:spacing w:line="560" w:lineRule="exact"/>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业务科</w:t>
      </w:r>
    </w:p>
    <w:p>
      <w:pPr>
        <w:ind w:left="-158" w:leftChars="-200" w:hanging="482" w:hangingChars="150"/>
        <w:rPr>
          <w:rFonts w:ascii="楷体" w:hAnsi="楷体" w:eastAsia="楷体" w:cs="楷体"/>
          <w:b/>
          <w:bCs/>
          <w:color w:val="000000"/>
          <w:kern w:val="0"/>
          <w:szCs w:val="32"/>
        </w:rPr>
      </w:pPr>
      <w:r>
        <w:rPr>
          <w:rFonts w:hint="eastAsia" w:ascii="楷体" w:hAnsi="楷体" w:eastAsia="楷体" w:cs="楷体"/>
          <w:b/>
          <w:bCs/>
          <w:color w:val="000000"/>
          <w:kern w:val="0"/>
          <w:szCs w:val="32"/>
        </w:rPr>
        <w:t xml:space="preserve">        职责：</w:t>
      </w:r>
      <w:r>
        <w:rPr>
          <w:rFonts w:hint="eastAsia" w:ascii="仿宋" w:hAnsi="仿宋" w:eastAsia="仿宋" w:cs="仿宋"/>
          <w:szCs w:val="32"/>
        </w:rPr>
        <w:t>群众体育赛事和竞技比赛组织与管理，教练员、裁判员等级培训，全区青少年运动员项目注册与管理，体育场馆日常管理等。</w:t>
      </w:r>
    </w:p>
    <w:p>
      <w:pPr>
        <w:jc w:val="left"/>
        <w:rPr>
          <w:rFonts w:ascii="楷体" w:hAnsi="楷体" w:eastAsia="楷体" w:cs="楷体"/>
          <w:b/>
          <w:bCs/>
          <w:color w:val="000000"/>
          <w:kern w:val="0"/>
          <w:szCs w:val="32"/>
        </w:rPr>
      </w:pP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示例：纳入2019年度本部门决算编制范围的单位共1个，包括本级及所属1个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西安市阎良区体育场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3</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截止2019年底，本部门人员编制8人，其中行政编制0人、事业编制8人；实有人员8人，其中行政0人、事业8人。单位管理的离退休人员7人。</w:t>
      </w:r>
    </w:p>
    <w:p>
      <w:pPr>
        <w:spacing w:line="560" w:lineRule="exact"/>
        <w:rPr>
          <w:rFonts w:ascii="仿宋_GB2312" w:hAnsi="仿宋_GB2312" w:eastAsia="仿宋_GB2312" w:cs="仿宋_GB2312"/>
          <w:szCs w:val="32"/>
        </w:rPr>
      </w:pPr>
    </w:p>
    <w:p>
      <w:pPr>
        <w:rPr>
          <w:rFonts w:ascii="仿宋_GB2312" w:hAnsi="仿宋_GB2312" w:eastAsia="仿宋_GB2312" w:cs="仿宋_GB2312"/>
          <w:szCs w:val="32"/>
        </w:rPr>
      </w:pPr>
      <w:r>
        <w:rPr>
          <w:rFonts w:hint="eastAsia" w:ascii="仿宋_GB2312" w:hAnsi="仿宋_GB2312" w:eastAsia="仿宋_GB2312" w:cs="仿宋_GB2312"/>
          <w:szCs w:val="32"/>
        </w:rPr>
        <w:drawing>
          <wp:inline distT="0" distB="0" distL="114300" distR="114300">
            <wp:extent cx="5346065" cy="2305685"/>
            <wp:effectExtent l="4445" t="4445" r="2159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margin" w:tblpX="1" w:tblpY="260"/>
        <w:tblOverlap w:val="never"/>
        <w:tblW w:w="9015" w:type="dxa"/>
        <w:tblInd w:w="0" w:type="dxa"/>
        <w:tblLayout w:type="fixed"/>
        <w:tblCellMar>
          <w:top w:w="0" w:type="dxa"/>
          <w:left w:w="0" w:type="dxa"/>
          <w:bottom w:w="0" w:type="dxa"/>
          <w:right w:w="0" w:type="dxa"/>
        </w:tblCellMar>
      </w:tblPr>
      <w:tblGrid>
        <w:gridCol w:w="629"/>
        <w:gridCol w:w="5431"/>
        <w:gridCol w:w="885"/>
        <w:gridCol w:w="2070"/>
      </w:tblGrid>
      <w:tr>
        <w:tblPrEx>
          <w:tblCellMar>
            <w:top w:w="0" w:type="dxa"/>
            <w:left w:w="0" w:type="dxa"/>
            <w:bottom w:w="0" w:type="dxa"/>
            <w:right w:w="0" w:type="dxa"/>
          </w:tblCellMar>
        </w:tblPrEx>
        <w:trPr>
          <w:trHeight w:val="628"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spacing w:line="240" w:lineRule="exact"/>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452" w:hRule="exac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p>
        </w:tc>
      </w:tr>
      <w:tr>
        <w:tblPrEx>
          <w:tblCellMar>
            <w:top w:w="0" w:type="dxa"/>
            <w:left w:w="0" w:type="dxa"/>
            <w:bottom w:w="0" w:type="dxa"/>
            <w:right w:w="0" w:type="dxa"/>
          </w:tblCellMar>
        </w:tblPrEx>
        <w:trPr>
          <w:trHeight w:val="497" w:hRule="exac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p>
        </w:tc>
      </w:tr>
      <w:tr>
        <w:tblPrEx>
          <w:tblCellMar>
            <w:top w:w="0" w:type="dxa"/>
            <w:left w:w="0" w:type="dxa"/>
            <w:bottom w:w="0" w:type="dxa"/>
            <w:right w:w="0" w:type="dxa"/>
          </w:tblCellMar>
        </w:tblPrEx>
        <w:trPr>
          <w:trHeight w:val="467" w:hRule="exac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p>
        </w:tc>
      </w:tr>
      <w:tr>
        <w:tblPrEx>
          <w:tblCellMar>
            <w:top w:w="0" w:type="dxa"/>
            <w:left w:w="0" w:type="dxa"/>
            <w:bottom w:w="0" w:type="dxa"/>
            <w:right w:w="0" w:type="dxa"/>
          </w:tblCellMar>
        </w:tblPrEx>
        <w:trPr>
          <w:trHeight w:val="432" w:hRule="exac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p>
        </w:tc>
      </w:tr>
      <w:tr>
        <w:tblPrEx>
          <w:tblCellMar>
            <w:top w:w="0" w:type="dxa"/>
            <w:left w:w="0" w:type="dxa"/>
            <w:bottom w:w="0" w:type="dxa"/>
            <w:right w:w="0" w:type="dxa"/>
          </w:tblCellMar>
        </w:tblPrEx>
        <w:trPr>
          <w:trHeight w:val="554" w:hRule="exac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p>
        </w:tc>
      </w:tr>
      <w:tr>
        <w:tblPrEx>
          <w:tblCellMar>
            <w:top w:w="0" w:type="dxa"/>
            <w:left w:w="0" w:type="dxa"/>
            <w:bottom w:w="0" w:type="dxa"/>
            <w:right w:w="0" w:type="dxa"/>
          </w:tblCellMar>
        </w:tblPrEx>
        <w:trPr>
          <w:trHeight w:val="444" w:hRule="exac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5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p>
        </w:tc>
      </w:tr>
      <w:tr>
        <w:tblPrEx>
          <w:tblCellMar>
            <w:top w:w="0" w:type="dxa"/>
            <w:left w:w="0" w:type="dxa"/>
            <w:bottom w:w="0" w:type="dxa"/>
            <w:right w:w="0" w:type="dxa"/>
          </w:tblCellMar>
        </w:tblPrEx>
        <w:trPr>
          <w:trHeight w:val="962" w:hRule="exact"/>
        </w:trPr>
        <w:tc>
          <w:tcPr>
            <w:tcW w:w="62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54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8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是</w:t>
            </w:r>
          </w:p>
        </w:tc>
        <w:tc>
          <w:tcPr>
            <w:tcW w:w="20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240" w:lineRule="exact"/>
              <w:jc w:val="center"/>
              <w:rPr>
                <w:rFonts w:ascii="宋体" w:hAnsi="宋体" w:cs="宋体"/>
                <w:color w:val="000000"/>
                <w:sz w:val="24"/>
              </w:rPr>
            </w:pPr>
            <w:r>
              <w:rPr>
                <w:rFonts w:hint="eastAsia" w:ascii="宋体" w:hAnsi="宋体" w:cs="宋体"/>
                <w:color w:val="000000"/>
                <w:sz w:val="24"/>
              </w:rPr>
              <w:t>无三公经费支出</w:t>
            </w:r>
          </w:p>
        </w:tc>
      </w:tr>
    </w:tbl>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lef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w:t>
      </w:r>
      <w:r>
        <w:rPr>
          <w:rFonts w:hint="eastAsia" w:cs="宋体" w:asciiTheme="minorEastAsia" w:hAnsiTheme="minorEastAsia" w:eastAsiaTheme="minorEastAsia"/>
          <w:b/>
          <w:bCs/>
          <w:sz w:val="21"/>
          <w:szCs w:val="21"/>
        </w:rPr>
        <w:t>制部门：</w:t>
      </w:r>
      <w:r>
        <w:rPr>
          <w:rFonts w:hint="eastAsia" w:cs="楷体" w:asciiTheme="minorEastAsia" w:hAnsiTheme="minorEastAsia" w:eastAsiaTheme="minorEastAsia"/>
          <w:b/>
          <w:color w:val="000000"/>
          <w:kern w:val="0"/>
          <w:sz w:val="21"/>
          <w:szCs w:val="21"/>
        </w:rPr>
        <w:t>阎良区体育场</w:t>
      </w:r>
      <w:r>
        <w:rPr>
          <w:rFonts w:hint="eastAsia" w:cs="宋体" w:asciiTheme="minorEastAsia" w:hAnsiTheme="minorEastAsia" w:eastAsiaTheme="minorEastAsia"/>
          <w:b/>
          <w:bCs/>
          <w:sz w:val="21"/>
          <w:szCs w:val="21"/>
        </w:rPr>
        <w:t xml:space="preserve"> </w:t>
      </w:r>
      <w:r>
        <w:rPr>
          <w:rFonts w:hint="eastAsia" w:ascii="宋体" w:hAnsi="宋体" w:eastAsia="宋体" w:cs="宋体"/>
          <w:b/>
          <w:bCs/>
          <w:sz w:val="21"/>
          <w:szCs w:val="21"/>
        </w:rPr>
        <w:t xml:space="preserve">                                          金额单位：万元</w:t>
      </w:r>
    </w:p>
    <w:tbl>
      <w:tblPr>
        <w:tblStyle w:val="7"/>
        <w:tblW w:w="8379" w:type="dxa"/>
        <w:tblInd w:w="0" w:type="dxa"/>
        <w:tblLayout w:type="fixed"/>
        <w:tblCellMar>
          <w:top w:w="15" w:type="dxa"/>
          <w:left w:w="15" w:type="dxa"/>
          <w:bottom w:w="15" w:type="dxa"/>
          <w:right w:w="15" w:type="dxa"/>
        </w:tblCellMar>
      </w:tblPr>
      <w:tblGrid>
        <w:gridCol w:w="3134"/>
        <w:gridCol w:w="1134"/>
        <w:gridCol w:w="2977"/>
        <w:gridCol w:w="1134"/>
      </w:tblGrid>
      <w:tr>
        <w:trPr>
          <w:trHeight w:val="426" w:hRule="atLeast"/>
        </w:trPr>
        <w:tc>
          <w:tcPr>
            <w:tcW w:w="4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1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134"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134"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r>
      <w:tr>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134"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49"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312"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13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134"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297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134"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15.52</w:t>
            </w:r>
          </w:p>
        </w:tc>
      </w:tr>
      <w:tr>
        <w:tblPrEx>
          <w:tblCellMar>
            <w:top w:w="15" w:type="dxa"/>
            <w:left w:w="15" w:type="dxa"/>
            <w:bottom w:w="15" w:type="dxa"/>
            <w:right w:w="15" w:type="dxa"/>
          </w:tblCellMar>
        </w:tblPrEx>
        <w:trPr>
          <w:trHeight w:val="355"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134"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151.52</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cs="楷体" w:asciiTheme="minorEastAsia" w:hAnsiTheme="minorEastAsia" w:eastAsiaTheme="minorEastAsia"/>
          <w:b/>
          <w:color w:val="000000"/>
          <w:kern w:val="0"/>
          <w:sz w:val="21"/>
          <w:szCs w:val="21"/>
        </w:rPr>
        <w:t>阎良区体育场</w:t>
      </w:r>
      <w:r>
        <w:rPr>
          <w:rFonts w:hint="eastAsia" w:ascii="宋体" w:hAnsi="宋体" w:eastAsia="宋体" w:cs="宋体"/>
          <w:b/>
          <w:bCs/>
          <w:sz w:val="21"/>
          <w:szCs w:val="21"/>
        </w:rPr>
        <w:t xml:space="preserve">                                          金额单位：万元</w:t>
      </w:r>
    </w:p>
    <w:tbl>
      <w:tblPr>
        <w:tblStyle w:val="7"/>
        <w:tblW w:w="8520" w:type="dxa"/>
        <w:tblInd w:w="0" w:type="dxa"/>
        <w:tblLayout w:type="fixed"/>
        <w:tblCellMar>
          <w:top w:w="15" w:type="dxa"/>
          <w:left w:w="15" w:type="dxa"/>
          <w:bottom w:w="15" w:type="dxa"/>
          <w:right w:w="15" w:type="dxa"/>
        </w:tblCellMar>
      </w:tblPr>
      <w:tblGrid>
        <w:gridCol w:w="927"/>
        <w:gridCol w:w="1370"/>
        <w:gridCol w:w="724"/>
        <w:gridCol w:w="795"/>
        <w:gridCol w:w="765"/>
        <w:gridCol w:w="585"/>
        <w:gridCol w:w="945"/>
        <w:gridCol w:w="708"/>
        <w:gridCol w:w="993"/>
        <w:gridCol w:w="708"/>
      </w:tblGrid>
      <w:tr>
        <w:tblPrEx>
          <w:tblCellMar>
            <w:top w:w="15" w:type="dxa"/>
            <w:left w:w="15" w:type="dxa"/>
            <w:bottom w:w="15" w:type="dxa"/>
            <w:right w:w="15" w:type="dxa"/>
          </w:tblCellMar>
        </w:tblPrEx>
        <w:trPr>
          <w:trHeight w:val="439" w:hRule="atLeast"/>
        </w:trPr>
        <w:tc>
          <w:tcPr>
            <w:tcW w:w="2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5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7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9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w:t>
            </w: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文化旅游体育与传媒支出</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20703</w:t>
            </w: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体育</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2070307</w:t>
            </w: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体育场馆</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w:t>
            </w: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住房保障支出</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22102</w:t>
            </w: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住房改革支出</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2210201</w:t>
            </w: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914"/>
        <w:gridCol w:w="83"/>
        <w:gridCol w:w="1634"/>
        <w:gridCol w:w="840"/>
        <w:gridCol w:w="986"/>
        <w:gridCol w:w="1077"/>
        <w:gridCol w:w="860"/>
        <w:gridCol w:w="709"/>
        <w:gridCol w:w="1276"/>
      </w:tblGrid>
      <w:tr>
        <w:tblPrEx>
          <w:tblCellMar>
            <w:top w:w="15" w:type="dxa"/>
            <w:left w:w="15" w:type="dxa"/>
            <w:bottom w:w="15" w:type="dxa"/>
            <w:right w:w="15" w:type="dxa"/>
          </w:tblCellMar>
        </w:tblPrEx>
        <w:trPr>
          <w:trHeight w:val="372" w:hRule="atLeast"/>
        </w:trPr>
        <w:tc>
          <w:tcPr>
            <w:tcW w:w="263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63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124.94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w:t>
            </w: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文化旅游体育与传媒支出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123.15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20703</w:t>
            </w: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体育</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123.15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2070307</w:t>
            </w: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体育场馆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123.15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w:t>
            </w: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住房保障支出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22102</w:t>
            </w: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住房改革支出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220201</w:t>
            </w: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71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1705"/>
        <w:gridCol w:w="1072"/>
        <w:gridCol w:w="2703"/>
        <w:gridCol w:w="772"/>
        <w:gridCol w:w="1134"/>
        <w:gridCol w:w="993"/>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60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772"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3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2003"/>
        <w:gridCol w:w="1273"/>
        <w:gridCol w:w="1701"/>
        <w:gridCol w:w="1275"/>
        <w:gridCol w:w="1134"/>
        <w:gridCol w:w="993"/>
      </w:tblGrid>
      <w:tr>
        <w:tblPrEx>
          <w:tblCellMar>
            <w:top w:w="15" w:type="dxa"/>
            <w:left w:w="15" w:type="dxa"/>
            <w:bottom w:w="15" w:type="dxa"/>
            <w:right w:w="15" w:type="dxa"/>
          </w:tblCellMar>
        </w:tblPrEx>
        <w:trPr>
          <w:trHeight w:val="578" w:hRule="atLeast"/>
        </w:trPr>
        <w:tc>
          <w:tcPr>
            <w:tcW w:w="3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1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151.52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151.52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27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151.52</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151.52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151.52</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940"/>
        <w:gridCol w:w="230"/>
        <w:gridCol w:w="1537"/>
        <w:gridCol w:w="1006"/>
        <w:gridCol w:w="838"/>
        <w:gridCol w:w="993"/>
        <w:gridCol w:w="992"/>
        <w:gridCol w:w="709"/>
        <w:gridCol w:w="1134"/>
      </w:tblGrid>
      <w:tr>
        <w:tblPrEx>
          <w:tblCellMar>
            <w:top w:w="15" w:type="dxa"/>
            <w:left w:w="15" w:type="dxa"/>
            <w:bottom w:w="15" w:type="dxa"/>
            <w:right w:w="15" w:type="dxa"/>
          </w:tblCellMar>
        </w:tblPrEx>
        <w:trPr>
          <w:trHeight w:val="414" w:hRule="atLeast"/>
        </w:trPr>
        <w:tc>
          <w:tcPr>
            <w:tcW w:w="270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82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151.52</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124.94</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120.85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4.09</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9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123.15</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119.06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4.09</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9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20703</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体育</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123.15</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119.06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4.09</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9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2070307</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体育场馆</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149.73</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123.15</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119.06</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4.09</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26.58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22102</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4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220201</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17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1157"/>
        <w:gridCol w:w="2046"/>
        <w:gridCol w:w="1659"/>
        <w:gridCol w:w="1249"/>
        <w:gridCol w:w="1134"/>
        <w:gridCol w:w="1134"/>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124.94</w:t>
            </w:r>
          </w:p>
        </w:tc>
        <w:tc>
          <w:tcPr>
            <w:tcW w:w="124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120.85</w:t>
            </w:r>
          </w:p>
        </w:tc>
        <w:tc>
          <w:tcPr>
            <w:tcW w:w="1134"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1.09</w:t>
            </w:r>
          </w:p>
        </w:tc>
        <w:tc>
          <w:tcPr>
            <w:tcW w:w="1134"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99.24</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99.24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33.30</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33.30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10.65</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10.65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43.99</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43.99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6.40</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6.40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3.11</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3.11</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30113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1.79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4.08</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4.08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3.37</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3.37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0.20</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0.20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eastAsia="宋体" w:cs="宋体"/>
                <w:color w:val="000000"/>
                <w:sz w:val="21"/>
                <w:szCs w:val="21"/>
              </w:rPr>
            </w:pPr>
            <w:r>
              <w:rPr>
                <w:rFonts w:hint="eastAsia" w:ascii="宋体" w:hAnsi="宋体" w:eastAsia="宋体" w:cs="宋体"/>
                <w:color w:val="000000"/>
                <w:sz w:val="21"/>
                <w:szCs w:val="21"/>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0.10</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 xml:space="preserve">  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0.15</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0.15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30211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0.26</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0.26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21.62</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21.62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30305</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21.58</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21.58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30399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1079"/>
        <w:gridCol w:w="637"/>
        <w:gridCol w:w="1134"/>
        <w:gridCol w:w="851"/>
        <w:gridCol w:w="850"/>
        <w:gridCol w:w="993"/>
        <w:gridCol w:w="992"/>
        <w:gridCol w:w="850"/>
        <w:gridCol w:w="993"/>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545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6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6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7"/>
        <w:tblW w:w="8379" w:type="dxa"/>
        <w:tblInd w:w="0" w:type="dxa"/>
        <w:tblLayout w:type="fixed"/>
        <w:tblCellMar>
          <w:top w:w="15" w:type="dxa"/>
          <w:left w:w="15" w:type="dxa"/>
          <w:bottom w:w="15" w:type="dxa"/>
          <w:right w:w="15" w:type="dxa"/>
        </w:tblCellMar>
      </w:tblPr>
      <w:tblGrid>
        <w:gridCol w:w="1023"/>
        <w:gridCol w:w="1119"/>
        <w:gridCol w:w="992"/>
        <w:gridCol w:w="992"/>
        <w:gridCol w:w="992"/>
        <w:gridCol w:w="993"/>
        <w:gridCol w:w="992"/>
        <w:gridCol w:w="1276"/>
      </w:tblGrid>
      <w:tr>
        <w:tblPrEx>
          <w:tblCellMar>
            <w:top w:w="15" w:type="dxa"/>
            <w:left w:w="15" w:type="dxa"/>
            <w:bottom w:w="15" w:type="dxa"/>
            <w:right w:w="15" w:type="dxa"/>
          </w:tblCellMar>
        </w:tblPrEx>
        <w:trPr>
          <w:trHeight w:val="491"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2977"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 xml:space="preserve">一、收入支出决算总体情况说明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2019年度收入总体情况及比上年减少9.07万元，减少变化的主要原因是2018年补发2016年绩效工资。</w:t>
      </w:r>
    </w:p>
    <w:p>
      <w:pPr>
        <w:widowControl/>
        <w:jc w:val="left"/>
        <w:rPr>
          <w:rFonts w:ascii="仿宋_GB2312" w:hAnsi="仿宋" w:eastAsia="仿宋_GB2312"/>
          <w:szCs w:val="32"/>
        </w:rPr>
      </w:pPr>
      <w:r>
        <w:rPr>
          <w:rFonts w:hint="eastAsia" w:ascii="仿宋_GB2312" w:hAnsi="仿宋" w:eastAsia="仿宋_GB2312"/>
          <w:szCs w:val="32"/>
        </w:rPr>
        <w:drawing>
          <wp:inline distT="0" distB="0" distL="114300" distR="114300">
            <wp:extent cx="5337175" cy="2592070"/>
            <wp:effectExtent l="19050" t="0" r="1587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2019年度支出总体情况及比上年减少9.07万元，减少变化的主要原因是2018年补发2016年绩效工资。</w:t>
      </w:r>
    </w:p>
    <w:p>
      <w:pPr>
        <w:jc w:val="left"/>
      </w:pPr>
    </w:p>
    <w:p>
      <w:pPr>
        <w:widowControl/>
        <w:jc w:val="left"/>
        <w:rPr>
          <w:rFonts w:ascii="仿宋_GB2312" w:hAnsi="仿宋" w:eastAsia="仿宋_GB2312"/>
          <w:szCs w:val="32"/>
        </w:rPr>
      </w:pPr>
      <w:r>
        <w:rPr>
          <w:rFonts w:hint="eastAsia" w:ascii="仿宋_GB2312" w:hAnsi="仿宋" w:eastAsia="仿宋_GB2312"/>
          <w:szCs w:val="32"/>
        </w:rPr>
        <w:drawing>
          <wp:inline distT="0" distB="0" distL="114300" distR="114300">
            <wp:extent cx="5403215" cy="2592070"/>
            <wp:effectExtent l="4445" t="4445" r="21590"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151.52</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151.52万</w:t>
      </w:r>
      <w:r>
        <w:rPr>
          <w:rFonts w:ascii="仿宋_GB2312" w:hAnsi="宋体" w:eastAsia="仿宋_GB2312" w:cs="仿宋_GB2312"/>
          <w:color w:val="000000"/>
          <w:kern w:val="0"/>
          <w:szCs w:val="32"/>
        </w:rPr>
        <w:t>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 xml:space="preserve"> 。</w:t>
      </w:r>
    </w:p>
    <w:p>
      <w:pPr>
        <w:widowControl/>
        <w:jc w:val="left"/>
        <w:rPr>
          <w:rFonts w:ascii="仿宋_GB2312" w:hAnsi="宋体" w:eastAsia="仿宋_GB2312" w:cs="仿宋_GB2312"/>
          <w:color w:val="000000"/>
          <w:kern w:val="0"/>
          <w:szCs w:val="32"/>
        </w:rPr>
      </w:pPr>
    </w:p>
    <w:p>
      <w:pPr>
        <w:widowControl/>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drawing>
          <wp:inline distT="0" distB="0" distL="114300" distR="114300">
            <wp:extent cx="5365115" cy="2553335"/>
            <wp:effectExtent l="4445" t="4445" r="21590"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jc w:val="left"/>
        <w:rPr>
          <w:rFonts w:ascii="仿宋_GB2312" w:hAnsi="宋体" w:eastAsia="仿宋_GB2312" w:cs="仿宋_GB2312"/>
          <w:color w:val="000000"/>
          <w:kern w:val="0"/>
          <w:szCs w:val="32"/>
        </w:rPr>
      </w:pPr>
    </w:p>
    <w:p>
      <w:pPr>
        <w:widowControl/>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 xml:space="preserve">三、支出决算情况说明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rPr>
        <w:t>151.52</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rPr>
        <w:t>124.94</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82</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26.58</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18</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 xml:space="preserve"> </w:t>
      </w:r>
      <w:r>
        <w:rPr>
          <w:rFonts w:ascii="仿宋_GB2312" w:hAnsi="宋体" w:eastAsia="仿宋_GB2312" w:cs="仿宋_GB2312"/>
          <w:color w:val="000000"/>
          <w:kern w:val="0"/>
          <w:szCs w:val="32"/>
        </w:rPr>
        <w:t>。</w:t>
      </w:r>
    </w:p>
    <w:p>
      <w:pPr>
        <w:widowControl/>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drawing>
          <wp:inline distT="0" distB="0" distL="114300" distR="114300">
            <wp:extent cx="5365115" cy="2553335"/>
            <wp:effectExtent l="4445" t="4445" r="21590"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仿宋_GB2312" w:hAnsi="仿宋_GB2312" w:eastAsia="仿宋_GB2312" w:cs="仿宋_GB2312"/>
          <w:szCs w:val="32"/>
          <w:highlight w:val="red"/>
        </w:rPr>
      </w:pPr>
      <w:r>
        <w:rPr>
          <w:rFonts w:hint="eastAsia" w:ascii="黑体" w:hAnsi="黑体" w:eastAsia="黑体"/>
          <w:color w:val="000000"/>
          <w:kern w:val="0"/>
          <w:szCs w:val="32"/>
        </w:rPr>
        <w:t xml:space="preserve">四、财政拨款收入支出决算总体情况说明  </w:t>
      </w:r>
    </w:p>
    <w:p>
      <w:pPr>
        <w:widowControl/>
        <w:spacing w:line="560" w:lineRule="exact"/>
        <w:ind w:firstLine="640" w:firstLineChars="200"/>
        <w:jc w:val="left"/>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收入总体情况及比上年减少9.07万元，主要原因2018年补发2016年绩效工资。</w:t>
      </w:r>
    </w:p>
    <w:p>
      <w:pPr>
        <w:widowControl/>
        <w:jc w:val="left"/>
        <w:rPr>
          <w:rFonts w:ascii="仿宋_GB2312" w:hAnsi="仿宋" w:eastAsia="仿宋_GB2312"/>
          <w:szCs w:val="32"/>
        </w:rPr>
      </w:pPr>
      <w:r>
        <w:rPr>
          <w:rFonts w:hint="eastAsia" w:ascii="仿宋_GB2312" w:hAnsi="仿宋" w:eastAsia="仿宋_GB2312"/>
          <w:szCs w:val="32"/>
        </w:rPr>
        <w:drawing>
          <wp:inline distT="0" distB="0" distL="114300" distR="114300">
            <wp:extent cx="5298440" cy="3276600"/>
            <wp:effectExtent l="4445" t="4445" r="1206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宋体" w:eastAsia="仿宋_GB2312" w:cs="仿宋_GB2312"/>
          <w:color w:val="000000"/>
          <w:kern w:val="0"/>
          <w:szCs w:val="32"/>
        </w:rPr>
        <w:t>支出</w:t>
      </w:r>
      <w:r>
        <w:rPr>
          <w:rFonts w:hint="eastAsia" w:ascii="仿宋_GB2312" w:hAnsi="仿宋" w:eastAsia="仿宋_GB2312"/>
          <w:szCs w:val="32"/>
        </w:rPr>
        <w:t>总体情况及比上年减少9.07万元，主要原因2018年补发2016年绩效工资。</w:t>
      </w:r>
    </w:p>
    <w:p>
      <w:pPr>
        <w:widowControl/>
        <w:jc w:val="left"/>
        <w:rPr>
          <w:rFonts w:ascii="仿宋_GB2312" w:hAnsi="仿宋" w:eastAsia="仿宋_GB2312"/>
          <w:szCs w:val="32"/>
        </w:rPr>
      </w:pPr>
      <w:r>
        <w:rPr>
          <w:rFonts w:hint="eastAsia" w:ascii="仿宋_GB2312" w:hAnsi="仿宋" w:eastAsia="仿宋_GB2312"/>
          <w:szCs w:val="32"/>
        </w:rPr>
        <w:drawing>
          <wp:inline distT="0" distB="0" distL="114300" distR="114300">
            <wp:extent cx="5184775" cy="2895600"/>
            <wp:effectExtent l="4445" t="4445" r="11430"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rPr>
        <w:t>151.52</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相比，财政拨款支出</w:t>
      </w:r>
      <w:r>
        <w:rPr>
          <w:rFonts w:hint="eastAsia" w:ascii="仿宋_GB2312" w:hAnsi="宋体" w:eastAsia="仿宋_GB2312" w:cs="仿宋_GB2312"/>
          <w:color w:val="000000"/>
          <w:kern w:val="0"/>
          <w:szCs w:val="32"/>
        </w:rPr>
        <w:t>减少9.07</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减少6</w:t>
      </w:r>
      <w:r>
        <w:rPr>
          <w:rFonts w:ascii="仿宋_GB2312" w:hAnsi="宋体" w:eastAsia="仿宋_GB2312" w:cs="仿宋_GB2312"/>
          <w:color w:val="000000"/>
          <w:kern w:val="0"/>
          <w:szCs w:val="32"/>
        </w:rPr>
        <w:t>%，主要</w:t>
      </w:r>
      <w:r>
        <w:rPr>
          <w:rFonts w:hint="eastAsia" w:ascii="仿宋_GB2312" w:hAnsi="宋体" w:eastAsia="仿宋_GB2312" w:cs="仿宋_GB2312"/>
          <w:color w:val="000000"/>
          <w:kern w:val="0"/>
          <w:szCs w:val="32"/>
        </w:rPr>
        <w:t>原因是2018年人员补发2016年职工绩效工资。</w:t>
      </w:r>
    </w:p>
    <w:p>
      <w:pPr>
        <w:widowControl/>
        <w:spacing w:line="560" w:lineRule="exact"/>
        <w:jc w:val="left"/>
        <w:rPr>
          <w:rFonts w:ascii="仿宋_GB2312" w:hAnsi="宋体" w:eastAsia="仿宋_GB2312" w:cs="仿宋_GB2312"/>
          <w:color w:val="000000"/>
          <w:kern w:val="0"/>
          <w:szCs w:val="32"/>
        </w:rPr>
      </w:pPr>
    </w:p>
    <w:p>
      <w:pPr>
        <w:widowControl/>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drawing>
          <wp:inline distT="0" distB="0" distL="114300" distR="114300">
            <wp:extent cx="5318760" cy="3067685"/>
            <wp:effectExtent l="4445" t="5080" r="10795" b="1333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jc w:val="left"/>
        <w:rPr>
          <w:rFonts w:ascii="仿宋_GB2312" w:hAnsi="宋体" w:eastAsia="仿宋_GB2312" w:cs="仿宋_GB2312"/>
          <w:color w:val="000000"/>
          <w:kern w:val="0"/>
          <w:szCs w:val="32"/>
        </w:rPr>
      </w:pPr>
    </w:p>
    <w:p>
      <w:pPr>
        <w:spacing w:line="560" w:lineRule="exact"/>
        <w:ind w:firstLine="643" w:firstLineChars="200"/>
        <w:rPr>
          <w:rFonts w:ascii="仿宋_GB2312" w:hAnsi="仿宋" w:eastAsia="仿宋_GB2312"/>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120.49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151.52</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rPr>
          <w:rFonts w:eastAsia="仿宋_GB2312"/>
        </w:rPr>
      </w:pPr>
      <w:r>
        <w:rPr>
          <w:rFonts w:ascii="仿宋_GB2312" w:hAnsi="宋体" w:eastAsia="仿宋_GB2312" w:cs="仿宋_GB2312"/>
          <w:b/>
          <w:color w:val="000000"/>
          <w:kern w:val="0"/>
          <w:szCs w:val="32"/>
        </w:rPr>
        <w:t xml:space="preserve">1. </w:t>
      </w:r>
      <w:r>
        <w:rPr>
          <w:rFonts w:hint="eastAsia" w:ascii="仿宋_GB2312" w:hAnsi="宋体" w:eastAsia="仿宋_GB2312" w:cs="仿宋_GB2312"/>
          <w:b/>
          <w:color w:val="000000"/>
          <w:kern w:val="0"/>
          <w:szCs w:val="32"/>
        </w:rPr>
        <w:t>体育场馆</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108.5</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124.94</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。其中包含人员经费、公用经费和项目支出，年初人员经费预算为104.4万元，人员经费支出决赛为119.06万元。</w:t>
      </w:r>
      <w:r>
        <w:rPr>
          <w:rFonts w:ascii="仿宋_GB2312" w:hAnsi="宋体" w:eastAsia="仿宋_GB2312" w:cs="仿宋_GB2312"/>
          <w:color w:val="000000"/>
          <w:kern w:val="0"/>
          <w:szCs w:val="32"/>
        </w:rPr>
        <w:t>大于预算的主要原因是</w:t>
      </w:r>
      <w:r>
        <w:rPr>
          <w:rFonts w:hint="eastAsia" w:ascii="仿宋_GB2312" w:hAnsi="宋体" w:eastAsia="仿宋_GB2312" w:cs="仿宋_GB2312"/>
          <w:color w:val="000000"/>
          <w:kern w:val="0"/>
          <w:szCs w:val="32"/>
        </w:rPr>
        <w:t>调资和发2018年绩效工资。公用经费年初预算数为4.09万元，预算公用经费决算数为4.09万元（</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持平）。项目支出年初预算为12万元，支出决算为26.58万元，大于预算的主要原因是2019年体育馆维护修改造。</w:t>
      </w:r>
    </w:p>
    <w:p>
      <w:pPr>
        <w:widowControl/>
        <w:numPr>
          <w:ilvl w:val="0"/>
          <w:numId w:val="3"/>
        </w:numPr>
        <w:spacing w:line="560" w:lineRule="exact"/>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住房公积金</w:t>
      </w:r>
    </w:p>
    <w:p>
      <w:pPr>
        <w:widowControl/>
        <w:spacing w:line="560" w:lineRule="exact"/>
        <w:ind w:left="321"/>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 xml:space="preserve"> 年初预算数在体育场馆人员经费包含，决算数1.79万元</w:t>
      </w:r>
      <w:r>
        <w:rPr>
          <w:rFonts w:hint="eastAsia" w:ascii="仿宋_GB2312" w:hAnsi="宋体" w:eastAsia="仿宋_GB2312" w:cs="仿宋_GB2312"/>
          <w:color w:val="000000"/>
          <w:kern w:val="0"/>
          <w:szCs w:val="32"/>
          <w:lang w:eastAsia="zh-CN"/>
        </w:rPr>
        <w:t>。</w:t>
      </w:r>
    </w:p>
    <w:p>
      <w:pPr>
        <w:widowControl/>
        <w:spacing w:line="560" w:lineRule="exact"/>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原因：功能分类科目调整，公积金单位承担部分调整过来。</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 xml:space="preserve">六、一般公共预算财政拨款基本支出决算情况说明 </w:t>
      </w:r>
    </w:p>
    <w:p>
      <w:pPr>
        <w:spacing w:line="560" w:lineRule="exact"/>
        <w:ind w:firstLine="620" w:firstLineChars="200"/>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151.52</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120.85</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4.09</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b/>
          <w:bCs/>
          <w:color w:val="000000"/>
          <w:kern w:val="0"/>
          <w:szCs w:val="32"/>
        </w:rPr>
        <w:t>120.85</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rPr>
        <w:t>33.3万元，津贴补贴10.65万元，绩效工资43.99万元，机关事业单位基本养老保险费6.4万元，住房公积金1.79万元，职工基本医疗保险费3.11万元，生活补助21.58万元，其他对个人和家庭的补助0.04万元。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b/>
          <w:bCs/>
          <w:color w:val="000000"/>
          <w:kern w:val="0"/>
          <w:szCs w:val="32"/>
        </w:rPr>
        <w:t>4.09</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rPr>
        <w:t>3.37万元，印刷费0.2万元，水费0.1万元，邮电费0.15万元，差旅费0.26万元。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七、一般公共预算财政拨款“三公”经费及会议费、培训费支出决算情况说明 </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hint="eastAsia" w:ascii="仿宋_GB2312" w:hAnsi="宋体" w:eastAsia="仿宋_GB2312" w:cs="仿宋_GB2312"/>
          <w:color w:val="000000"/>
          <w:kern w:val="0"/>
          <w:szCs w:val="32"/>
        </w:rPr>
        <w:t xml:space="preserve">   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我单位无三公经费支出。</w:t>
      </w:r>
    </w:p>
    <w:p>
      <w:pPr>
        <w:spacing w:line="560" w:lineRule="exact"/>
        <w:ind w:firstLine="643" w:firstLineChars="200"/>
        <w:rPr>
          <w:rFonts w:ascii="仿宋_GB2312" w:hAnsi="仿宋_GB2312" w:eastAsia="仿宋_GB2312" w:cs="仿宋_GB2312"/>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费支出0万元，占0</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%。具体情况如下：</w:t>
      </w:r>
    </w:p>
    <w:p>
      <w:pPr>
        <w:spacing w:line="560" w:lineRule="exact"/>
        <w:ind w:firstLine="640" w:firstLineChars="200"/>
        <w:rPr>
          <w:rFonts w:ascii="仿宋_GB2312" w:hAnsi="仿宋" w:eastAsia="仿宋_GB2312"/>
          <w:bCs/>
          <w:szCs w:val="32"/>
        </w:rPr>
      </w:pPr>
      <w:r>
        <w:rPr>
          <w:rFonts w:hint="eastAsia" w:ascii="仿宋_GB2312" w:hAnsi="仿宋" w:eastAsia="仿宋_GB2312"/>
          <w:bCs/>
          <w:szCs w:val="32"/>
        </w:rPr>
        <w:t>1.因公出国（境）支出情况</w:t>
      </w:r>
      <w:r>
        <w:rPr>
          <w:rFonts w:hint="eastAsia" w:ascii="楷体_GB2312" w:hAnsi="宋体" w:eastAsia="楷体_GB2312" w:cs="楷体_GB2312"/>
          <w:color w:val="000000"/>
          <w:kern w:val="0"/>
          <w:szCs w:val="32"/>
        </w:rPr>
        <w:t>说明</w:t>
      </w:r>
      <w:r>
        <w:rPr>
          <w:rFonts w:hint="eastAsia" w:ascii="仿宋_GB2312" w:hAnsi="仿宋" w:eastAsia="仿宋_GB2312"/>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2019年度因公出国（境）团组0</w:t>
      </w:r>
      <w:r>
        <w:rPr>
          <w:rFonts w:hint="eastAsia" w:ascii="仿宋_GB2312" w:hAnsi="仿宋_GB2312" w:eastAsia="仿宋_GB2312" w:cs="仿宋_GB2312"/>
          <w:szCs w:val="32"/>
        </w:rPr>
        <w:t>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没有因公出国（境）。</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1600" w:firstLineChars="5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2019因公出国（境）支出情况表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20" w:firstLineChars="2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年度</w:t>
            </w:r>
          </w:p>
        </w:tc>
        <w:tc>
          <w:tcPr>
            <w:tcW w:w="1419" w:type="dxa"/>
          </w:tcPr>
          <w:p>
            <w:pPr>
              <w:widowControl/>
              <w:spacing w:line="560" w:lineRule="exact"/>
              <w:ind w:firstLine="210" w:firstLineChars="1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支出预算</w:t>
            </w:r>
          </w:p>
        </w:tc>
        <w:tc>
          <w:tcPr>
            <w:tcW w:w="1420" w:type="dxa"/>
          </w:tcPr>
          <w:p>
            <w:pPr>
              <w:widowControl/>
              <w:spacing w:line="560" w:lineRule="exact"/>
              <w:ind w:firstLine="210" w:firstLineChars="1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支出决算</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人数</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完成预算%</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20" w:firstLineChars="2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2019年</w:t>
            </w:r>
          </w:p>
        </w:tc>
        <w:tc>
          <w:tcPr>
            <w:tcW w:w="1419"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0 </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0</w:t>
            </w:r>
          </w:p>
        </w:tc>
        <w:tc>
          <w:tcPr>
            <w:tcW w:w="1420" w:type="dxa"/>
          </w:tcPr>
          <w:p>
            <w:pPr>
              <w:widowControl/>
              <w:spacing w:line="560" w:lineRule="exact"/>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 xml:space="preserve">    0</w:t>
            </w:r>
          </w:p>
        </w:tc>
        <w:tc>
          <w:tcPr>
            <w:tcW w:w="1420"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0</w:t>
            </w:r>
          </w:p>
        </w:tc>
        <w:tc>
          <w:tcPr>
            <w:tcW w:w="1420" w:type="dxa"/>
          </w:tcPr>
          <w:p>
            <w:pPr>
              <w:widowControl/>
              <w:spacing w:line="560" w:lineRule="exact"/>
              <w:ind w:firstLine="630" w:firstLineChars="300"/>
              <w:jc w:val="left"/>
              <w:rPr>
                <w:rFonts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0</w:t>
            </w:r>
          </w:p>
        </w:tc>
      </w:tr>
    </w:tbl>
    <w:p>
      <w:pPr>
        <w:numPr>
          <w:ilvl w:val="0"/>
          <w:numId w:val="4"/>
        </w:numPr>
        <w:spacing w:line="560" w:lineRule="exact"/>
        <w:ind w:firstLine="640" w:firstLineChars="200"/>
        <w:rPr>
          <w:rFonts w:ascii="仿宋_GB2312" w:hAnsi="仿宋" w:eastAsia="仿宋_GB2312"/>
          <w:bCs/>
          <w:szCs w:val="32"/>
        </w:rPr>
      </w:pPr>
      <w:r>
        <w:rPr>
          <w:rFonts w:hint="eastAsia" w:ascii="仿宋_GB2312" w:hAnsi="仿宋" w:eastAsia="仿宋_GB2312"/>
          <w:bCs/>
          <w:szCs w:val="32"/>
        </w:rPr>
        <w:t>公务用车购置费用支出情况</w:t>
      </w:r>
      <w:r>
        <w:rPr>
          <w:rFonts w:hint="eastAsia" w:ascii="楷体_GB2312" w:hAnsi="宋体" w:eastAsia="楷体_GB2312" w:cs="楷体_GB2312"/>
          <w:color w:val="000000"/>
          <w:kern w:val="0"/>
          <w:szCs w:val="32"/>
        </w:rPr>
        <w:t>说明</w:t>
      </w:r>
      <w:r>
        <w:rPr>
          <w:rFonts w:hint="eastAsia" w:ascii="仿宋_GB2312" w:hAnsi="仿宋" w:eastAsia="仿宋_GB2312"/>
          <w:bCs/>
          <w:szCs w:val="32"/>
        </w:rPr>
        <w:t>。</w:t>
      </w:r>
    </w:p>
    <w:p>
      <w:pPr>
        <w:numPr>
          <w:ilvl w:val="0"/>
          <w:numId w:val="4"/>
        </w:numPr>
        <w:spacing w:line="560" w:lineRule="exact"/>
        <w:ind w:firstLine="640" w:firstLineChars="200"/>
        <w:rPr>
          <w:rFonts w:ascii="仿宋_GB2312" w:hAnsi="宋体" w:eastAsia="仿宋_GB2312" w:cs="仿宋_GB2312"/>
          <w:color w:val="000000"/>
          <w:kern w:val="0"/>
          <w:szCs w:val="32"/>
        </w:rPr>
      </w:pPr>
      <w:r>
        <w:rPr>
          <w:rFonts w:hint="eastAsia" w:ascii="仿宋_GB2312" w:hAnsi="仿宋" w:eastAsia="仿宋_GB2312"/>
          <w:szCs w:val="32"/>
        </w:rPr>
        <w:t>2019年度购置车辆0</w:t>
      </w:r>
      <w:r>
        <w:rPr>
          <w:rFonts w:hint="eastAsia" w:ascii="仿宋_GB2312" w:hAnsi="仿宋_GB2312" w:eastAsia="仿宋_GB2312" w:cs="仿宋_GB2312"/>
          <w:szCs w:val="32"/>
        </w:rPr>
        <w:t>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_GB2312" w:hAnsi="宋体" w:eastAsia="仿宋_GB2312" w:cs="仿宋_GB2312"/>
          <w:color w:val="000000"/>
          <w:kern w:val="0"/>
          <w:szCs w:val="32"/>
        </w:rPr>
        <w:t>没有购置车辆。</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2560" w:firstLineChars="8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2019年度购置车辆情况表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车辆数</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2019年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_GB2312" w:hAnsi="宋体" w:eastAsia="仿宋_GB2312" w:cs="仿宋_GB2312"/>
          <w:color w:val="000000"/>
          <w:kern w:val="0"/>
          <w:szCs w:val="32"/>
        </w:rPr>
        <w:t>没有公务用车。</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960" w:firstLineChars="3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2019年度公务用车运行维护费情况表</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776"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2019年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776"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spacing w:line="560" w:lineRule="exact"/>
        <w:ind w:left="643"/>
        <w:rPr>
          <w:rFonts w:ascii="仿宋_GB2312" w:hAnsi="仿宋" w:eastAsia="仿宋_GB2312"/>
          <w:b/>
          <w:bCs/>
          <w:szCs w:val="32"/>
        </w:rPr>
      </w:pPr>
      <w:r>
        <w:rPr>
          <w:rFonts w:hint="eastAsia" w:ascii="仿宋_GB2312" w:hAnsi="仿宋" w:eastAsia="仿宋_GB2312"/>
          <w:b/>
          <w:bCs/>
          <w:szCs w:val="32"/>
        </w:rPr>
        <w:t>4.公务接待费支出情况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hint="eastAsia" w:ascii="仿宋_GB2312" w:hAnsi="仿宋" w:eastAsia="仿宋_GB2312"/>
          <w:szCs w:val="32"/>
        </w:rPr>
        <w:t>2019年度公务接待0</w:t>
      </w:r>
      <w:r>
        <w:rPr>
          <w:rFonts w:hint="eastAsia" w:ascii="仿宋_GB2312" w:hAnsi="仿宋_GB2312" w:eastAsia="仿宋_GB2312" w:cs="仿宋_GB2312"/>
          <w:szCs w:val="32"/>
        </w:rPr>
        <w:t>批次，0人次，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100%，决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没有公务接待。</w:t>
      </w:r>
    </w:p>
    <w:p>
      <w:pPr>
        <w:widowControl/>
        <w:spacing w:line="560" w:lineRule="exact"/>
        <w:ind w:firstLine="1920" w:firstLineChars="6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2019年度公务接待费支出情况表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746"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2019年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746"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spacing w:line="560" w:lineRule="exact"/>
        <w:rPr>
          <w:rFonts w:ascii="仿宋_GB2312" w:hAnsi="宋体" w:eastAsia="仿宋_GB2312" w:cs="仿宋_GB2312"/>
          <w:color w:val="000000"/>
          <w:kern w:val="0"/>
          <w:szCs w:val="32"/>
        </w:rPr>
      </w:pPr>
    </w:p>
    <w:p>
      <w:pPr>
        <w:numPr>
          <w:ilvl w:val="0"/>
          <w:numId w:val="2"/>
        </w:numPr>
        <w:spacing w:line="560" w:lineRule="exact"/>
        <w:ind w:left="0" w:leftChars="0" w:firstLine="643" w:firstLineChars="200"/>
        <w:rPr>
          <w:rFonts w:hint="eastAsia"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培训费支出情况说明。</w:t>
      </w:r>
    </w:p>
    <w:p>
      <w:pPr>
        <w:numPr>
          <w:ilvl w:val="0"/>
          <w:numId w:val="0"/>
        </w:numPr>
        <w:spacing w:line="560" w:lineRule="exact"/>
        <w:ind w:firstLine="640" w:firstLineChars="200"/>
        <w:rPr>
          <w:rFonts w:hint="eastAsia"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无培训。</w:t>
      </w:r>
    </w:p>
    <w:p>
      <w:pPr>
        <w:numPr>
          <w:ilvl w:val="0"/>
          <w:numId w:val="0"/>
        </w:numPr>
        <w:spacing w:line="560" w:lineRule="exact"/>
        <w:ind w:firstLine="640" w:firstLineChars="200"/>
        <w:rPr>
          <w:rFonts w:hint="eastAsia" w:ascii="仿宋_GB2312" w:hAnsi="宋体" w:eastAsia="仿宋_GB2312" w:cs="仿宋_GB2312"/>
          <w:color w:val="000000"/>
          <w:kern w:val="0"/>
          <w:szCs w:val="32"/>
        </w:rPr>
      </w:pPr>
    </w:p>
    <w:p>
      <w:pPr>
        <w:widowControl/>
        <w:spacing w:line="560" w:lineRule="exact"/>
        <w:ind w:firstLine="2240" w:firstLineChars="7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2019年度培训费支出情况表</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851"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2019年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851"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widowControl/>
        <w:spacing w:line="560" w:lineRule="exact"/>
        <w:jc w:val="left"/>
        <w:rPr>
          <w:rFonts w:ascii="仿宋_GB2312" w:hAnsi="宋体" w:eastAsia="仿宋_GB2312" w:cs="仿宋_GB2312"/>
          <w:color w:val="000000"/>
          <w:kern w:val="0"/>
          <w:szCs w:val="32"/>
        </w:rPr>
      </w:pP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_GB2312" w:hAnsi="宋体" w:eastAsia="仿宋_GB2312" w:cs="仿宋_GB2312"/>
          <w:color w:val="000000"/>
          <w:kern w:val="0"/>
          <w:szCs w:val="32"/>
        </w:rPr>
        <w:t>是无会议费。</w:t>
      </w:r>
    </w:p>
    <w:p>
      <w:pPr>
        <w:widowControl/>
        <w:spacing w:line="560" w:lineRule="exact"/>
        <w:jc w:val="left"/>
        <w:rPr>
          <w:rFonts w:ascii="仿宋_GB2312" w:hAnsi="宋体" w:eastAsia="仿宋_GB2312" w:cs="仿宋_GB2312"/>
          <w:color w:val="000000"/>
          <w:kern w:val="0"/>
          <w:szCs w:val="32"/>
        </w:rPr>
      </w:pPr>
    </w:p>
    <w:p>
      <w:pPr>
        <w:widowControl/>
        <w:spacing w:line="560" w:lineRule="exact"/>
        <w:ind w:firstLine="2240" w:firstLineChars="7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2019年度会议费支出情况表</w:t>
      </w:r>
    </w:p>
    <w:tbl>
      <w:tblPr>
        <w:tblStyle w:val="8"/>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年度</w:t>
            </w:r>
          </w:p>
        </w:tc>
        <w:tc>
          <w:tcPr>
            <w:tcW w:w="1419"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支出预算</w:t>
            </w:r>
          </w:p>
        </w:tc>
        <w:tc>
          <w:tcPr>
            <w:tcW w:w="1420" w:type="dxa"/>
          </w:tcPr>
          <w:p>
            <w:pPr>
              <w:widowControl/>
              <w:spacing w:line="560" w:lineRule="exact"/>
              <w:ind w:firstLine="200" w:firstLineChars="1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支出决算</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完成预算%</w:t>
            </w:r>
          </w:p>
        </w:tc>
        <w:tc>
          <w:tcPr>
            <w:tcW w:w="2866"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决算较预算减少(增加）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spacing w:line="560" w:lineRule="exact"/>
              <w:ind w:firstLine="400" w:firstLineChars="2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2019年</w:t>
            </w:r>
          </w:p>
        </w:tc>
        <w:tc>
          <w:tcPr>
            <w:tcW w:w="1419"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0 </w:t>
            </w:r>
          </w:p>
        </w:tc>
        <w:tc>
          <w:tcPr>
            <w:tcW w:w="1420" w:type="dxa"/>
          </w:tcPr>
          <w:p>
            <w:pPr>
              <w:widowControl/>
              <w:spacing w:line="560" w:lineRule="exact"/>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 xml:space="preserve">     0</w:t>
            </w:r>
          </w:p>
        </w:tc>
        <w:tc>
          <w:tcPr>
            <w:tcW w:w="1420"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c>
          <w:tcPr>
            <w:tcW w:w="2866" w:type="dxa"/>
          </w:tcPr>
          <w:p>
            <w:pPr>
              <w:widowControl/>
              <w:spacing w:line="560" w:lineRule="exact"/>
              <w:ind w:firstLine="600" w:firstLineChars="300"/>
              <w:jc w:val="left"/>
              <w:rPr>
                <w:rFonts w:ascii="仿宋_GB2312" w:hAnsi="宋体" w:eastAsia="仿宋_GB2312" w:cs="仿宋_GB2312"/>
                <w:color w:val="000000"/>
                <w:kern w:val="0"/>
                <w:sz w:val="20"/>
              </w:rPr>
            </w:pPr>
            <w:r>
              <w:rPr>
                <w:rFonts w:hint="eastAsia" w:ascii="仿宋_GB2312" w:hAnsi="宋体" w:eastAsia="仿宋_GB2312" w:cs="仿宋_GB2312"/>
                <w:color w:val="000000"/>
                <w:kern w:val="0"/>
                <w:sz w:val="20"/>
              </w:rPr>
              <w:t>0</w:t>
            </w:r>
          </w:p>
        </w:tc>
      </w:tr>
    </w:tbl>
    <w:p>
      <w:pPr>
        <w:widowControl/>
        <w:spacing w:line="560" w:lineRule="exact"/>
        <w:jc w:val="left"/>
        <w:rPr>
          <w:rFonts w:ascii="仿宋_GB2312" w:hAnsi="宋体" w:eastAsia="仿宋_GB2312" w:cs="仿宋_GB2312"/>
          <w:color w:val="000000"/>
          <w:kern w:val="0"/>
          <w:szCs w:val="32"/>
        </w:rPr>
      </w:pP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八、政府性基金预算财政拨款收入支出情况说明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hint="eastAsia"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年一般公共预算2个项目支出开展了绩效自评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rPr>
        <w:t>0</w:t>
      </w:r>
      <w:r>
        <w:rPr>
          <w:rFonts w:ascii="仿宋_GB2312" w:hAnsi="仿宋_GB2312" w:eastAsia="仿宋_GB2312" w:cs="仿宋_GB2312"/>
          <w:szCs w:val="32"/>
        </w:rPr>
        <w:t>个，二级项目</w:t>
      </w:r>
      <w:r>
        <w:rPr>
          <w:rFonts w:hint="eastAsia" w:ascii="仿宋_GB2312" w:hAnsi="仿宋_GB2312" w:eastAsia="仿宋_GB2312" w:cs="仿宋_GB2312"/>
          <w:szCs w:val="32"/>
        </w:rPr>
        <w:t>2</w:t>
      </w:r>
      <w:r>
        <w:rPr>
          <w:rFonts w:ascii="仿宋_GB2312" w:hAnsi="仿宋_GB2312" w:eastAsia="仿宋_GB2312" w:cs="仿宋_GB2312"/>
          <w:szCs w:val="32"/>
        </w:rPr>
        <w:t>个，共涉及资金</w:t>
      </w:r>
      <w:r>
        <w:rPr>
          <w:rFonts w:hint="eastAsia" w:ascii="仿宋_GB2312" w:hAnsi="仿宋_GB2312" w:eastAsia="仿宋_GB2312" w:cs="仿宋_GB2312"/>
          <w:szCs w:val="32"/>
        </w:rPr>
        <w:t>26.58</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涉及项目0个，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年度部门整体进行了绩效自评，涉及资金26.58万元。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 xml:space="preserve"> </w:t>
      </w:r>
      <w:r>
        <w:rPr>
          <w:rFonts w:hint="eastAsia" w:ascii="仿宋_GB2312" w:hAnsi="仿宋_GB2312" w:eastAsia="仿宋_GB2312" w:cs="仿宋_GB2312"/>
          <w:color w:val="000000"/>
          <w:kern w:val="0"/>
          <w:sz w:val="31"/>
          <w:szCs w:val="31"/>
        </w:rPr>
        <w:t>1、体育活动经费</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themeColor="text1"/>
          <w:kern w:val="0"/>
          <w:sz w:val="31"/>
          <w:szCs w:val="31"/>
          <w14:textFill>
            <w14:solidFill>
              <w14:schemeClr w14:val="tx1"/>
            </w14:solidFill>
          </w14:textFill>
        </w:rPr>
        <w:t>90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2</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2</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ind w:firstLine="620" w:firstLineChars="200"/>
        <w:rPr>
          <w:rFonts w:ascii="黑体" w:hAnsi="宋体" w:eastAsia="黑体"/>
          <w:szCs w:val="32"/>
        </w:rPr>
      </w:pPr>
      <w:r>
        <w:rPr>
          <w:rFonts w:ascii="仿宋_GB2312" w:hAnsi="仿宋_GB2312" w:eastAsia="仿宋_GB2312" w:cs="仿宋_GB2312"/>
          <w:color w:val="000000"/>
          <w:kern w:val="0"/>
          <w:sz w:val="31"/>
          <w:szCs w:val="31"/>
        </w:rPr>
        <w:t>主要产出和效果：</w:t>
      </w:r>
    </w:p>
    <w:p>
      <w:pPr>
        <w:ind w:firstLine="640" w:firstLineChars="200"/>
        <w:rPr>
          <w:rFonts w:ascii="仿宋_GB2312" w:eastAsia="仿宋_GB2312"/>
          <w:szCs w:val="32"/>
        </w:rPr>
      </w:pPr>
      <w:r>
        <w:rPr>
          <w:rFonts w:hint="eastAsia" w:ascii="仿宋_GB2312" w:eastAsia="仿宋_GB2312"/>
          <w:szCs w:val="32"/>
        </w:rPr>
        <w:t>2019年以来，阎良区体育场干部职工为了充分发挥和调动社会各方面的力量，开展了一系列群众体育活动，努力提升阎良区广大群众体质。分别组织开展了如下活动：</w:t>
      </w:r>
    </w:p>
    <w:p>
      <w:pPr>
        <w:ind w:firstLine="640" w:firstLineChars="200"/>
        <w:rPr>
          <w:rFonts w:ascii="仿宋_GB2312" w:eastAsia="仿宋_GB2312"/>
          <w:szCs w:val="32"/>
        </w:rPr>
      </w:pPr>
      <w:r>
        <w:rPr>
          <w:rFonts w:hint="eastAsia" w:ascii="仿宋_GB2312" w:eastAsia="仿宋_GB2312"/>
          <w:szCs w:val="32"/>
        </w:rPr>
        <w:t>（1）2018年12月30日至2019年1月1日在文体中心体育馆成功举办了“风云决品牌系列武术散打赛”；</w:t>
      </w:r>
    </w:p>
    <w:p>
      <w:pPr>
        <w:ind w:firstLine="640" w:firstLineChars="200"/>
        <w:rPr>
          <w:rFonts w:ascii="仿宋_GB2312" w:eastAsia="仿宋_GB2312"/>
          <w:szCs w:val="32"/>
        </w:rPr>
      </w:pPr>
      <w:r>
        <w:rPr>
          <w:rFonts w:hint="eastAsia" w:ascii="仿宋_GB2312" w:eastAsia="仿宋_GB2312"/>
          <w:szCs w:val="32"/>
        </w:rPr>
        <w:t>（2）2019年1月27日在文体中心体育馆举办了“西安年·最中国”体育健康嘉年华艾尔曼街舞展演；</w:t>
      </w:r>
    </w:p>
    <w:p>
      <w:pPr>
        <w:ind w:firstLine="640" w:firstLineChars="200"/>
        <w:rPr>
          <w:rFonts w:ascii="仿宋_GB2312" w:eastAsia="仿宋_GB2312"/>
          <w:szCs w:val="32"/>
        </w:rPr>
      </w:pPr>
      <w:r>
        <w:rPr>
          <w:rFonts w:hint="eastAsia" w:ascii="仿宋_GB2312" w:eastAsia="仿宋_GB2312"/>
          <w:szCs w:val="32"/>
        </w:rPr>
        <w:t>（3）2019年2月19日在千禧广场举办了“富阎同城，文化先行”庆新春文化系列活动展演；</w:t>
      </w:r>
    </w:p>
    <w:p>
      <w:pPr>
        <w:ind w:firstLine="640" w:firstLineChars="200"/>
        <w:rPr>
          <w:rFonts w:ascii="仿宋_GB2312" w:eastAsia="仿宋_GB2312"/>
          <w:szCs w:val="32"/>
        </w:rPr>
      </w:pPr>
      <w:r>
        <w:rPr>
          <w:rFonts w:hint="eastAsia" w:ascii="仿宋_GB2312" w:eastAsia="仿宋_GB2312"/>
          <w:szCs w:val="32"/>
        </w:rPr>
        <w:t>（4）2019年3月23日24日在西安航空学院足球场举办航空基地2019年足球联赛；</w:t>
      </w:r>
    </w:p>
    <w:p>
      <w:pPr>
        <w:ind w:firstLine="640" w:firstLineChars="200"/>
        <w:rPr>
          <w:rFonts w:ascii="仿宋_GB2312" w:eastAsia="仿宋_GB2312"/>
          <w:szCs w:val="32"/>
        </w:rPr>
      </w:pPr>
      <w:r>
        <w:rPr>
          <w:rFonts w:hint="eastAsia" w:ascii="仿宋_GB2312" w:eastAsia="仿宋_GB2312"/>
          <w:szCs w:val="32"/>
        </w:rPr>
        <w:t>（5）2019年4月21日上午在西航院体育场承办了“陕西体彩2019陕西省群众足球乙级联赛（西安阎良赛区）”；</w:t>
      </w:r>
    </w:p>
    <w:p>
      <w:pPr>
        <w:ind w:firstLine="640" w:firstLineChars="200"/>
        <w:rPr>
          <w:rFonts w:ascii="仿宋_GB2312" w:eastAsia="仿宋_GB2312"/>
          <w:szCs w:val="32"/>
        </w:rPr>
      </w:pPr>
      <w:r>
        <w:rPr>
          <w:rFonts w:hint="eastAsia" w:ascii="仿宋_GB2312" w:eastAsia="仿宋_GB2312"/>
          <w:szCs w:val="32"/>
        </w:rPr>
        <w:t>（6）2019年5月26日在阎良区创业路弘阳地产阎良昕悦府项目门前举办了“弘阳·昕悦府杯”健步走活动；</w:t>
      </w:r>
    </w:p>
    <w:p>
      <w:pPr>
        <w:ind w:firstLine="640" w:firstLineChars="200"/>
        <w:rPr>
          <w:rFonts w:ascii="仿宋_GB2312" w:eastAsia="仿宋_GB2312"/>
          <w:szCs w:val="32"/>
        </w:rPr>
      </w:pPr>
      <w:r>
        <w:rPr>
          <w:rFonts w:hint="eastAsia" w:ascii="仿宋_GB2312" w:eastAsia="仿宋_GB2312"/>
          <w:szCs w:val="32"/>
        </w:rPr>
        <w:t>（7）2019年6月14日至16日在文体中心体育馆举办了阎良区“众天杯”首届职工乒乓赛。</w:t>
      </w:r>
    </w:p>
    <w:p>
      <w:pPr>
        <w:ind w:firstLine="640" w:firstLineChars="200"/>
        <w:rPr>
          <w:rFonts w:ascii="仿宋_GB2312" w:eastAsia="仿宋_GB2312"/>
          <w:szCs w:val="32"/>
        </w:rPr>
      </w:pPr>
      <w:r>
        <w:rPr>
          <w:rFonts w:hint="eastAsia" w:ascii="仿宋_GB2312" w:eastAsia="仿宋_GB2312"/>
          <w:szCs w:val="32"/>
        </w:rPr>
        <w:t>（8）2019年7月30日在文体中心体育馆承办了阎良区“舞动长安”2019年西安市全民健身技能大赛（阎良赛区）；</w:t>
      </w:r>
    </w:p>
    <w:p>
      <w:pPr>
        <w:ind w:firstLine="640" w:firstLineChars="200"/>
        <w:rPr>
          <w:rFonts w:ascii="仿宋_GB2312" w:eastAsia="仿宋_GB2312"/>
          <w:szCs w:val="32"/>
        </w:rPr>
      </w:pPr>
      <w:r>
        <w:rPr>
          <w:rFonts w:hint="eastAsia" w:ascii="仿宋_GB2312" w:eastAsia="仿宋_GB2312"/>
          <w:szCs w:val="32"/>
        </w:rPr>
        <w:t>（9）2019年9月26日在文体中心体育馆协助阎良区老体协举办了全民健身技能大赛展示表演；</w:t>
      </w:r>
    </w:p>
    <w:p>
      <w:pPr>
        <w:ind w:firstLine="640" w:firstLineChars="200"/>
        <w:rPr>
          <w:rFonts w:ascii="仿宋_GB2312" w:eastAsia="仿宋_GB2312"/>
          <w:szCs w:val="32"/>
        </w:rPr>
      </w:pPr>
      <w:r>
        <w:rPr>
          <w:rFonts w:hint="eastAsia" w:ascii="仿宋_GB2312" w:eastAsia="仿宋_GB2312"/>
          <w:szCs w:val="32"/>
        </w:rPr>
        <w:t>（10）2019年10月26日协助举办了《喜迎“十四运”相聚航空城2019西安市路跑联赛（阎良站）》比赛；</w:t>
      </w:r>
    </w:p>
    <w:p>
      <w:pPr>
        <w:ind w:firstLine="640" w:firstLineChars="200"/>
        <w:rPr>
          <w:rFonts w:ascii="仿宋_GB2312" w:eastAsia="仿宋_GB2312"/>
          <w:szCs w:val="32"/>
        </w:rPr>
      </w:pPr>
      <w:r>
        <w:rPr>
          <w:rFonts w:hint="eastAsia" w:ascii="仿宋_GB2312" w:eastAsia="仿宋_GB2312"/>
          <w:szCs w:val="32"/>
        </w:rPr>
        <w:t>（11）2019年11月2、3日在文体中心体育馆</w:t>
      </w:r>
      <w:r>
        <w:rPr>
          <w:rFonts w:hint="eastAsia" w:ascii="仿宋_GB2312" w:hAnsi="仿宋_GB2312" w:eastAsia="仿宋_GB2312" w:cs="仿宋_GB2312"/>
          <w:szCs w:val="32"/>
        </w:rPr>
        <w:t>举办2019航空城第二届“众天蜂业杯”全国毽球邀请赛;</w:t>
      </w:r>
    </w:p>
    <w:p>
      <w:pPr>
        <w:ind w:firstLine="640" w:firstLineChars="200"/>
        <w:rPr>
          <w:rFonts w:ascii="仿宋_GB2312" w:hAnsi="仿宋_GB2312" w:eastAsia="仿宋_GB2312" w:cs="仿宋_GB2312"/>
          <w:szCs w:val="32"/>
        </w:rPr>
      </w:pPr>
      <w:r>
        <w:rPr>
          <w:rFonts w:hint="eastAsia" w:ascii="仿宋_GB2312" w:eastAsia="仿宋_GB2312"/>
          <w:szCs w:val="32"/>
        </w:rPr>
        <w:t>（12）</w:t>
      </w:r>
      <w:r>
        <w:rPr>
          <w:rFonts w:hint="eastAsia" w:ascii="仿宋_GB2312" w:hAnsi="仿宋_GB2312" w:eastAsia="仿宋_GB2312" w:cs="仿宋_GB2312"/>
          <w:szCs w:val="32"/>
        </w:rPr>
        <w:t>2019年11月30日至12月1日举办了“喜迎十四运</w:t>
      </w:r>
      <w:r>
        <w:rPr>
          <w:rFonts w:hint="eastAsia" w:ascii="华文新魏" w:hAnsi="华文新魏" w:eastAsia="华文新魏" w:cs="华文新魏"/>
          <w:szCs w:val="32"/>
        </w:rPr>
        <w:t>·</w:t>
      </w:r>
      <w:r>
        <w:rPr>
          <w:rFonts w:hint="eastAsia" w:ascii="仿宋_GB2312" w:hAnsi="仿宋_GB2312" w:eastAsia="仿宋_GB2312" w:cs="仿宋_GB2312"/>
          <w:szCs w:val="32"/>
        </w:rPr>
        <w:t>相聚航空城”2019年陕西省青少年“飞向北京”教育竞赛（西安站）暨阎良区航空航天模型邀请赛。</w:t>
      </w:r>
    </w:p>
    <w:p>
      <w:pPr>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通过一系列的比赛活动大大调动了全区广大群众参与全民健身活动的热情，有力地促进了阎良区体育事业的蓬勃发展，取得了很好的社会效益。</w:t>
      </w:r>
    </w:p>
    <w:p>
      <w:pPr>
        <w:ind w:firstLine="620" w:firstLineChars="200"/>
        <w:rPr>
          <w:rFonts w:ascii="仿宋_GB2312" w:hAnsi="仿宋_GB2312" w:eastAsia="仿宋_GB2312" w:cs="仿宋_GB2312"/>
          <w:kern w:val="0"/>
          <w:sz w:val="31"/>
          <w:szCs w:val="31"/>
        </w:rPr>
      </w:pPr>
      <w:r>
        <w:rPr>
          <w:rFonts w:ascii="仿宋_GB2312" w:hAnsi="仿宋_GB2312" w:eastAsia="仿宋_GB2312" w:cs="仿宋_GB2312"/>
          <w:kern w:val="0"/>
          <w:sz w:val="31"/>
          <w:szCs w:val="31"/>
        </w:rPr>
        <w:t>通过项目实施</w:t>
      </w:r>
      <w:r>
        <w:rPr>
          <w:rFonts w:ascii="仿宋_GB2312" w:hAnsi="仿宋_GB2312" w:eastAsia="仿宋_GB2312" w:cs="仿宋_GB2312"/>
          <w:color w:val="000000" w:themeColor="text1"/>
          <w:kern w:val="0"/>
          <w:sz w:val="31"/>
          <w:szCs w:val="31"/>
          <w14:textFill>
            <w14:solidFill>
              <w14:schemeClr w14:val="tx1"/>
            </w14:solidFill>
          </w14:textFill>
        </w:rPr>
        <w:t>发现的问题及原因：</w:t>
      </w:r>
      <w:r>
        <w:rPr>
          <w:rFonts w:ascii="仿宋_GB2312" w:hAnsi="仿宋_GB2312" w:eastAsia="仿宋_GB2312" w:cs="仿宋_GB2312"/>
          <w:kern w:val="0"/>
          <w:sz w:val="31"/>
          <w:szCs w:val="31"/>
        </w:rPr>
        <w:t>发现的</w:t>
      </w:r>
      <w:r>
        <w:rPr>
          <w:rFonts w:hint="eastAsia" w:ascii="仿宋_GB2312" w:hAnsi="仿宋_GB2312" w:eastAsia="仿宋_GB2312" w:cs="仿宋_GB2312"/>
          <w:kern w:val="0"/>
          <w:sz w:val="31"/>
          <w:szCs w:val="31"/>
        </w:rPr>
        <w:t>存在经费不足的现象</w:t>
      </w:r>
      <w:r>
        <w:rPr>
          <w:rFonts w:ascii="仿宋_GB2312" w:hAnsi="仿宋_GB2312" w:eastAsia="仿宋_GB2312" w:cs="仿宋_GB2312"/>
          <w:kern w:val="0"/>
          <w:sz w:val="31"/>
          <w:szCs w:val="31"/>
        </w:rPr>
        <w:t>。</w:t>
      </w:r>
      <w:r>
        <w:rPr>
          <w:rFonts w:hint="eastAsia" w:ascii="仿宋_GB2312" w:hAnsi="仿宋_GB2312" w:eastAsia="仿宋_GB2312" w:cs="仿宋_GB2312"/>
          <w:kern w:val="0"/>
          <w:sz w:val="31"/>
          <w:szCs w:val="31"/>
        </w:rPr>
        <w:t>例如：2019年区财政拨付我场体育活动经费2万元，但按照区委、区政府，区文体局的工作安排开展了多次全区性体育活动，有的采取联合举办、有的采取多方赞助的形式，阻碍了我区体育事业健康发展。</w:t>
      </w:r>
    </w:p>
    <w:p>
      <w:pPr>
        <w:ind w:firstLine="620" w:firstLineChars="200"/>
        <w:rPr>
          <w:rFonts w:ascii="仿宋_GB2312" w:hAnsi="仿宋_GB2312" w:eastAsia="仿宋_GB2312" w:cs="仿宋_GB2312"/>
          <w:kern w:val="0"/>
          <w:sz w:val="31"/>
          <w:szCs w:val="31"/>
        </w:rPr>
      </w:pPr>
      <w:r>
        <w:rPr>
          <w:rFonts w:ascii="仿宋_GB2312" w:hAnsi="仿宋_GB2312" w:eastAsia="仿宋_GB2312" w:cs="仿宋_GB2312"/>
          <w:color w:val="000000" w:themeColor="text1"/>
          <w:kern w:val="0"/>
          <w:sz w:val="31"/>
          <w:szCs w:val="31"/>
          <w14:textFill>
            <w14:solidFill>
              <w14:schemeClr w14:val="tx1"/>
            </w14:solidFill>
          </w14:textFill>
        </w:rPr>
        <w:t>下一步改进措施：</w:t>
      </w:r>
      <w:r>
        <w:rPr>
          <w:rFonts w:hint="eastAsia" w:ascii="仿宋_GB2312" w:hAnsi="仿宋_GB2312" w:eastAsia="仿宋_GB2312" w:cs="仿宋_GB2312"/>
          <w:kern w:val="0"/>
          <w:sz w:val="31"/>
          <w:szCs w:val="31"/>
        </w:rPr>
        <w:t>希望新的一年度加大对我区体育事业财政的支持力度。</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2、非税返还经费</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themeColor="text1"/>
          <w:kern w:val="0"/>
          <w:sz w:val="31"/>
          <w:szCs w:val="31"/>
          <w14:textFill>
            <w14:solidFill>
              <w14:schemeClr w14:val="tx1"/>
            </w14:solidFill>
          </w14:textFill>
        </w:rPr>
        <w:t>90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10</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19.98</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ind w:firstLine="620" w:firstLineChars="200"/>
        <w:rPr>
          <w:rFonts w:ascii="仿宋_GB2312" w:hAnsi="仿宋_GB2312" w:eastAsia="仿宋_GB2312" w:cs="仿宋_GB2312"/>
          <w:color w:val="000000" w:themeColor="text1"/>
          <w:kern w:val="0"/>
          <w:sz w:val="31"/>
          <w:szCs w:val="31"/>
          <w14:textFill>
            <w14:solidFill>
              <w14:schemeClr w14:val="tx1"/>
            </w14:solidFill>
          </w14:textFill>
        </w:rPr>
      </w:pPr>
      <w:r>
        <w:rPr>
          <w:rFonts w:ascii="仿宋_GB2312" w:hAnsi="仿宋_GB2312" w:eastAsia="仿宋_GB2312" w:cs="仿宋_GB2312"/>
          <w:color w:val="000000" w:themeColor="text1"/>
          <w:kern w:val="0"/>
          <w:sz w:val="31"/>
          <w:szCs w:val="31"/>
          <w14:textFill>
            <w14:solidFill>
              <w14:schemeClr w14:val="tx1"/>
            </w14:solidFill>
          </w14:textFill>
        </w:rPr>
        <w:t>主要产出和效果：</w:t>
      </w:r>
    </w:p>
    <w:p>
      <w:pPr>
        <w:ind w:firstLine="620" w:firstLineChars="200"/>
        <w:rPr>
          <w:rFonts w:ascii="仿宋_GB2312" w:eastAsia="仿宋_GB2312"/>
          <w:szCs w:val="32"/>
        </w:rPr>
      </w:pPr>
      <w:r>
        <w:rPr>
          <w:rFonts w:hint="eastAsia" w:ascii="仿宋_GB2312" w:hAnsi="仿宋_GB2312" w:eastAsia="仿宋_GB2312" w:cs="仿宋_GB2312"/>
          <w:kern w:val="0"/>
          <w:sz w:val="31"/>
          <w:szCs w:val="31"/>
        </w:rPr>
        <w:t>保障了体育馆的正常运行，2019年</w:t>
      </w:r>
      <w:r>
        <w:rPr>
          <w:rFonts w:hint="eastAsia" w:ascii="仿宋_GB2312" w:eastAsia="仿宋_GB2312"/>
          <w:szCs w:val="32"/>
        </w:rPr>
        <w:t>体育馆共开展羽毛球活动1000余场次，乒乓球比赛活动400余场次，篮球比赛活动500余场次。每周一至周五上午9:00——11:30，对65岁以上的老年人（凭老年证或身份证）免费开放，全年共接待老年人5000余人次。每周三上午免费向社会开放，全年共接待体育健身人数10000余人次，有力地促进了阎良区体育事业的蓬勃开展。</w:t>
      </w:r>
    </w:p>
    <w:p>
      <w:pPr>
        <w:widowControl/>
        <w:spacing w:line="560" w:lineRule="exact"/>
        <w:ind w:firstLine="620" w:firstLineChars="200"/>
        <w:jc w:val="left"/>
        <w:rPr>
          <w:rFonts w:ascii="仿宋_GB2312" w:hAnsi="仿宋_GB2312" w:eastAsia="仿宋_GB2312" w:cs="仿宋_GB2312"/>
          <w:kern w:val="0"/>
          <w:sz w:val="31"/>
          <w:szCs w:val="31"/>
        </w:rPr>
      </w:pPr>
      <w:r>
        <w:rPr>
          <w:rFonts w:ascii="仿宋_GB2312" w:hAnsi="仿宋_GB2312" w:eastAsia="仿宋_GB2312" w:cs="仿宋_GB2312"/>
          <w:kern w:val="0"/>
          <w:sz w:val="31"/>
          <w:szCs w:val="31"/>
        </w:rPr>
        <w:t>通过项目实施</w:t>
      </w:r>
      <w:r>
        <w:rPr>
          <w:rFonts w:hint="eastAsia" w:ascii="仿宋_GB2312" w:hAnsi="仿宋_GB2312" w:eastAsia="仿宋_GB2312" w:cs="仿宋_GB2312"/>
          <w:kern w:val="0"/>
          <w:sz w:val="31"/>
          <w:szCs w:val="31"/>
        </w:rPr>
        <w:t>。</w:t>
      </w:r>
    </w:p>
    <w:p>
      <w:pPr>
        <w:widowControl/>
        <w:spacing w:line="560" w:lineRule="exact"/>
        <w:ind w:firstLine="620" w:firstLineChars="200"/>
        <w:jc w:val="left"/>
        <w:rPr>
          <w:rFonts w:ascii="仿宋_GB2312" w:hAnsi="仿宋_GB2312" w:eastAsia="仿宋_GB2312" w:cs="仿宋_GB2312"/>
          <w:kern w:val="0"/>
          <w:sz w:val="31"/>
          <w:szCs w:val="31"/>
        </w:rPr>
      </w:pPr>
      <w:r>
        <w:rPr>
          <w:rFonts w:ascii="仿宋_GB2312" w:hAnsi="仿宋_GB2312" w:eastAsia="仿宋_GB2312" w:cs="仿宋_GB2312"/>
          <w:color w:val="000000" w:themeColor="text1"/>
          <w:kern w:val="0"/>
          <w:sz w:val="31"/>
          <w:szCs w:val="31"/>
          <w14:textFill>
            <w14:solidFill>
              <w14:schemeClr w14:val="tx1"/>
            </w14:solidFill>
          </w14:textFill>
        </w:rPr>
        <w:t>发现的问题及原因：</w:t>
      </w:r>
      <w:r>
        <w:rPr>
          <w:rFonts w:ascii="仿宋_GB2312" w:hAnsi="仿宋_GB2312" w:eastAsia="仿宋_GB2312" w:cs="仿宋_GB2312"/>
          <w:kern w:val="0"/>
          <w:sz w:val="31"/>
          <w:szCs w:val="31"/>
        </w:rPr>
        <w:t>发现的</w:t>
      </w:r>
      <w:r>
        <w:rPr>
          <w:rFonts w:hint="eastAsia" w:ascii="仿宋_GB2312" w:hAnsi="仿宋_GB2312" w:eastAsia="仿宋_GB2312" w:cs="仿宋_GB2312"/>
          <w:kern w:val="0"/>
          <w:sz w:val="31"/>
          <w:szCs w:val="31"/>
        </w:rPr>
        <w:t>虽然非税返还经费全部能按规定使用，但由于场馆日常维修、维护需要大量费用，目前非税收入主要用于临聘人员工资，维护、维修费远远不够。</w:t>
      </w:r>
    </w:p>
    <w:p>
      <w:pPr>
        <w:widowControl/>
        <w:spacing w:line="560" w:lineRule="exact"/>
        <w:ind w:firstLine="620" w:firstLineChars="200"/>
        <w:jc w:val="left"/>
        <w:rPr>
          <w:rFonts w:ascii="仿宋_GB2312" w:hAnsi="仿宋_GB2312" w:eastAsia="仿宋_GB2312" w:cs="仿宋_GB2312"/>
          <w:kern w:val="0"/>
          <w:sz w:val="31"/>
          <w:szCs w:val="31"/>
        </w:rPr>
      </w:pPr>
      <w:r>
        <w:rPr>
          <w:rFonts w:ascii="仿宋_GB2312" w:hAnsi="仿宋_GB2312" w:eastAsia="仿宋_GB2312" w:cs="仿宋_GB2312"/>
          <w:color w:val="000000" w:themeColor="text1"/>
          <w:kern w:val="0"/>
          <w:sz w:val="31"/>
          <w:szCs w:val="31"/>
          <w14:textFill>
            <w14:solidFill>
              <w14:schemeClr w14:val="tx1"/>
            </w14:solidFill>
          </w14:textFill>
        </w:rPr>
        <w:t>下一步改进措施：</w:t>
      </w:r>
      <w:r>
        <w:rPr>
          <w:rFonts w:hint="eastAsia" w:ascii="仿宋_GB2312" w:hAnsi="仿宋_GB2312" w:eastAsia="仿宋_GB2312" w:cs="仿宋_GB2312"/>
          <w:kern w:val="0"/>
          <w:sz w:val="31"/>
          <w:szCs w:val="31"/>
        </w:rPr>
        <w:t>希望进一步加大非税返还的力度。</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本部门整体（或部门机关本级，或所属二级单位）2019年度整体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themeColor="text1"/>
          <w:kern w:val="0"/>
          <w:sz w:val="31"/>
          <w:szCs w:val="31"/>
          <w14:textFill>
            <w14:solidFill>
              <w14:schemeClr w14:val="tx1"/>
            </w14:solidFill>
          </w14:textFill>
        </w:rPr>
        <w:t>93</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rPr>
        <w:t>120.49</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151.52</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themeColor="text1"/>
          <w:kern w:val="0"/>
          <w:sz w:val="31"/>
          <w:szCs w:val="31"/>
          <w14:textFill>
            <w14:solidFill>
              <w14:schemeClr w14:val="tx1"/>
            </w14:solidFill>
          </w14:textFill>
        </w:rPr>
      </w:pPr>
      <w:r>
        <w:rPr>
          <w:rFonts w:ascii="仿宋_GB2312" w:hAnsi="仿宋_GB2312" w:eastAsia="仿宋_GB2312" w:cs="仿宋_GB2312"/>
          <w:color w:val="000000" w:themeColor="text1"/>
          <w:kern w:val="0"/>
          <w:sz w:val="31"/>
          <w:szCs w:val="31"/>
          <w14:textFill>
            <w14:solidFill>
              <w14:schemeClr w14:val="tx1"/>
            </w14:solidFill>
          </w14:textFill>
        </w:rPr>
        <w:t>主要产出和效果</w:t>
      </w:r>
    </w:p>
    <w:p>
      <w:pPr>
        <w:ind w:firstLine="640" w:firstLineChars="200"/>
        <w:rPr>
          <w:rFonts w:ascii="仿宋_GB2312" w:eastAsia="仿宋_GB2312"/>
          <w:color w:val="000000" w:themeColor="text1"/>
          <w:szCs w:val="32"/>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2019年体育馆展开羽毛球活动1000余场次，乒乓球比赛活动400余场次，篮球比赛活动500余场次，开展全区国民体质监测工作，监测人数达到3000人以上，开展少儿围棋赛、少儿武术比赛、航模邀请赛、全国毽球比赛等12项大型群众体育活动。调动了全区广大群众参与全民健身活动热情，有力地促进了阎良区体育事业的蓬勃发展，取得了很好的社会效益。</w:t>
      </w:r>
    </w:p>
    <w:p>
      <w:pPr>
        <w:ind w:firstLine="643" w:firstLineChars="200"/>
        <w:rPr>
          <w:rFonts w:ascii="黑体" w:hAnsi="黑体" w:eastAsia="黑体"/>
          <w:b/>
          <w:szCs w:val="32"/>
        </w:rPr>
      </w:pPr>
      <w:r>
        <w:rPr>
          <w:rFonts w:hint="eastAsia" w:ascii="黑体" w:hAnsi="黑体" w:eastAsia="黑体"/>
          <w:b/>
          <w:szCs w:val="32"/>
        </w:rPr>
        <w:t>二、评价指标分析</w:t>
      </w:r>
    </w:p>
    <w:p>
      <w:pPr>
        <w:ind w:firstLine="620" w:firstLineChars="200"/>
        <w:rPr>
          <w:rFonts w:ascii="仿宋_GB2312" w:eastAsia="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kern w:val="0"/>
          <w:sz w:val="31"/>
          <w:szCs w:val="31"/>
          <w14:textFill>
            <w14:solidFill>
              <w14:schemeClr w14:val="tx1"/>
            </w14:solidFill>
          </w14:textFill>
        </w:rPr>
        <w:t>主要工作绩效是</w:t>
      </w:r>
      <w:r>
        <w:rPr>
          <w:rFonts w:ascii="仿宋_GB2312" w:hAnsi="仿宋_GB2312" w:eastAsia="仿宋_GB2312" w:cs="仿宋_GB2312"/>
          <w:color w:val="000000" w:themeColor="text1"/>
          <w:kern w:val="0"/>
          <w:sz w:val="31"/>
          <w:szCs w:val="31"/>
          <w14:textFill>
            <w14:solidFill>
              <w14:schemeClr w14:val="tx1"/>
            </w14:solidFill>
          </w14:textFill>
        </w:rPr>
        <w:t>：</w:t>
      </w:r>
      <w:r>
        <w:rPr>
          <w:rFonts w:hint="eastAsia" w:ascii="仿宋_GB2312" w:eastAsia="仿宋_GB2312"/>
          <w:color w:val="000000" w:themeColor="text1"/>
          <w:szCs w:val="32"/>
          <w14:textFill>
            <w14:solidFill>
              <w14:schemeClr w14:val="tx1"/>
            </w14:solidFill>
          </w14:textFill>
        </w:rPr>
        <w:t>调动了全区广大群众参与全民健身活动热情，有力地促进了阎良区体育事业的蓬勃发展，取得了很好的社会效益。</w:t>
      </w:r>
    </w:p>
    <w:p>
      <w:pPr>
        <w:widowControl/>
        <w:spacing w:line="560" w:lineRule="exact"/>
        <w:ind w:firstLine="620" w:firstLineChars="200"/>
        <w:jc w:val="left"/>
        <w:rPr>
          <w:rFonts w:ascii="仿宋_GB2312" w:hAnsi="仿宋_GB2312" w:eastAsia="仿宋_GB2312" w:cs="仿宋_GB2312"/>
          <w:kern w:val="0"/>
          <w:sz w:val="31"/>
          <w:szCs w:val="31"/>
        </w:rPr>
      </w:pPr>
      <w:r>
        <w:rPr>
          <w:rFonts w:ascii="仿宋_GB2312" w:hAnsi="仿宋_GB2312" w:eastAsia="仿宋_GB2312" w:cs="仿宋_GB2312"/>
          <w:color w:val="000000" w:themeColor="text1"/>
          <w:kern w:val="0"/>
          <w:sz w:val="31"/>
          <w:szCs w:val="31"/>
          <w14:textFill>
            <w14:solidFill>
              <w14:schemeClr w14:val="tx1"/>
            </w14:solidFill>
          </w14:textFill>
        </w:rPr>
        <w:t>发现的问题及原因：</w:t>
      </w:r>
      <w:r>
        <w:rPr>
          <w:rFonts w:hint="eastAsia" w:ascii="仿宋_GB2312" w:hAnsi="仿宋_GB2312" w:eastAsia="仿宋_GB2312" w:cs="仿宋_GB2312"/>
          <w:color w:val="000000" w:themeColor="text1"/>
          <w:kern w:val="0"/>
          <w:sz w:val="31"/>
          <w:szCs w:val="31"/>
          <w14:textFill>
            <w14:solidFill>
              <w14:schemeClr w14:val="tx1"/>
            </w14:solidFill>
          </w14:textFill>
        </w:rPr>
        <w:t>一是</w:t>
      </w:r>
      <w:r>
        <w:rPr>
          <w:rFonts w:ascii="仿宋_GB2312" w:hAnsi="仿宋_GB2312" w:eastAsia="仿宋_GB2312" w:cs="仿宋_GB2312"/>
          <w:kern w:val="0"/>
          <w:sz w:val="31"/>
          <w:szCs w:val="31"/>
        </w:rPr>
        <w:t>发现的</w:t>
      </w:r>
      <w:r>
        <w:rPr>
          <w:rFonts w:hint="eastAsia" w:ascii="仿宋_GB2312" w:hAnsi="仿宋_GB2312" w:eastAsia="仿宋_GB2312" w:cs="仿宋_GB2312"/>
          <w:kern w:val="0"/>
          <w:sz w:val="31"/>
          <w:szCs w:val="31"/>
        </w:rPr>
        <w:t>存在经费不足，阻碍了我区体育事业健康发展；二是</w:t>
      </w:r>
      <w:r>
        <w:rPr>
          <w:rFonts w:ascii="仿宋_GB2312" w:hAnsi="仿宋_GB2312" w:eastAsia="仿宋_GB2312" w:cs="仿宋_GB2312"/>
          <w:kern w:val="0"/>
          <w:sz w:val="31"/>
          <w:szCs w:val="31"/>
        </w:rPr>
        <w:t>发现</w:t>
      </w:r>
      <w:r>
        <w:rPr>
          <w:rFonts w:hint="eastAsia" w:ascii="仿宋_GB2312" w:hAnsi="仿宋_GB2312" w:eastAsia="仿宋_GB2312" w:cs="仿宋_GB2312"/>
          <w:kern w:val="0"/>
          <w:sz w:val="31"/>
          <w:szCs w:val="31"/>
        </w:rPr>
        <w:t>返还</w:t>
      </w:r>
      <w:r>
        <w:rPr>
          <w:rFonts w:ascii="仿宋_GB2312" w:hAnsi="仿宋_GB2312" w:eastAsia="仿宋_GB2312" w:cs="仿宋_GB2312"/>
          <w:kern w:val="0"/>
          <w:sz w:val="31"/>
          <w:szCs w:val="31"/>
        </w:rPr>
        <w:t>的</w:t>
      </w:r>
      <w:r>
        <w:rPr>
          <w:rFonts w:hint="eastAsia" w:ascii="仿宋_GB2312" w:hAnsi="仿宋_GB2312" w:eastAsia="仿宋_GB2312" w:cs="仿宋_GB2312"/>
          <w:kern w:val="0"/>
          <w:sz w:val="31"/>
          <w:szCs w:val="31"/>
        </w:rPr>
        <w:t>非税经费不能满足场馆维修、维护等费用支出。</w:t>
      </w:r>
    </w:p>
    <w:p>
      <w:pPr>
        <w:widowControl/>
        <w:spacing w:line="560" w:lineRule="exact"/>
        <w:ind w:firstLine="620" w:firstLineChars="200"/>
        <w:jc w:val="left"/>
        <w:rPr>
          <w:rFonts w:ascii="仿宋_GB2312" w:hAnsi="仿宋_GB2312" w:eastAsia="仿宋_GB2312" w:cs="仿宋_GB2312"/>
          <w:color w:val="000000" w:themeColor="text1"/>
          <w:kern w:val="0"/>
          <w:sz w:val="31"/>
          <w:szCs w:val="31"/>
          <w14:textFill>
            <w14:solidFill>
              <w14:schemeClr w14:val="tx1"/>
            </w14:solidFill>
          </w14:textFill>
        </w:rPr>
      </w:pPr>
      <w:r>
        <w:rPr>
          <w:rFonts w:ascii="仿宋_GB2312" w:hAnsi="仿宋_GB2312" w:eastAsia="仿宋_GB2312" w:cs="仿宋_GB2312"/>
          <w:color w:val="000000" w:themeColor="text1"/>
          <w:kern w:val="0"/>
          <w:sz w:val="31"/>
          <w:szCs w:val="31"/>
          <w14:textFill>
            <w14:solidFill>
              <w14:schemeClr w14:val="tx1"/>
            </w14:solidFill>
          </w14:textFill>
        </w:rPr>
        <w:t>下一步改进措施：</w:t>
      </w:r>
      <w:r>
        <w:rPr>
          <w:rFonts w:hint="eastAsia" w:ascii="仿宋_GB2312" w:hAnsi="仿宋_GB2312" w:eastAsia="仿宋_GB2312" w:cs="仿宋_GB2312"/>
          <w:color w:val="000000" w:themeColor="text1"/>
          <w:kern w:val="0"/>
          <w:sz w:val="31"/>
          <w:szCs w:val="31"/>
          <w14:textFill>
            <w14:solidFill>
              <w14:schemeClr w14:val="tx1"/>
            </w14:solidFill>
          </w14:textFill>
        </w:rPr>
        <w:t>加大经费支持力度和非税经费返还力度。</w:t>
      </w:r>
    </w:p>
    <w:p>
      <w:pPr>
        <w:rPr>
          <w:szCs w:val="32"/>
        </w:rPr>
      </w:pPr>
      <w:r>
        <w:rPr>
          <w:rFonts w:hint="eastAsia"/>
          <w:szCs w:val="32"/>
        </w:rPr>
        <w:t xml:space="preserve"> 五、存在的主要问题，和进一步改进。</w:t>
      </w:r>
    </w:p>
    <w:p>
      <w:pPr>
        <w:rPr>
          <w:rFonts w:ascii="仿宋" w:hAnsi="仿宋" w:eastAsia="仿宋" w:cs="仿宋"/>
          <w:color w:val="000000" w:themeColor="text1"/>
          <w:szCs w:val="32"/>
          <w14:textFill>
            <w14:solidFill>
              <w14:schemeClr w14:val="tx1"/>
            </w14:solidFill>
          </w14:textFill>
        </w:rPr>
      </w:pPr>
      <w:r>
        <w:rPr>
          <w:rFonts w:hint="eastAsia"/>
          <w:szCs w:val="32"/>
        </w:rPr>
        <w:t xml:space="preserve"> </w:t>
      </w:r>
      <w:r>
        <w:rPr>
          <w:rFonts w:hint="eastAsia" w:ascii="仿宋" w:hAnsi="仿宋" w:eastAsia="仿宋" w:cs="仿宋"/>
          <w:szCs w:val="32"/>
        </w:rPr>
        <w:t xml:space="preserve"> </w:t>
      </w:r>
      <w:r>
        <w:rPr>
          <w:rFonts w:hint="eastAsia" w:ascii="仿宋" w:hAnsi="仿宋" w:eastAsia="仿宋" w:cs="仿宋"/>
          <w:color w:val="000000" w:themeColor="text1"/>
          <w:szCs w:val="32"/>
          <w14:textFill>
            <w14:solidFill>
              <w14:schemeClr w14:val="tx1"/>
            </w14:solidFill>
          </w14:textFill>
        </w:rPr>
        <w:t>一、预算编制工作有待细化。预算编制不够明确和细化，预算执行力度还要进一步加强。下一步要加强和提高单位人员预算管理意识；严格按照预算编制的相关制度和要求进行预算编制，尽量压缩变动性的、有控制空间的费用；进一步提高预算编制的科学性、严谨性和可控性。</w:t>
      </w:r>
    </w:p>
    <w:p>
      <w:pP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 xml:space="preserve">  二、财务工作水平有待提高。财务工作应多学习新的财务知识和各种规章制度，在精度和深度进一步完善，尤其是在固定资产管理方面还需要进一步严格。单位要加强财务人员知识的更新意识，完善资产的严格管理，严格编制政府采购年初预算和计划，规范各类资产的采购制度、使用制度、资产处置这报废审批制度、资产管理岗位职责制度等，严格单位内部的资产管理工作。严格控制“三公”经费的支出，合理压缩“三公”经费的支出</w:t>
      </w:r>
      <w:bookmarkStart w:id="0" w:name="_1662907161"/>
      <w:bookmarkEnd w:id="0"/>
      <w:bookmarkStart w:id="1" w:name="_1662907596"/>
      <w:bookmarkEnd w:id="1"/>
      <w:bookmarkStart w:id="2" w:name="_1662907080"/>
      <w:bookmarkEnd w:id="2"/>
      <w:r>
        <w:rPr>
          <w:rFonts w:hint="eastAsia" w:ascii="仿宋" w:hAnsi="仿宋" w:eastAsia="仿宋" w:cs="仿宋"/>
          <w:color w:val="000000" w:themeColor="text1"/>
          <w:szCs w:val="32"/>
          <w:lang w:eastAsia="zh-CN"/>
          <w14:textFill>
            <w14:solidFill>
              <w14:schemeClr w14:val="tx1"/>
            </w14:solidFill>
          </w14:textFill>
        </w:rPr>
        <w:t>。</w:t>
      </w:r>
    </w:p>
    <w:p>
      <w:pPr>
        <w:rPr>
          <w:rFonts w:hint="eastAsia" w:ascii="仿宋" w:hAnsi="仿宋" w:eastAsia="仿宋" w:cs="仿宋"/>
          <w:color w:val="000000" w:themeColor="text1"/>
          <w:szCs w:val="32"/>
          <w14:textFill>
            <w14:solidFill>
              <w14:schemeClr w14:val="tx1"/>
            </w14:solidFill>
          </w14:textFill>
        </w:rPr>
      </w:pPr>
    </w:p>
    <w:p>
      <w:pPr>
        <w:rPr>
          <w:rFonts w:hint="eastAsia" w:ascii="仿宋" w:hAnsi="仿宋" w:eastAsia="仿宋" w:cs="仿宋"/>
          <w:color w:val="000000" w:themeColor="text1"/>
          <w:szCs w:val="32"/>
          <w14:textFill>
            <w14:solidFill>
              <w14:schemeClr w14:val="tx1"/>
            </w14:solidFill>
          </w14:textFill>
        </w:rPr>
      </w:pPr>
    </w:p>
    <w:p>
      <w:pPr>
        <w:rPr>
          <w:rFonts w:hint="eastAsia" w:ascii="仿宋" w:hAnsi="仿宋" w:eastAsia="仿宋" w:cs="仿宋"/>
          <w:color w:val="000000" w:themeColor="text1"/>
          <w:szCs w:val="32"/>
          <w14:textFill>
            <w14:solidFill>
              <w14:schemeClr w14:val="tx1"/>
            </w14:solidFill>
          </w14:textFill>
        </w:rPr>
      </w:pPr>
    </w:p>
    <w:p>
      <w:pPr>
        <w:rPr>
          <w:rFonts w:hint="eastAsia" w:ascii="仿宋" w:hAnsi="仿宋" w:eastAsia="仿宋" w:cs="仿宋"/>
          <w:color w:val="000000" w:themeColor="text1"/>
          <w:szCs w:val="32"/>
          <w14:textFill>
            <w14:solidFill>
              <w14:schemeClr w14:val="tx1"/>
            </w14:solidFill>
          </w14:textFill>
        </w:rPr>
      </w:pPr>
    </w:p>
    <w:tbl>
      <w:tblPr>
        <w:tblStyle w:val="7"/>
        <w:tblW w:w="8677" w:type="dxa"/>
        <w:tblInd w:w="0" w:type="dxa"/>
        <w:tblLayout w:type="autofit"/>
        <w:tblCellMar>
          <w:top w:w="0" w:type="dxa"/>
          <w:left w:w="0" w:type="dxa"/>
          <w:bottom w:w="0" w:type="dxa"/>
          <w:right w:w="0" w:type="dxa"/>
        </w:tblCellMar>
      </w:tblPr>
      <w:tblGrid>
        <w:gridCol w:w="555"/>
        <w:gridCol w:w="555"/>
        <w:gridCol w:w="1035"/>
        <w:gridCol w:w="1980"/>
        <w:gridCol w:w="1185"/>
        <w:gridCol w:w="1320"/>
        <w:gridCol w:w="922"/>
        <w:gridCol w:w="1125"/>
      </w:tblGrid>
      <w:tr>
        <w:tblPrEx>
          <w:tblCellMar>
            <w:top w:w="0" w:type="dxa"/>
            <w:left w:w="0" w:type="dxa"/>
            <w:bottom w:w="0" w:type="dxa"/>
            <w:right w:w="0" w:type="dxa"/>
          </w:tblCellMar>
        </w:tblPrEx>
        <w:trPr>
          <w:trHeight w:val="444" w:hRule="atLeast"/>
        </w:trPr>
        <w:tc>
          <w:tcPr>
            <w:tcW w:w="8677"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kern w:val="0"/>
                <w:szCs w:val="32"/>
              </w:rPr>
              <w:t>区级预算（项目）绩效目标自评表</w:t>
            </w:r>
            <w:r>
              <w:rPr>
                <w:rFonts w:hint="eastAsia" w:ascii="宋体" w:hAnsi="宋体" w:eastAsia="宋体" w:cs="宋体"/>
                <w:color w:val="000000"/>
                <w:kern w:val="0"/>
                <w:szCs w:val="32"/>
              </w:rPr>
              <w:t xml:space="preserve"> </w:t>
            </w:r>
          </w:p>
        </w:tc>
      </w:tr>
      <w:tr>
        <w:tblPrEx>
          <w:tblCellMar>
            <w:top w:w="0" w:type="dxa"/>
            <w:left w:w="0" w:type="dxa"/>
            <w:bottom w:w="0" w:type="dxa"/>
            <w:right w:w="0" w:type="dxa"/>
          </w:tblCellMar>
        </w:tblPrEx>
        <w:trPr>
          <w:trHeight w:val="242" w:hRule="atLeast"/>
        </w:trPr>
        <w:tc>
          <w:tcPr>
            <w:tcW w:w="8677" w:type="dxa"/>
            <w:gridSpan w:val="8"/>
            <w:tcBorders>
              <w:top w:val="nil"/>
              <w:left w:val="nil"/>
              <w:bottom w:val="single" w:color="000000" w:sz="4" w:space="0"/>
              <w:right w:val="nil"/>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专项（项目）名称</w:t>
            </w:r>
          </w:p>
        </w:tc>
        <w:tc>
          <w:tcPr>
            <w:tcW w:w="65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（部门预算项目或市级专项名称）</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西安市阎良区文化和旅游体育局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实施单位</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西安市阎良区体育场</w:t>
            </w:r>
          </w:p>
        </w:tc>
      </w:tr>
      <w:tr>
        <w:tblPrEx>
          <w:tblCellMar>
            <w:top w:w="0" w:type="dxa"/>
            <w:left w:w="0" w:type="dxa"/>
            <w:bottom w:w="0" w:type="dxa"/>
            <w:right w:w="0" w:type="dxa"/>
          </w:tblCellMar>
        </w:tblPrEx>
        <w:trPr>
          <w:trHeight w:val="2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全年预算数（A）</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全年执行数（B）</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Style w:val="18"/>
                <w:rFonts w:hint="default"/>
              </w:rPr>
              <w:t xml:space="preserve"> </w:t>
            </w:r>
            <w:r>
              <w:rPr>
                <w:rStyle w:val="19"/>
                <w:rFonts w:hint="default"/>
              </w:rPr>
              <w:t>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Style w:val="18"/>
                <w:rFonts w:hint="default"/>
              </w:rPr>
              <w:t xml:space="preserve"> </w:t>
            </w:r>
            <w:r>
              <w:rPr>
                <w:rStyle w:val="19"/>
                <w:rFonts w:hint="default"/>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r>
              <w:rPr>
                <w:rStyle w:val="20"/>
                <w:rFonts w:hint="default"/>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年初设定目标</w:t>
            </w:r>
          </w:p>
        </w:tc>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全年实际完成情况</w:t>
            </w:r>
          </w:p>
        </w:tc>
      </w:tr>
      <w:tr>
        <w:tblPrEx>
          <w:tblCellMar>
            <w:top w:w="0" w:type="dxa"/>
            <w:left w:w="0" w:type="dxa"/>
            <w:bottom w:w="0" w:type="dxa"/>
            <w:right w:w="0" w:type="dxa"/>
          </w:tblCellMar>
        </w:tblPrEx>
        <w:trPr>
          <w:trHeight w:val="36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全年开展10次群众体育活动</w:t>
            </w:r>
          </w:p>
        </w:tc>
        <w:tc>
          <w:tcPr>
            <w:tcW w:w="3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全年开展12次群众体育活动</w:t>
            </w:r>
          </w:p>
        </w:tc>
      </w:tr>
      <w:tr>
        <w:tblPrEx>
          <w:tblCellMar>
            <w:top w:w="0" w:type="dxa"/>
            <w:left w:w="0" w:type="dxa"/>
            <w:bottom w:w="0" w:type="dxa"/>
            <w:right w:w="0" w:type="dxa"/>
          </w:tblCellMar>
        </w:tblPrEx>
        <w:trPr>
          <w:trHeight w:val="45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年度指标值</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全年完成值</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出</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开展体育活动</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活动举办成功率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活动举办时间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2019年度</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2019年度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活动费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2万元</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2万元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保证群众体育活动的正常开展</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w:t>
            </w:r>
            <w:r>
              <w:rPr>
                <w:rStyle w:val="18"/>
                <w:rFonts w:hint="default"/>
              </w:rPr>
              <w:t>1年</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w:t>
            </w:r>
            <w:r>
              <w:rPr>
                <w:rStyle w:val="18"/>
                <w:rFonts w:hint="default"/>
              </w:rPr>
              <w:t>1年</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服务对象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群众满意度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说明</w:t>
            </w:r>
          </w:p>
        </w:tc>
        <w:tc>
          <w:tcPr>
            <w:tcW w:w="81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8677"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8677"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8677"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tbl>
      <w:tblPr>
        <w:tblStyle w:val="7"/>
        <w:tblW w:w="8872" w:type="dxa"/>
        <w:tblInd w:w="0" w:type="dxa"/>
        <w:tblLayout w:type="autofit"/>
        <w:tblCellMar>
          <w:top w:w="0" w:type="dxa"/>
          <w:left w:w="0" w:type="dxa"/>
          <w:bottom w:w="0" w:type="dxa"/>
          <w:right w:w="0" w:type="dxa"/>
        </w:tblCellMar>
      </w:tblPr>
      <w:tblGrid>
        <w:gridCol w:w="555"/>
        <w:gridCol w:w="555"/>
        <w:gridCol w:w="1035"/>
        <w:gridCol w:w="1980"/>
        <w:gridCol w:w="1185"/>
        <w:gridCol w:w="1320"/>
        <w:gridCol w:w="1012"/>
        <w:gridCol w:w="1230"/>
      </w:tblGrid>
      <w:tr>
        <w:tblPrEx>
          <w:tblCellMar>
            <w:top w:w="0" w:type="dxa"/>
            <w:left w:w="0" w:type="dxa"/>
            <w:bottom w:w="0" w:type="dxa"/>
            <w:right w:w="0" w:type="dxa"/>
          </w:tblCellMar>
        </w:tblPrEx>
        <w:trPr>
          <w:trHeight w:val="600" w:hRule="atLeast"/>
        </w:trPr>
        <w:tc>
          <w:tcPr>
            <w:tcW w:w="8872"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kern w:val="0"/>
                <w:szCs w:val="32"/>
              </w:rPr>
              <w:t>区级预算（项目）绩效目标自评表</w:t>
            </w:r>
            <w:r>
              <w:rPr>
                <w:rFonts w:hint="eastAsia" w:ascii="宋体" w:hAnsi="宋体" w:eastAsia="宋体" w:cs="宋体"/>
                <w:color w:val="000000"/>
                <w:kern w:val="0"/>
                <w:szCs w:val="32"/>
              </w:rPr>
              <w:t xml:space="preserve"> </w:t>
            </w:r>
          </w:p>
        </w:tc>
      </w:tr>
      <w:tr>
        <w:tblPrEx>
          <w:tblCellMar>
            <w:top w:w="0" w:type="dxa"/>
            <w:left w:w="0" w:type="dxa"/>
            <w:bottom w:w="0" w:type="dxa"/>
            <w:right w:w="0" w:type="dxa"/>
          </w:tblCellMar>
        </w:tblPrEx>
        <w:trPr>
          <w:trHeight w:val="432" w:hRule="atLeast"/>
        </w:trPr>
        <w:tc>
          <w:tcPr>
            <w:tcW w:w="8872" w:type="dxa"/>
            <w:gridSpan w:val="8"/>
            <w:tcBorders>
              <w:top w:val="nil"/>
              <w:left w:val="nil"/>
              <w:bottom w:val="single" w:color="000000" w:sz="4" w:space="0"/>
              <w:right w:val="nil"/>
            </w:tcBorders>
            <w:shd w:val="clear" w:color="auto" w:fill="auto"/>
            <w:tcMar>
              <w:top w:w="15" w:type="dxa"/>
              <w:left w:w="15" w:type="dxa"/>
              <w:right w:w="15" w:type="dxa"/>
            </w:tcMar>
          </w:tcPr>
          <w:p>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专项（项目）名称</w:t>
            </w:r>
          </w:p>
        </w:tc>
        <w:tc>
          <w:tcPr>
            <w:tcW w:w="67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（部门预算项目或市级专项名称）</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西安市阎良区文化和旅游体育局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实施单位</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西安市阎良区体育场</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全年预算数（A）</w:t>
            </w: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全年执行数（B）</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12万元</w:t>
            </w: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26.58万元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12万元</w:t>
            </w: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26.58万元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r>
      <w:tr>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20"/>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23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年初设定目标</w:t>
            </w:r>
          </w:p>
        </w:tc>
        <w:tc>
          <w:tcPr>
            <w:tcW w:w="35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保障体育场馆正常运行</w:t>
            </w:r>
          </w:p>
        </w:tc>
        <w:tc>
          <w:tcPr>
            <w:tcW w:w="35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保障体育场馆正常运行</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年度指标值</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全年完成值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出</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1、体育场馆临聘人员工资</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4人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4人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2、体育场馆维护、维修、改造费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1000平米</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1000平米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出勤率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合同验收合格率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2019年度</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2019年度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1、体育场馆临聘人员工资</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6.9万元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6.9万元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2、体育场馆维护、维修、改造费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19.68万元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19.68万元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效</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经济效益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社会效益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保障体育场馆正常运行</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生态效益</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≥1年</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≥1年</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服务对象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群众满意度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ascii="宋体" w:hAnsi="宋体" w:eastAsia="宋体" w:cs="宋体"/>
                <w:color w:val="000000"/>
                <w:sz w:val="20"/>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0"/>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说明</w:t>
            </w:r>
          </w:p>
        </w:tc>
        <w:tc>
          <w:tcPr>
            <w:tcW w:w="831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r>
        <w:tblPrEx>
          <w:tblCellMar>
            <w:top w:w="0" w:type="dxa"/>
            <w:left w:w="0" w:type="dxa"/>
            <w:bottom w:w="0" w:type="dxa"/>
            <w:right w:w="0" w:type="dxa"/>
          </w:tblCellMar>
        </w:tblPrEx>
        <w:trPr>
          <w:trHeight w:val="270" w:hRule="atLeast"/>
        </w:trPr>
        <w:tc>
          <w:tcPr>
            <w:tcW w:w="8872" w:type="dxa"/>
            <w:gridSpan w:val="8"/>
            <w:tcBorders>
              <w:top w:val="nil"/>
              <w:left w:val="nil"/>
              <w:bottom w:val="nil"/>
              <w:right w:val="nil"/>
            </w:tcBorders>
            <w:shd w:val="clear" w:color="auto" w:fill="auto"/>
            <w:tcMar>
              <w:top w:w="15" w:type="dxa"/>
              <w:left w:w="15" w:type="dxa"/>
              <w:right w:w="15" w:type="dxa"/>
            </w:tcMar>
            <w:vAlign w:val="bottom"/>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012"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23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r>
    </w:tbl>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p>
    <w:tbl>
      <w:tblPr>
        <w:tblStyle w:val="7"/>
        <w:tblW w:w="13993" w:type="dxa"/>
        <w:tblInd w:w="0" w:type="dxa"/>
        <w:tblLayout w:type="fixed"/>
        <w:tblCellMar>
          <w:top w:w="0" w:type="dxa"/>
          <w:left w:w="0" w:type="dxa"/>
          <w:bottom w:w="0" w:type="dxa"/>
          <w:right w:w="0" w:type="dxa"/>
        </w:tblCellMar>
      </w:tblPr>
      <w:tblGrid>
        <w:gridCol w:w="525"/>
        <w:gridCol w:w="674"/>
        <w:gridCol w:w="555"/>
        <w:gridCol w:w="359"/>
        <w:gridCol w:w="2969"/>
        <w:gridCol w:w="2531"/>
        <w:gridCol w:w="1071"/>
        <w:gridCol w:w="1138"/>
        <w:gridCol w:w="1131"/>
        <w:gridCol w:w="627"/>
        <w:gridCol w:w="913"/>
        <w:gridCol w:w="1500"/>
      </w:tblGrid>
      <w:tr>
        <w:tblPrEx>
          <w:tblCellMar>
            <w:top w:w="0" w:type="dxa"/>
            <w:left w:w="0" w:type="dxa"/>
            <w:bottom w:w="0" w:type="dxa"/>
            <w:right w:w="0" w:type="dxa"/>
          </w:tblCellMar>
        </w:tblPrEx>
        <w:trPr>
          <w:trHeight w:val="885" w:hRule="atLeast"/>
        </w:trPr>
        <w:tc>
          <w:tcPr>
            <w:tcW w:w="13993" w:type="dxa"/>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rPr>
              <w:t>部门整体支出绩效自评表</w:t>
            </w:r>
            <w:r>
              <w:rPr>
                <w:rFonts w:hint="eastAsia" w:ascii="黑体" w:hAnsi="宋体" w:eastAsia="黑体" w:cs="黑体"/>
                <w:color w:val="000000"/>
                <w:kern w:val="0"/>
                <w:sz w:val="40"/>
                <w:szCs w:val="40"/>
              </w:rPr>
              <w:br w:type="textWrapping"/>
            </w:r>
            <w:r>
              <w:rPr>
                <w:rFonts w:hint="eastAsia" w:ascii="黑体" w:hAnsi="宋体" w:eastAsia="黑体" w:cs="黑体"/>
                <w:color w:val="000000"/>
                <w:kern w:val="0"/>
                <w:sz w:val="20"/>
              </w:rPr>
              <w:t>（2019年度）</w:t>
            </w:r>
          </w:p>
        </w:tc>
      </w:tr>
      <w:tr>
        <w:tblPrEx>
          <w:tblCellMar>
            <w:top w:w="0" w:type="dxa"/>
            <w:left w:w="0" w:type="dxa"/>
            <w:bottom w:w="0" w:type="dxa"/>
            <w:right w:w="0" w:type="dxa"/>
          </w:tblCellMar>
        </w:tblPrEx>
        <w:trPr>
          <w:trHeight w:val="450" w:hRule="atLeast"/>
        </w:trPr>
        <w:tc>
          <w:tcPr>
            <w:tcW w:w="5082"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填报单位:</w:t>
            </w:r>
          </w:p>
        </w:tc>
        <w:tc>
          <w:tcPr>
            <w:tcW w:w="2531" w:type="dxa"/>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自评得分：</w:t>
            </w:r>
          </w:p>
        </w:tc>
        <w:tc>
          <w:tcPr>
            <w:tcW w:w="1071"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38"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31"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27" w:type="dxa"/>
            <w:tcBorders>
              <w:top w:val="nil"/>
              <w:left w:val="nil"/>
              <w:bottom w:val="nil"/>
              <w:right w:val="nil"/>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913"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968" w:hRule="atLeast"/>
        </w:trPr>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（一）简要概述部门职能与职责。</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黑体" w:hAnsi="宋体" w:eastAsia="黑体"/>
                <w:color w:val="000000"/>
                <w:kern w:val="0"/>
                <w:sz w:val="20"/>
              </w:rPr>
            </w:pPr>
            <w:r>
              <w:rPr>
                <w:rFonts w:hint="eastAsia" w:ascii="仿宋" w:hAnsi="仿宋" w:eastAsia="仿宋" w:cs="仿宋"/>
                <w:sz w:val="21"/>
                <w:szCs w:val="21"/>
              </w:rPr>
              <w:t>阎</w:t>
            </w:r>
            <w:r>
              <w:rPr>
                <w:rFonts w:hint="eastAsia" w:ascii="仿宋" w:hAnsi="仿宋" w:eastAsia="仿宋" w:cs="仿宋"/>
                <w:sz w:val="20"/>
              </w:rPr>
              <w:t>良区体育场为我区差额事业单位，机构在职人员8人，退休人员7人。主要工作为指导全区各项体育运动，促进体育事业发展，优秀运动队建设，后备人才的培养，项目注册管理，群众各项体育项目竞赛的管理与组织教练员、裁判员等级的培训等。</w:t>
            </w:r>
          </w:p>
          <w:p>
            <w:pPr>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450" w:hRule="atLeast"/>
        </w:trPr>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（二）简要概述部门支出情况，按活动内容分类。</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阎良区体育场为差额事业单位，工资非统发，预算支出分为1、在职人员经费2、退休人员工资补差3、办公费4、项目支出。</w:t>
            </w:r>
          </w:p>
        </w:tc>
      </w:tr>
      <w:tr>
        <w:tblPrEx>
          <w:tblCellMar>
            <w:top w:w="0" w:type="dxa"/>
            <w:left w:w="0" w:type="dxa"/>
            <w:bottom w:w="0" w:type="dxa"/>
            <w:right w:w="0" w:type="dxa"/>
          </w:tblCellMar>
        </w:tblPrEx>
        <w:trPr>
          <w:trHeight w:val="450" w:hRule="atLeast"/>
        </w:trPr>
        <w:tc>
          <w:tcPr>
            <w:tcW w:w="50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ascii="仿宋_GB2312" w:hAnsi="宋体" w:eastAsia="仿宋_GB2312" w:cs="仿宋_GB2312"/>
                <w:color w:val="000000"/>
                <w:kern w:val="0"/>
                <w:sz w:val="20"/>
              </w:rPr>
              <w:t>（三）简要概述当年市委市政府下达的重点工作。</w:t>
            </w:r>
          </w:p>
        </w:tc>
        <w:tc>
          <w:tcPr>
            <w:tcW w:w="891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无</w:t>
            </w:r>
          </w:p>
        </w:tc>
      </w:tr>
      <w:tr>
        <w:tblPrEx>
          <w:tblCellMar>
            <w:top w:w="0" w:type="dxa"/>
            <w:left w:w="0" w:type="dxa"/>
            <w:bottom w:w="0" w:type="dxa"/>
            <w:right w:w="0" w:type="dxa"/>
          </w:tblCellMar>
        </w:tblPrEx>
        <w:trPr>
          <w:trHeight w:val="12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一级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二级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三级指标</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分值</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指标说明</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评分标准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指标值计算公式和数据获取方式</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年初目标值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实际完成值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未完成原因分析与改进措施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绩效指标分析与建议</w:t>
            </w:r>
          </w:p>
        </w:tc>
      </w:tr>
      <w:tr>
        <w:tblPrEx>
          <w:tblCellMar>
            <w:top w:w="0" w:type="dxa"/>
            <w:left w:w="0" w:type="dxa"/>
            <w:bottom w:w="0" w:type="dxa"/>
            <w:right w:w="0" w:type="dxa"/>
          </w:tblCellMar>
        </w:tblPrEx>
        <w:trPr>
          <w:trHeight w:val="276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投入</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预算执行（25分）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完成率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（10分）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10</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预算完成率=（预算完成数/预算数）×100%，用以反映和考核部门（单位）预算完成程度。</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预算完成数：部门（单位）本年度实际完成的预算数。</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预算数：财政部门批复的本年度部门（单位）预算数。</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预算完成率＝100%的，得10分。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预算完成率≥95%的，得9分。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预算完成率在90%（含）和95%之间，得8分。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预算完成率在85%（含）和90%之间，得7分。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预算完成率在80%（含）和85%之间，得6分。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预算完成率在70%（含）和80%之间，得4分。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预算完成率＜70%的，得0分。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08"/>
              <w:rPr>
                <w:rFonts w:ascii="楷体_GB2312" w:hAnsi="宋体" w:eastAsia="楷体_GB2312" w:cs="楷体_GB2312"/>
                <w:color w:val="000000"/>
                <w:sz w:val="20"/>
              </w:rPr>
            </w:pPr>
            <w:r>
              <w:rPr>
                <w:rFonts w:hint="eastAsia" w:ascii="楷体_GB2312" w:hAnsi="宋体" w:eastAsia="楷体_GB2312" w:cs="楷体_GB2312"/>
                <w:color w:val="000000"/>
                <w:sz w:val="20"/>
              </w:rPr>
              <w:t>120.49万元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01"/>
              <w:rPr>
                <w:rFonts w:ascii="楷体_GB2312" w:hAnsi="宋体" w:eastAsia="楷体_GB2312" w:cs="楷体_GB2312"/>
                <w:color w:val="000000"/>
                <w:sz w:val="20"/>
              </w:rPr>
            </w:pPr>
            <w:r>
              <w:rPr>
                <w:rFonts w:hint="eastAsia" w:ascii="楷体_GB2312" w:hAnsi="宋体" w:eastAsia="楷体_GB2312" w:cs="楷体_GB2312"/>
                <w:color w:val="000000"/>
                <w:sz w:val="20"/>
              </w:rPr>
              <w:t>151.52万元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严格按照预算执行，2019年追加调整工资、公积金、2018年绩效工资。</w:t>
            </w:r>
          </w:p>
        </w:tc>
      </w:tr>
      <w:tr>
        <w:tblPrEx>
          <w:tblCellMar>
            <w:top w:w="0" w:type="dxa"/>
            <w:left w:w="0" w:type="dxa"/>
            <w:bottom w:w="0" w:type="dxa"/>
            <w:right w:w="0" w:type="dxa"/>
          </w:tblCellMar>
        </w:tblPrEx>
        <w:trPr>
          <w:trHeight w:val="24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预算调整率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预算调整率=（预算调整数/预算数）×100%，用以反映和考核部门（单位）预算的调整程度。</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预算调整数：部门（单位）在本年度内涉及预算的追加、追减或结构调整的资金总和（因落实国家政策、发生不可抗力、上级部门或本级党委政府临时交办而产生的调整除外）。</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预算包括一般公共预算与政府性基金预算。</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预算调整率绝对值≤5%，得5分。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预算调整率绝对值＞5%的，每增加0.1个百分点扣0.1分，扣完为止。</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120.49万元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151.52万元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严格按照预算执行，2019年追加调整工资、公积金、2018年绩效工资。</w:t>
            </w:r>
          </w:p>
        </w:tc>
      </w:tr>
      <w:tr>
        <w:tblPrEx>
          <w:tblCellMar>
            <w:top w:w="0" w:type="dxa"/>
            <w:left w:w="0" w:type="dxa"/>
            <w:bottom w:w="0" w:type="dxa"/>
            <w:right w:w="0" w:type="dxa"/>
          </w:tblCellMar>
        </w:tblPrEx>
        <w:trPr>
          <w:trHeight w:val="9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一级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二级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三级指标</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分值</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指标说明</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评分标准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指标值计算公式和数据获取方式</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年初目标值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实际完成值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未完成原因分析与改进措施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绩效指标分析与建议</w:t>
            </w:r>
          </w:p>
        </w:tc>
      </w:tr>
      <w:tr>
        <w:tblPrEx>
          <w:tblCellMar>
            <w:top w:w="0" w:type="dxa"/>
            <w:left w:w="0" w:type="dxa"/>
            <w:bottom w:w="0" w:type="dxa"/>
            <w:right w:w="0" w:type="dxa"/>
          </w:tblCellMar>
        </w:tblPrEx>
        <w:trPr>
          <w:trHeight w:val="223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投入</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预算执行（25分）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支出进度率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支出进度率=（实际支出/支出预算）×100%，用以反映和考核部门（单位）预算执行的及时性和均衡性程度。</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半年支出进度＝部门上半年实际支出/（上年结余结转+本年部门预算安排+上半年执行中追加追减）*100%。</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前三季度支出进度＝部门前三季度实际支出/（上年结余结转+本年部门预算安排+前三季度执行中追加追减）*100%。</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半年进度：进度率≥45%，得2分；进度率在40%（含）和45%之间，得1分；进度率＜40%，得0分。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前三季度进度：进度率≥75%，得3分；进度率在60%（含）和75%之间，得2分；进度率＜60%，得0分。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120.49万元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151.52万元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153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预算编制准确率（5分）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部门预算中除财政拨款外的其他收入预算与决算差异率。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预算编制准确率＝其他收入决算数/其他收入预算数×100%-100%。</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预算编制准确率≤20%，得5分。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预算编制准确率在20%和40%（含）之间，得3分。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预算编制准确率＞40%，得0分。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120.49万元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151.52万元</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3分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严格按照预算执行，2019年追加调整工资、公积金、2018年绩效工资。</w:t>
            </w:r>
          </w:p>
        </w:tc>
      </w:tr>
      <w:tr>
        <w:tblPrEx>
          <w:tblCellMar>
            <w:top w:w="0" w:type="dxa"/>
            <w:left w:w="0" w:type="dxa"/>
            <w:bottom w:w="0" w:type="dxa"/>
            <w:right w:w="0" w:type="dxa"/>
          </w:tblCellMar>
        </w:tblPrEx>
        <w:trPr>
          <w:trHeight w:val="178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过程</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预算管理（15分）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“三公经费”控制率</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“三公经费”控制率=（“三公经费”实际支出数/“三公经费”预算安排数）×100%，用以反映和考核部门（单位）对“三公经费”的实际控制程度。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三公经费控制率 ≤100%，得5分，每增加0.1个百分点扣0.5分，扣完为止。</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0</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r>
              <w:rPr>
                <w:rFonts w:hint="eastAsia" w:ascii="楷体_GB2312" w:hAnsi="宋体" w:eastAsia="楷体_GB2312" w:cs="楷体_GB2312"/>
                <w:color w:val="000000"/>
                <w:sz w:val="20"/>
              </w:rPr>
              <w:t>0</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0"/>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17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资产管理规范性</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部门（单位）资产管理是否规范，用以反映和考核部门（单位）资产管理情况。</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1.新增资产配置按预算执行。</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2.资产有偿使用、处置按规定程序审批。</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3.资产收益及时、足额上缴财政。</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全部符合5分，有1项不符扣2分,扣完为止。</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79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一级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二级</w:t>
            </w:r>
            <w:r>
              <w:rPr>
                <w:rFonts w:ascii="楷体_GB2312" w:hAnsi="宋体" w:eastAsia="楷体_GB2312" w:cs="楷体_GB2312"/>
                <w:b/>
                <w:color w:val="000000"/>
                <w:kern w:val="0"/>
                <w:sz w:val="20"/>
              </w:rPr>
              <w:br w:type="textWrapping"/>
            </w:r>
            <w:r>
              <w:rPr>
                <w:rFonts w:ascii="楷体_GB2312" w:hAnsi="宋体" w:eastAsia="楷体_GB2312" w:cs="楷体_GB2312"/>
                <w:b/>
                <w:color w:val="000000"/>
                <w:kern w:val="0"/>
                <w:sz w:val="20"/>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三级指标</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分值</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指标说明</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评分标准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指标值计算公式和数据获取方式</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年初目标值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实际完成值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0"/>
              </w:rPr>
            </w:pPr>
            <w:r>
              <w:rPr>
                <w:rFonts w:ascii="楷体_GB2312" w:hAnsi="宋体" w:eastAsia="楷体_GB2312" w:cs="楷体_GB2312"/>
                <w:b/>
                <w:color w:val="000000"/>
                <w:kern w:val="0"/>
                <w:sz w:val="20"/>
              </w:rPr>
              <w:t>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未完成原因分析与改进措施</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0"/>
              </w:rPr>
            </w:pPr>
            <w:r>
              <w:rPr>
                <w:rFonts w:ascii="仿宋_GB2312" w:hAnsi="宋体" w:eastAsia="仿宋_GB2312" w:cs="仿宋_GB2312"/>
                <w:b/>
                <w:color w:val="000000"/>
                <w:kern w:val="0"/>
                <w:sz w:val="20"/>
              </w:rPr>
              <w:t>绩效指标分析与建议</w:t>
            </w:r>
          </w:p>
        </w:tc>
      </w:tr>
      <w:tr>
        <w:tblPrEx>
          <w:tblCellMar>
            <w:top w:w="0" w:type="dxa"/>
            <w:left w:w="0" w:type="dxa"/>
            <w:bottom w:w="0" w:type="dxa"/>
            <w:right w:w="0" w:type="dxa"/>
          </w:tblCellMar>
        </w:tblPrEx>
        <w:trPr>
          <w:trHeight w:val="288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过程</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预算管理（15分）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资金使用合规性</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部门（单位）使用预算资金是否符合相关的预算财务管理制度的规定，用以反映和考核部门（单位）预算资金的规范运行情况。</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1.符合国家财经法规和财务管理制度规定以及有关专项资金管理办法的规定；</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2.资金的拨付有完整的审批程序和手续；</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3.重大项目开支经过评估论证；</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4.符合部门预算批复的用途；</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5.不存在截留、挤占、挪用、虚列支出等情况。</w:t>
            </w: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全部符合5分,有1项不符扣2分。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p>
            <w:pPr>
              <w:ind w:firstLine="279"/>
              <w:jc w:val="left"/>
              <w:rPr>
                <w:rFonts w:ascii="仿宋" w:hAnsi="仿宋" w:eastAsia="仿宋" w:cs="仿宋"/>
                <w:sz w:val="20"/>
              </w:rPr>
            </w:pPr>
            <w:r>
              <w:rPr>
                <w:rFonts w:hint="eastAsia" w:ascii="仿宋" w:hAnsi="仿宋" w:eastAsia="仿宋" w:cs="仿宋"/>
                <w:sz w:val="20"/>
              </w:rPr>
              <w:t>5分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仿宋_GB2312" w:hAnsi="宋体" w:eastAsia="仿宋_GB2312" w:cs="仿宋_GB2312"/>
                <w:color w:val="000000"/>
                <w:sz w:val="20"/>
              </w:rPr>
              <w:t>严格按照预算执行</w:t>
            </w:r>
          </w:p>
        </w:tc>
      </w:tr>
      <w:tr>
        <w:tblPrEx>
          <w:tblCellMar>
            <w:top w:w="0" w:type="dxa"/>
            <w:left w:w="0" w:type="dxa"/>
            <w:bottom w:w="0" w:type="dxa"/>
            <w:right w:w="0" w:type="dxa"/>
          </w:tblCellMar>
        </w:tblPrEx>
        <w:trPr>
          <w:trHeight w:val="163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效果</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履职尽责（60分）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项目产出</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（40分）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40</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2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1.若为定性指标，根据“三档”原则分别按照指标分值的100-80%（含）、80-50%（含）、50-10%来记分；</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40分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sz w:val="20"/>
              </w:rPr>
            </w:pPr>
            <w:r>
              <w:rPr>
                <w:rFonts w:hint="eastAsia" w:ascii="仿宋" w:hAnsi="仿宋" w:eastAsia="仿宋" w:cs="仿宋"/>
                <w:color w:val="000000"/>
                <w:sz w:val="20"/>
              </w:rPr>
              <w:t>得到群众一致好评</w:t>
            </w:r>
          </w:p>
        </w:tc>
      </w:tr>
      <w:tr>
        <w:tblPrEx>
          <w:tblCellMar>
            <w:top w:w="0" w:type="dxa"/>
            <w:left w:w="0" w:type="dxa"/>
            <w:bottom w:w="0" w:type="dxa"/>
            <w:right w:w="0" w:type="dxa"/>
          </w:tblCellMar>
        </w:tblPrEx>
        <w:trPr>
          <w:trHeight w:val="163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楷体_GB2312" w:hAnsi="宋体" w:eastAsia="楷体_GB2312" w:cs="楷体_GB2312"/>
                <w:color w:val="000000"/>
                <w:sz w:val="2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项目效益</w:t>
            </w:r>
            <w:r>
              <w:rPr>
                <w:rFonts w:ascii="楷体_GB2312" w:hAnsi="宋体" w:eastAsia="楷体_GB2312" w:cs="楷体_GB2312"/>
                <w:color w:val="000000"/>
                <w:kern w:val="0"/>
                <w:sz w:val="20"/>
              </w:rPr>
              <w:br w:type="textWrapping"/>
            </w:r>
            <w:r>
              <w:rPr>
                <w:rFonts w:ascii="楷体_GB2312" w:hAnsi="宋体" w:eastAsia="楷体_GB2312" w:cs="楷体_GB2312"/>
                <w:color w:val="000000"/>
                <w:kern w:val="0"/>
                <w:sz w:val="20"/>
              </w:rPr>
              <w:t>（20分）</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ascii="楷体_GB2312" w:hAnsi="宋体" w:eastAsia="楷体_GB2312" w:cs="楷体_GB2312"/>
                <w:color w:val="000000"/>
                <w:kern w:val="0"/>
                <w:sz w:val="20"/>
              </w:rPr>
              <w:t>20</w:t>
            </w:r>
          </w:p>
        </w:tc>
        <w:tc>
          <w:tcPr>
            <w:tcW w:w="2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楷体_GB2312" w:hAnsi="宋体" w:eastAsia="楷体_GB2312" w:cs="楷体_GB2312"/>
                <w:color w:val="000000"/>
                <w:sz w:val="20"/>
              </w:rPr>
            </w:pP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楷体_GB2312" w:hAnsi="宋体" w:eastAsia="楷体_GB2312" w:cs="楷体_GB2312"/>
                <w:color w:val="000000"/>
                <w:sz w:val="20"/>
              </w:rPr>
            </w:pPr>
            <w:r>
              <w:rPr>
                <w:rFonts w:hint="eastAsia" w:ascii="楷体_GB2312" w:hAnsi="宋体" w:eastAsia="楷体_GB2312" w:cs="楷体_GB2312"/>
                <w:color w:val="000000"/>
                <w:sz w:val="20"/>
              </w:rPr>
              <w:t>20分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szCs w:val="24"/>
              </w:rPr>
            </w:pPr>
            <w:r>
              <w:rPr>
                <w:rFonts w:hint="eastAsia" w:ascii="仿宋" w:hAnsi="仿宋" w:eastAsia="仿宋" w:cs="仿宋"/>
                <w:color w:val="000000"/>
                <w:sz w:val="20"/>
              </w:rPr>
              <w:t>得到群众一致好评</w:t>
            </w:r>
          </w:p>
        </w:tc>
      </w:tr>
      <w:tr>
        <w:tblPrEx>
          <w:tblCellMar>
            <w:top w:w="0" w:type="dxa"/>
            <w:left w:w="0" w:type="dxa"/>
            <w:bottom w:w="0" w:type="dxa"/>
            <w:right w:w="0" w:type="dxa"/>
          </w:tblCellMar>
        </w:tblPrEx>
        <w:trPr>
          <w:trHeight w:val="1395" w:hRule="atLeast"/>
        </w:trPr>
        <w:tc>
          <w:tcPr>
            <w:tcW w:w="1399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rPr>
            </w:pPr>
            <w:r>
              <w:rPr>
                <w:rFonts w:hint="eastAsia" w:ascii="宋体" w:hAnsi="宋体" w:eastAsia="宋体" w:cs="宋体"/>
                <w:color w:val="000000"/>
                <w:kern w:val="0"/>
                <w:sz w:val="20"/>
              </w:rPr>
              <w:t>备注：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1.“项目产出”和“项目效果”直接细化成部门年初绩效目标中的指标，并根据重要程度赋权。</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pPr>
      <w:bookmarkStart w:id="3" w:name="_1662907696"/>
      <w:bookmarkEnd w:id="3"/>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_GB2312" w:hAnsi="宋体" w:eastAsia="仿宋_GB2312" w:cs="仿宋_GB2312"/>
          <w:color w:val="000000"/>
          <w:kern w:val="0"/>
          <w:szCs w:val="32"/>
        </w:rPr>
        <w:t>是我部门无机关运行费。</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截至2019年末，本部门机关及所属单位共有车辆0辆；单价50万元以上的通用设备0台（套）；单价100万元以上的专用设备0台（套）。201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widowControl/>
        <w:spacing w:line="560" w:lineRule="exact"/>
        <w:jc w:val="left"/>
        <w:rPr>
          <w:rFonts w:ascii="仿宋_GB2312" w:hAnsi="仿宋_GB2312" w:eastAsia="仿宋_GB2312" w:cs="仿宋_GB2312"/>
          <w:szCs w:val="32"/>
        </w:rPr>
      </w:pP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A6561"/>
    <w:multiLevelType w:val="singleLevel"/>
    <w:tmpl w:val="9E7A6561"/>
    <w:lvl w:ilvl="0" w:tentative="0">
      <w:start w:val="2"/>
      <w:numFmt w:val="decimal"/>
      <w:lvlText w:val="%1."/>
      <w:lvlJc w:val="left"/>
      <w:pPr>
        <w:tabs>
          <w:tab w:val="left" w:pos="312"/>
        </w:tabs>
      </w:p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1F1EE8EA"/>
    <w:multiLevelType w:val="singleLevel"/>
    <w:tmpl w:val="1F1EE8EA"/>
    <w:lvl w:ilvl="0" w:tentative="0">
      <w:start w:val="2"/>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7AD0CEC4"/>
    <w:multiLevelType w:val="singleLevel"/>
    <w:tmpl w:val="7AD0CEC4"/>
    <w:lvl w:ilvl="0" w:tentative="0">
      <w:start w:val="1"/>
      <w:numFmt w:val="decimal"/>
      <w:lvlText w:val="%1."/>
      <w:lvlJc w:val="left"/>
      <w:pPr>
        <w:tabs>
          <w:tab w:val="left" w:pos="312"/>
        </w:tabs>
        <w:ind w:left="321" w:firstLine="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6CC9"/>
    <w:rsid w:val="00172A27"/>
    <w:rsid w:val="002D7F90"/>
    <w:rsid w:val="00395BCB"/>
    <w:rsid w:val="0076774C"/>
    <w:rsid w:val="00805583"/>
    <w:rsid w:val="008219A5"/>
    <w:rsid w:val="009E20DA"/>
    <w:rsid w:val="00A104F1"/>
    <w:rsid w:val="00A14030"/>
    <w:rsid w:val="00AA737F"/>
    <w:rsid w:val="00B803D1"/>
    <w:rsid w:val="00C61F7E"/>
    <w:rsid w:val="00CF0E0E"/>
    <w:rsid w:val="00CF78D3"/>
    <w:rsid w:val="00D0731C"/>
    <w:rsid w:val="00FA6B89"/>
    <w:rsid w:val="00FD263E"/>
    <w:rsid w:val="010E3361"/>
    <w:rsid w:val="019A09E7"/>
    <w:rsid w:val="01B10EE8"/>
    <w:rsid w:val="0378750B"/>
    <w:rsid w:val="03A86A77"/>
    <w:rsid w:val="03DB3EB5"/>
    <w:rsid w:val="03E65411"/>
    <w:rsid w:val="041553DC"/>
    <w:rsid w:val="04433AC0"/>
    <w:rsid w:val="052B4115"/>
    <w:rsid w:val="05594506"/>
    <w:rsid w:val="0567246D"/>
    <w:rsid w:val="05F53F55"/>
    <w:rsid w:val="062F6C5B"/>
    <w:rsid w:val="063F67FB"/>
    <w:rsid w:val="068B7849"/>
    <w:rsid w:val="072F3218"/>
    <w:rsid w:val="07B35EBB"/>
    <w:rsid w:val="08251B0F"/>
    <w:rsid w:val="086C1E64"/>
    <w:rsid w:val="09AD3535"/>
    <w:rsid w:val="09F56D6B"/>
    <w:rsid w:val="0A671744"/>
    <w:rsid w:val="0AB252C4"/>
    <w:rsid w:val="0AF25029"/>
    <w:rsid w:val="0B141F32"/>
    <w:rsid w:val="0BD357E9"/>
    <w:rsid w:val="0C98069C"/>
    <w:rsid w:val="0CE76591"/>
    <w:rsid w:val="0DBE645B"/>
    <w:rsid w:val="0EB265E5"/>
    <w:rsid w:val="0FAC1B54"/>
    <w:rsid w:val="120D2411"/>
    <w:rsid w:val="127E4960"/>
    <w:rsid w:val="128E7E18"/>
    <w:rsid w:val="129F2DC2"/>
    <w:rsid w:val="12D42B57"/>
    <w:rsid w:val="12F946CF"/>
    <w:rsid w:val="14965417"/>
    <w:rsid w:val="154E2DEA"/>
    <w:rsid w:val="15916C1F"/>
    <w:rsid w:val="17344016"/>
    <w:rsid w:val="1758058E"/>
    <w:rsid w:val="17A72200"/>
    <w:rsid w:val="17BE0FB4"/>
    <w:rsid w:val="180250C2"/>
    <w:rsid w:val="18634A0D"/>
    <w:rsid w:val="1A0E7DB6"/>
    <w:rsid w:val="1A225FCE"/>
    <w:rsid w:val="1A8E1347"/>
    <w:rsid w:val="1AF22409"/>
    <w:rsid w:val="1BB92E77"/>
    <w:rsid w:val="1CBC541E"/>
    <w:rsid w:val="1D312D1A"/>
    <w:rsid w:val="1D8B0C78"/>
    <w:rsid w:val="1D990A49"/>
    <w:rsid w:val="1E03174D"/>
    <w:rsid w:val="1E7E7D14"/>
    <w:rsid w:val="1ED718D8"/>
    <w:rsid w:val="1F8048ED"/>
    <w:rsid w:val="1FBA5998"/>
    <w:rsid w:val="20A95860"/>
    <w:rsid w:val="20B96E79"/>
    <w:rsid w:val="20E506C4"/>
    <w:rsid w:val="21207997"/>
    <w:rsid w:val="2256467C"/>
    <w:rsid w:val="226330A4"/>
    <w:rsid w:val="22B52426"/>
    <w:rsid w:val="23A84AB6"/>
    <w:rsid w:val="23C07EC7"/>
    <w:rsid w:val="254D7158"/>
    <w:rsid w:val="2559564B"/>
    <w:rsid w:val="256264C3"/>
    <w:rsid w:val="25C65932"/>
    <w:rsid w:val="2660352B"/>
    <w:rsid w:val="26F207EE"/>
    <w:rsid w:val="287C13F1"/>
    <w:rsid w:val="28FB2AB2"/>
    <w:rsid w:val="2B592270"/>
    <w:rsid w:val="2B5D4A37"/>
    <w:rsid w:val="2B721176"/>
    <w:rsid w:val="2B7A022D"/>
    <w:rsid w:val="2B970D45"/>
    <w:rsid w:val="2BF77E85"/>
    <w:rsid w:val="2C1F6975"/>
    <w:rsid w:val="2C8D4DA4"/>
    <w:rsid w:val="2CAB6F98"/>
    <w:rsid w:val="2E2A6C54"/>
    <w:rsid w:val="2E7D6363"/>
    <w:rsid w:val="2FA33C83"/>
    <w:rsid w:val="3090291A"/>
    <w:rsid w:val="30DF4759"/>
    <w:rsid w:val="314D484A"/>
    <w:rsid w:val="318C5B2F"/>
    <w:rsid w:val="325E4CB4"/>
    <w:rsid w:val="32E50ADA"/>
    <w:rsid w:val="33BE15B9"/>
    <w:rsid w:val="350A5D93"/>
    <w:rsid w:val="350E1ECE"/>
    <w:rsid w:val="35567A80"/>
    <w:rsid w:val="358B68BA"/>
    <w:rsid w:val="35BB70E4"/>
    <w:rsid w:val="3669223E"/>
    <w:rsid w:val="366C12FC"/>
    <w:rsid w:val="37CF623D"/>
    <w:rsid w:val="383C1CDE"/>
    <w:rsid w:val="3A696108"/>
    <w:rsid w:val="3AC74317"/>
    <w:rsid w:val="3BFC6DCC"/>
    <w:rsid w:val="3C7A6DAB"/>
    <w:rsid w:val="3CDE1241"/>
    <w:rsid w:val="3CE36C1A"/>
    <w:rsid w:val="3D904069"/>
    <w:rsid w:val="3EFF70B0"/>
    <w:rsid w:val="3F99488F"/>
    <w:rsid w:val="3FCA23EC"/>
    <w:rsid w:val="410A5B7A"/>
    <w:rsid w:val="414C772E"/>
    <w:rsid w:val="41564135"/>
    <w:rsid w:val="41942E54"/>
    <w:rsid w:val="41946905"/>
    <w:rsid w:val="41E75EC4"/>
    <w:rsid w:val="424D60E4"/>
    <w:rsid w:val="42FA4769"/>
    <w:rsid w:val="439C0455"/>
    <w:rsid w:val="43BC1030"/>
    <w:rsid w:val="43E6297E"/>
    <w:rsid w:val="45132E64"/>
    <w:rsid w:val="45E676BE"/>
    <w:rsid w:val="461B20CE"/>
    <w:rsid w:val="466851BA"/>
    <w:rsid w:val="4780720D"/>
    <w:rsid w:val="47964FBE"/>
    <w:rsid w:val="47F85D47"/>
    <w:rsid w:val="4886210A"/>
    <w:rsid w:val="48E25011"/>
    <w:rsid w:val="494B0E71"/>
    <w:rsid w:val="49A0650E"/>
    <w:rsid w:val="4A1752A2"/>
    <w:rsid w:val="4A7966E8"/>
    <w:rsid w:val="4AFC720B"/>
    <w:rsid w:val="4B18398F"/>
    <w:rsid w:val="4BE86437"/>
    <w:rsid w:val="4D5D6549"/>
    <w:rsid w:val="4DEE2715"/>
    <w:rsid w:val="4E2B10F7"/>
    <w:rsid w:val="4E533C80"/>
    <w:rsid w:val="4E8B3E72"/>
    <w:rsid w:val="4E8B5350"/>
    <w:rsid w:val="4EB62D54"/>
    <w:rsid w:val="4EE43B8A"/>
    <w:rsid w:val="4EFA76EC"/>
    <w:rsid w:val="4F037CF6"/>
    <w:rsid w:val="4FBB1214"/>
    <w:rsid w:val="505946A2"/>
    <w:rsid w:val="50C46A00"/>
    <w:rsid w:val="50EE1808"/>
    <w:rsid w:val="52123308"/>
    <w:rsid w:val="5266703E"/>
    <w:rsid w:val="52AC7AB3"/>
    <w:rsid w:val="52DC7B5E"/>
    <w:rsid w:val="54207C4C"/>
    <w:rsid w:val="544D3043"/>
    <w:rsid w:val="55211C37"/>
    <w:rsid w:val="56665246"/>
    <w:rsid w:val="56772C3B"/>
    <w:rsid w:val="56865970"/>
    <w:rsid w:val="56F7545B"/>
    <w:rsid w:val="570D3A8D"/>
    <w:rsid w:val="58056D35"/>
    <w:rsid w:val="590C77AF"/>
    <w:rsid w:val="59121126"/>
    <w:rsid w:val="596D661C"/>
    <w:rsid w:val="5A9A6CD4"/>
    <w:rsid w:val="5C3A2EBA"/>
    <w:rsid w:val="5C94050F"/>
    <w:rsid w:val="5C9A64BA"/>
    <w:rsid w:val="5CD81180"/>
    <w:rsid w:val="5D1E03F8"/>
    <w:rsid w:val="5D252011"/>
    <w:rsid w:val="5D5A076F"/>
    <w:rsid w:val="5E810707"/>
    <w:rsid w:val="5F5027A5"/>
    <w:rsid w:val="600C0013"/>
    <w:rsid w:val="60B841E2"/>
    <w:rsid w:val="60DB14C8"/>
    <w:rsid w:val="613D6EC5"/>
    <w:rsid w:val="64394ECE"/>
    <w:rsid w:val="645E6821"/>
    <w:rsid w:val="64D87DD1"/>
    <w:rsid w:val="65706DA4"/>
    <w:rsid w:val="6579637C"/>
    <w:rsid w:val="665A6D5F"/>
    <w:rsid w:val="669B5416"/>
    <w:rsid w:val="66A03F64"/>
    <w:rsid w:val="67A144CB"/>
    <w:rsid w:val="67FE60FA"/>
    <w:rsid w:val="68B94C0C"/>
    <w:rsid w:val="699B5F53"/>
    <w:rsid w:val="69A157A9"/>
    <w:rsid w:val="6A5A1C71"/>
    <w:rsid w:val="6A681B96"/>
    <w:rsid w:val="6B3B79EC"/>
    <w:rsid w:val="6C1E5DDC"/>
    <w:rsid w:val="6DBE4A31"/>
    <w:rsid w:val="6EAC6681"/>
    <w:rsid w:val="6F094735"/>
    <w:rsid w:val="6F816426"/>
    <w:rsid w:val="6FB7749B"/>
    <w:rsid w:val="6FB90ECB"/>
    <w:rsid w:val="6FEE3544"/>
    <w:rsid w:val="7063685B"/>
    <w:rsid w:val="70B02C06"/>
    <w:rsid w:val="70B2645B"/>
    <w:rsid w:val="70D71310"/>
    <w:rsid w:val="70F04863"/>
    <w:rsid w:val="71840673"/>
    <w:rsid w:val="722C39A0"/>
    <w:rsid w:val="722D6ED0"/>
    <w:rsid w:val="73431FE5"/>
    <w:rsid w:val="74147A73"/>
    <w:rsid w:val="772632AF"/>
    <w:rsid w:val="778B0394"/>
    <w:rsid w:val="788A5CDB"/>
    <w:rsid w:val="79091264"/>
    <w:rsid w:val="79586B88"/>
    <w:rsid w:val="7B6D5E4A"/>
    <w:rsid w:val="7CA55F66"/>
    <w:rsid w:val="7D6309BD"/>
    <w:rsid w:val="7DE04101"/>
    <w:rsid w:val="7F5B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alloon Text"/>
    <w:basedOn w:val="1"/>
    <w:link w:val="2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font31"/>
    <w:basedOn w:val="9"/>
    <w:qFormat/>
    <w:uiPriority w:val="0"/>
    <w:rPr>
      <w:rFonts w:hint="eastAsia" w:ascii="宋体" w:hAnsi="宋体" w:eastAsia="宋体" w:cs="宋体"/>
      <w:color w:val="000000"/>
      <w:sz w:val="20"/>
      <w:szCs w:val="20"/>
      <w:u w:val="none"/>
    </w:rPr>
  </w:style>
  <w:style w:type="character" w:customStyle="1" w:styleId="19">
    <w:name w:val="font71"/>
    <w:basedOn w:val="9"/>
    <w:qFormat/>
    <w:uiPriority w:val="0"/>
    <w:rPr>
      <w:rFonts w:hint="eastAsia" w:ascii="宋体" w:hAnsi="宋体" w:eastAsia="宋体" w:cs="宋体"/>
      <w:color w:val="000000"/>
      <w:sz w:val="20"/>
      <w:szCs w:val="20"/>
      <w:u w:val="none"/>
    </w:rPr>
  </w:style>
  <w:style w:type="character" w:customStyle="1" w:styleId="20">
    <w:name w:val="font01"/>
    <w:basedOn w:val="9"/>
    <w:qFormat/>
    <w:uiPriority w:val="0"/>
    <w:rPr>
      <w:rFonts w:hint="eastAsia" w:ascii="宋体" w:hAnsi="宋体" w:eastAsia="宋体" w:cs="宋体"/>
      <w:color w:val="000000"/>
      <w:sz w:val="20"/>
      <w:szCs w:val="20"/>
      <w:u w:val="none"/>
    </w:rPr>
  </w:style>
  <w:style w:type="character" w:customStyle="1" w:styleId="21">
    <w:name w:val="批注框文本 Char"/>
    <w:basedOn w:val="9"/>
    <w:link w:val="3"/>
    <w:uiPriority w:val="0"/>
    <w:rPr>
      <w:rFonts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体育场人员表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事业在职人员</c:v>
                </c:pt>
                <c:pt idx="1">
                  <c:v>事业退休人员</c:v>
                </c:pt>
              </c:strCache>
            </c:strRef>
          </c:cat>
          <c:val>
            <c:numRef>
              <c:f>Sheet1!$B$2:$B$5</c:f>
              <c:numCache>
                <c:formatCode>General</c:formatCode>
                <c:ptCount val="4"/>
                <c:pt idx="0">
                  <c:v>8</c:v>
                </c:pt>
                <c:pt idx="1">
                  <c:v>7</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事业在职人员</c:v>
                </c:pt>
                <c:pt idx="1">
                  <c:v>事业退休人员</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事业在职人员</c:v>
                </c:pt>
                <c:pt idx="1">
                  <c:v>事业退休人员</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57414400"/>
        <c:axId val="86299008"/>
      </c:barChart>
      <c:catAx>
        <c:axId val="574144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99008"/>
        <c:crosses val="autoZero"/>
        <c:auto val="1"/>
        <c:lblAlgn val="ctr"/>
        <c:lblOffset val="100"/>
        <c:noMultiLvlLbl val="0"/>
      </c:catAx>
      <c:valAx>
        <c:axId val="86299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4144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78861007930225"/>
          <c:y val="0.0538951494365507"/>
          <c:w val="0.905939003311677"/>
          <c:h val="0.765858175126444"/>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2018年收入</c:v>
                </c:pt>
                <c:pt idx="1">
                  <c:v>2019年收入</c:v>
                </c:pt>
              </c:strCache>
            </c:strRef>
          </c:cat>
          <c:val>
            <c:numRef>
              <c:f>Sheet1!$B$2:$B$3</c:f>
              <c:numCache>
                <c:formatCode>General</c:formatCode>
                <c:ptCount val="2"/>
                <c:pt idx="0">
                  <c:v>160.59</c:v>
                </c:pt>
                <c:pt idx="1">
                  <c:v>151.52</c:v>
                </c:pt>
              </c:numCache>
            </c:numRef>
          </c:val>
        </c:ser>
        <c:dLbls>
          <c:showLegendKey val="0"/>
          <c:showVal val="0"/>
          <c:showCatName val="0"/>
          <c:showSerName val="0"/>
          <c:showPercent val="0"/>
          <c:showBubbleSize val="0"/>
        </c:dLbls>
        <c:gapWidth val="150"/>
        <c:axId val="123670912"/>
        <c:axId val="131617920"/>
      </c:barChart>
      <c:lineChart>
        <c:grouping val="standard"/>
        <c:varyColors val="0"/>
        <c:ser>
          <c:idx val="1"/>
          <c:order val="1"/>
          <c:tx>
            <c:strRef>
              <c:f>Sheet1!$C$1</c:f>
              <c:strCache>
                <c:ptCount val="1"/>
                <c:pt idx="0">
                  <c:v/>
                </c:pt>
              </c:strCache>
            </c:strRef>
          </c:tx>
          <c:spPr>
            <a:ln w="28575" cap="rnd" cmpd="sng" algn="ctr">
              <a:solidFill>
                <a:schemeClr val="accent2"/>
              </a:solidFill>
              <a:prstDash val="solid"/>
              <a:round/>
            </a:ln>
            <a:effectLst/>
          </c:spPr>
          <c:marker>
            <c:symbol val="none"/>
          </c:marker>
          <c:dLbls>
            <c:delete val="1"/>
          </c:dLbls>
          <c:cat>
            <c:strRef>
              <c:f>Sheet1!$A$2:$A$3</c:f>
              <c:strCache>
                <c:ptCount val="2"/>
                <c:pt idx="0">
                  <c:v>2018年收入</c:v>
                </c:pt>
                <c:pt idx="1">
                  <c:v>2019年收入</c:v>
                </c:pt>
              </c:strCache>
            </c:strRef>
          </c:cat>
          <c:val>
            <c:numRef>
              <c:f>Sheet1!$C$2:$C$3</c:f>
              <c:numCache>
                <c:formatCode>General</c:formatCode>
                <c:ptCount val="2"/>
              </c:numCache>
            </c:numRef>
          </c:val>
          <c:smooth val="0"/>
        </c:ser>
        <c:dLbls>
          <c:showLegendKey val="0"/>
          <c:showVal val="0"/>
          <c:showCatName val="0"/>
          <c:showSerName val="0"/>
          <c:showPercent val="0"/>
          <c:showBubbleSize val="0"/>
        </c:dLbls>
        <c:marker val="0"/>
        <c:smooth val="0"/>
        <c:axId val="123670912"/>
        <c:axId val="131617920"/>
      </c:lineChart>
      <c:catAx>
        <c:axId val="1236709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617920"/>
        <c:crosses val="autoZero"/>
        <c:auto val="1"/>
        <c:lblAlgn val="ctr"/>
        <c:lblOffset val="100"/>
        <c:noMultiLvlLbl val="0"/>
      </c:catAx>
      <c:valAx>
        <c:axId val="1316179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6709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2018年支出</c:v>
                </c:pt>
                <c:pt idx="1">
                  <c:v>2019年支出</c:v>
                </c:pt>
              </c:strCache>
            </c:strRef>
          </c:cat>
          <c:val>
            <c:numRef>
              <c:f>Sheet1!$B$2:$B$3</c:f>
              <c:numCache>
                <c:formatCode>General</c:formatCode>
                <c:ptCount val="2"/>
                <c:pt idx="0">
                  <c:v>160.59</c:v>
                </c:pt>
                <c:pt idx="1">
                  <c:v>151.52</c:v>
                </c:pt>
              </c:numCache>
            </c:numRef>
          </c:val>
        </c:ser>
        <c:dLbls>
          <c:showLegendKey val="0"/>
          <c:showVal val="0"/>
          <c:showCatName val="0"/>
          <c:showSerName val="0"/>
          <c:showPercent val="0"/>
          <c:showBubbleSize val="0"/>
        </c:dLbls>
        <c:gapWidth val="150"/>
        <c:axId val="131778048"/>
        <c:axId val="131779584"/>
      </c:barChart>
      <c:lineChart>
        <c:grouping val="standard"/>
        <c:varyColors val="0"/>
        <c:ser>
          <c:idx val="1"/>
          <c:order val="1"/>
          <c:tx>
            <c:strRef>
              <c:f>Sheet1!$C$1</c:f>
              <c:strCache>
                <c:ptCount val="1"/>
                <c:pt idx="0">
                  <c:v/>
                </c:pt>
              </c:strCache>
            </c:strRef>
          </c:tx>
          <c:spPr>
            <a:ln w="28575" cap="rnd" cmpd="sng" algn="ctr">
              <a:solidFill>
                <a:schemeClr val="accent2"/>
              </a:solidFill>
              <a:prstDash val="solid"/>
              <a:round/>
            </a:ln>
            <a:effectLst/>
          </c:spPr>
          <c:marker>
            <c:symbol val="none"/>
          </c:marker>
          <c:dLbls>
            <c:delete val="1"/>
          </c:dLbls>
          <c:cat>
            <c:strRef>
              <c:f>Sheet1!$A$2:$A$3</c:f>
              <c:strCache>
                <c:ptCount val="2"/>
                <c:pt idx="0">
                  <c:v>2018年支出</c:v>
                </c:pt>
                <c:pt idx="1">
                  <c:v>2019年支出</c:v>
                </c:pt>
              </c:strCache>
            </c:strRef>
          </c:cat>
          <c:val>
            <c:numRef>
              <c:f>Sheet1!$C$2:$C$3</c:f>
              <c:numCache>
                <c:formatCode>General</c:formatCode>
                <c:ptCount val="2"/>
              </c:numCache>
            </c:numRef>
          </c:val>
          <c:smooth val="0"/>
        </c:ser>
        <c:dLbls>
          <c:showLegendKey val="0"/>
          <c:showVal val="0"/>
          <c:showCatName val="0"/>
          <c:showSerName val="0"/>
          <c:showPercent val="0"/>
          <c:showBubbleSize val="0"/>
        </c:dLbls>
        <c:marker val="0"/>
        <c:smooth val="0"/>
        <c:axId val="131778048"/>
        <c:axId val="131779584"/>
      </c:lineChart>
      <c:catAx>
        <c:axId val="1317780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79584"/>
        <c:crosses val="autoZero"/>
        <c:auto val="1"/>
        <c:lblAlgn val="ctr"/>
        <c:lblOffset val="100"/>
        <c:noMultiLvlLbl val="0"/>
      </c:catAx>
      <c:valAx>
        <c:axId val="131779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78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2019年体育场收入</a:t>
            </a:r>
          </a:p>
        </c:rich>
      </c:tx>
      <c:layout/>
      <c:overlay val="0"/>
      <c:spPr>
        <a:noFill/>
        <a:ln>
          <a:noFill/>
        </a:ln>
        <a:effectLst/>
      </c:spPr>
    </c:title>
    <c:autoTitleDeleted val="0"/>
    <c:plotArea>
      <c:layout/>
      <c:pieChart>
        <c:varyColors val="1"/>
        <c:ser>
          <c:idx val="0"/>
          <c:order val="0"/>
          <c:tx>
            <c:strRef>
              <c:f>Sheet1!$B$1</c:f>
              <c:strCache>
                <c:ptCount val="1"/>
                <c:pt idx="0">
                  <c:v>2019年体育场支出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基本收入</c:v>
                </c:pt>
                <c:pt idx="1">
                  <c:v>项目收入</c:v>
                </c:pt>
              </c:strCache>
            </c:strRef>
          </c:cat>
          <c:val>
            <c:numRef>
              <c:f>Sheet1!$B$2:$B$5</c:f>
              <c:numCache>
                <c:formatCode>General</c:formatCode>
                <c:ptCount val="4"/>
                <c:pt idx="0">
                  <c:v>124.94</c:v>
                </c:pt>
                <c:pt idx="1">
                  <c:v>26.58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2019年体育场支出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strCache>
            </c:strRef>
          </c:cat>
          <c:val>
            <c:numRef>
              <c:f>Sheet1!$B$2:$B$5</c:f>
              <c:numCache>
                <c:formatCode>General</c:formatCode>
                <c:ptCount val="4"/>
                <c:pt idx="0">
                  <c:v>124.94</c:v>
                </c:pt>
                <c:pt idx="1">
                  <c:v>26.58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收入对比表</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2018年收入</c:v>
                </c:pt>
                <c:pt idx="1">
                  <c:v>2019年收入</c:v>
                </c:pt>
              </c:strCache>
            </c:strRef>
          </c:cat>
          <c:val>
            <c:numRef>
              <c:f>Sheet1!$B$2:$B$5</c:f>
              <c:numCache>
                <c:formatCode>General</c:formatCode>
                <c:ptCount val="4"/>
                <c:pt idx="0">
                  <c:v>160.59</c:v>
                </c:pt>
                <c:pt idx="1">
                  <c:v>151.52</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2018年收入</c:v>
                </c:pt>
                <c:pt idx="1">
                  <c:v>2019年收入</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2018年收入</c:v>
                </c:pt>
                <c:pt idx="1">
                  <c:v>2019年收入</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100"/>
        <c:axId val="86506880"/>
        <c:axId val="87233664"/>
      </c:barChart>
      <c:catAx>
        <c:axId val="865068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33664"/>
        <c:crosses val="autoZero"/>
        <c:auto val="1"/>
        <c:lblAlgn val="ctr"/>
        <c:lblOffset val="100"/>
        <c:noMultiLvlLbl val="0"/>
      </c:catAx>
      <c:valAx>
        <c:axId val="87233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06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支出对比表</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2018年支出</c:v>
                </c:pt>
                <c:pt idx="1">
                  <c:v>2019年支出</c:v>
                </c:pt>
              </c:strCache>
            </c:strRef>
          </c:cat>
          <c:val>
            <c:numRef>
              <c:f>Sheet1!$B$2:$B$5</c:f>
              <c:numCache>
                <c:formatCode>General</c:formatCode>
                <c:ptCount val="4"/>
                <c:pt idx="0">
                  <c:v>160.59</c:v>
                </c:pt>
                <c:pt idx="1">
                  <c:v>151.52</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2018年支出</c:v>
                </c:pt>
                <c:pt idx="1">
                  <c:v>2019年支出</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2018年支出</c:v>
                </c:pt>
                <c:pt idx="1">
                  <c:v>2019年支出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86309120"/>
        <c:axId val="86482944"/>
      </c:barChart>
      <c:catAx>
        <c:axId val="863091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82944"/>
        <c:crosses val="autoZero"/>
        <c:auto val="1"/>
        <c:lblAlgn val="ctr"/>
        <c:lblOffset val="100"/>
        <c:noMultiLvlLbl val="0"/>
      </c:catAx>
      <c:valAx>
        <c:axId val="86482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09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体育场2019年支出</c:v>
                </c:pt>
              </c:strCache>
            </c:strRef>
          </c:tx>
          <c:spPr>
            <a:solidFill>
              <a:schemeClr val="accent1"/>
            </a:solidFill>
            <a:ln>
              <a:noFill/>
            </a:ln>
            <a:effectLst/>
          </c:spPr>
          <c:invertIfNegative val="0"/>
          <c:dLbls>
            <c:delete val="1"/>
          </c:dLbls>
          <c:cat>
            <c:strRef>
              <c:f>Sheet1!$A$2:$A$5</c:f>
              <c:strCache>
                <c:ptCount val="4"/>
                <c:pt idx="0">
                  <c:v>2018年支出</c:v>
                </c:pt>
                <c:pt idx="1">
                  <c:v>2019年支出</c:v>
                </c:pt>
              </c:strCache>
            </c:strRef>
          </c:cat>
          <c:val>
            <c:numRef>
              <c:f>Sheet1!$B$2:$B$5</c:f>
              <c:numCache>
                <c:formatCode>General</c:formatCode>
                <c:ptCount val="4"/>
                <c:pt idx="0">
                  <c:v>160.59</c:v>
                </c:pt>
                <c:pt idx="1">
                  <c:v>151.52</c:v>
                </c:pt>
              </c:numCache>
            </c:numRef>
          </c:val>
        </c:ser>
        <c:dLbls>
          <c:showLegendKey val="0"/>
          <c:showVal val="0"/>
          <c:showCatName val="0"/>
          <c:showSerName val="0"/>
          <c:showPercent val="0"/>
          <c:showBubbleSize val="0"/>
        </c:dLbls>
        <c:gapWidth val="150"/>
        <c:overlap val="100"/>
        <c:axId val="86490496"/>
        <c:axId val="87258240"/>
      </c:barChart>
      <c:catAx>
        <c:axId val="86490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58240"/>
        <c:crosses val="autoZero"/>
        <c:auto val="1"/>
        <c:lblAlgn val="ctr"/>
        <c:lblOffset val="100"/>
        <c:noMultiLvlLbl val="0"/>
      </c:catAx>
      <c:valAx>
        <c:axId val="87258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90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39</Pages>
  <Words>2567</Words>
  <Characters>14632</Characters>
  <Lines>121</Lines>
  <Paragraphs>34</Paragraphs>
  <TotalTime>18</TotalTime>
  <ScaleCrop>false</ScaleCrop>
  <LinksUpToDate>false</LinksUpToDate>
  <CharactersWithSpaces>17165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2020-10-22T04:35:00Z</dcterms:created>
  <dc:creator>lenovo</dc:creator>
  <cp:lastModifiedBy>lenovo</cp:lastModifiedBy>
  <cp:lastPrinted>2021-05-12T07:25:00Z</cp:lastPrinted>
  <dcterms:modified xsi:type="dcterms:W3CDTF">2021-05-12T08:34:23Z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