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44"/>
          <w:szCs w:val="44"/>
        </w:rPr>
      </w:pPr>
    </w:p>
    <w:p>
      <w:pPr>
        <w:pStyle w:val="4"/>
        <w:rPr>
          <w:rFonts w:hint="eastAsia"/>
        </w:rPr>
      </w:pP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sz w:val="44"/>
          <w:szCs w:val="44"/>
        </w:rPr>
      </w:pPr>
      <w:r>
        <w:rPr>
          <w:rStyle w:val="9"/>
          <w:rFonts w:hint="eastAsia" w:ascii="方正小标宋简体" w:hAnsi="方正小标宋简体" w:eastAsia="方正小标宋简体" w:cs="方正小标宋简体"/>
          <w:sz w:val="44"/>
          <w:szCs w:val="44"/>
          <w:lang w:eastAsia="zh-CN"/>
        </w:rPr>
        <w:t>西安市阎良区图书馆</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Cs w:val="32"/>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李晓锋已审签</w:t>
      </w:r>
      <w:bookmarkStart w:id="5" w:name="_GoBack"/>
      <w:bookmarkEnd w:id="5"/>
    </w:p>
    <w:p>
      <w:pPr>
        <w:jc w:val="center"/>
        <w:rPr>
          <w:rFonts w:ascii="黑体" w:hAnsi="宋体" w:eastAsia="黑体"/>
          <w:b/>
          <w:color w:val="000000"/>
          <w:kern w:val="0"/>
          <w:sz w:val="56"/>
          <w:szCs w:val="56"/>
          <w:lang w:bidi="ar"/>
        </w:rPr>
      </w:pPr>
    </w:p>
    <w:p>
      <w:pPr>
        <w:jc w:val="center"/>
        <w:rPr>
          <w:rFonts w:ascii="黑体" w:hAnsi="宋体" w:eastAsia="黑体"/>
          <w:b/>
          <w:color w:val="000000"/>
          <w:kern w:val="0"/>
          <w:sz w:val="56"/>
          <w:szCs w:val="56"/>
          <w:lang w:bidi="ar"/>
        </w:rPr>
      </w:pP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宋体" w:eastAsia="黑体"/>
          <w:color w:val="000000"/>
          <w:kern w:val="0"/>
          <w:sz w:val="32"/>
          <w:szCs w:val="32"/>
          <w:lang w:bidi="ar"/>
        </w:rPr>
      </w:pPr>
      <w:r>
        <w:rPr>
          <w:rFonts w:hint="eastAsia" w:ascii="黑体" w:hAnsi="Times New Roman" w:eastAsia="黑体" w:cs="楷体"/>
          <w:bCs/>
          <w:color w:val="000000"/>
          <w:kern w:val="0"/>
          <w:sz w:val="32"/>
          <w:szCs w:val="32"/>
          <w:lang w:val="en-US" w:eastAsia="zh-CN" w:bidi="ar-SA"/>
        </w:rPr>
        <w:t>一、部门主要职责及内设机构</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负责广泛收集、整理、保存、利用各类图书、报纸、期刊、音像制品、电子出版物和网络信息等文献信息资源；</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开展图书借阅、阅览、读者辅导、参考咨询、信息服务等工作；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承担全区文化资源共享工程支中心建设服务及基层服务点指导工作；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指导全区镇街、村级图书馆建设工作，组织开展全区乡村级图书馆互动交流；</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承担有关培训和社会教育工作。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（二）内设机构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楷体" w:hAnsi="楷体" w:eastAsia="仿宋_GB2312" w:cs="楷体"/>
          <w:b/>
          <w:bCs/>
          <w:color w:val="000000"/>
          <w:kern w:val="0"/>
          <w:sz w:val="32"/>
          <w:szCs w:val="32"/>
          <w:lang w:eastAsia="zh-CN" w:bidi="ar"/>
        </w:rPr>
      </w:pPr>
      <w:r>
        <w:rPr>
          <w:rFonts w:hint="eastAsia" w:ascii="仿宋_GB2312" w:hAnsi="仿宋_GB2312" w:eastAsia="仿宋_GB2312" w:cs="仿宋_GB2312"/>
          <w:sz w:val="32"/>
          <w:szCs w:val="32"/>
          <w:lang w:eastAsia="zh-CN"/>
        </w:rPr>
        <w:t>西安市阎良区图书馆隶属于阎良区文化和旅游体育局，单位性质为公益一类事业单位，预算级次为</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个，包括本级</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西安市阎良区图书馆</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截止2019年底，本部门人员编制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人，其中行政编制</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人、事业编制</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人；实有人员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人，其中行政</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人、事业</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人。单位管理的离退休人员</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-16510</wp:posOffset>
            </wp:positionH>
            <wp:positionV relativeFrom="paragraph">
              <wp:posOffset>74295</wp:posOffset>
            </wp:positionV>
            <wp:extent cx="5080000" cy="2667000"/>
            <wp:effectExtent l="4445" t="4445" r="20955" b="1460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val="en-US" w:eastAsia="zh-CN"/>
              </w:rPr>
            </w:pPr>
            <w:r>
              <w:rPr>
                <w:rFonts w:hint="eastAsia" w:ascii="宋体" w:hAnsi="宋体" w:cs="宋体"/>
                <w:color w:val="000000"/>
                <w:sz w:val="24"/>
                <w:lang w:val="en-US"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widowControl/>
              <w:jc w:val="both"/>
              <w:rPr>
                <w:rFonts w:ascii="宋体" w:hAnsi="宋体" w:cs="宋体"/>
                <w:color w:val="000000"/>
                <w:kern w:val="0"/>
                <w:sz w:val="15"/>
                <w:szCs w:val="15"/>
              </w:rPr>
            </w:pPr>
            <w:r>
              <w:rPr>
                <w:rFonts w:hint="eastAsia" w:ascii="宋体" w:hAnsi="宋体" w:cs="宋体"/>
                <w:color w:val="000000"/>
                <w:sz w:val="15"/>
                <w:szCs w:val="15"/>
                <w:lang w:eastAsia="zh-CN"/>
              </w:rPr>
              <w:t>阎良区图书馆无</w:t>
            </w:r>
            <w:r>
              <w:rPr>
                <w:rFonts w:hint="eastAsia" w:ascii="宋体" w:hAnsi="宋体" w:cs="宋体"/>
                <w:color w:val="000000"/>
                <w:kern w:val="0"/>
                <w:sz w:val="15"/>
                <w:szCs w:val="15"/>
              </w:rPr>
              <w:t>政府性基金预算财政拨款收入支出</w:t>
            </w:r>
          </w:p>
          <w:p>
            <w:pPr>
              <w:jc w:val="both"/>
              <w:rPr>
                <w:rFonts w:hint="eastAsia" w:ascii="宋体" w:hAnsi="宋体" w:eastAsia="方正仿宋简体" w:cs="宋体"/>
                <w:color w:val="000000"/>
                <w:sz w:val="15"/>
                <w:szCs w:val="15"/>
                <w:lang w:eastAsia="zh-CN"/>
              </w:rPr>
            </w:pPr>
          </w:p>
        </w:tc>
      </w:tr>
    </w:tbl>
    <w:p>
      <w:pPr>
        <w:widowControl/>
        <w:rPr>
          <w:rFonts w:ascii="黑体" w:hAnsi="宋体" w:eastAsia="黑体"/>
          <w:color w:val="000000"/>
          <w:kern w:val="0"/>
          <w:sz w:val="44"/>
          <w:szCs w:val="44"/>
        </w:rPr>
      </w:pPr>
    </w:p>
    <w:p>
      <w:pPr>
        <w:widowControl/>
        <w:jc w:val="center"/>
        <w:textAlignment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71.97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71.97</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71.97</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0.00</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71.97</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71.97</w:t>
            </w:r>
          </w:p>
        </w:tc>
      </w:tr>
    </w:tbl>
    <w:p>
      <w:pPr>
        <w:widowControl/>
        <w:ind w:left="420" w:hanging="420" w:hangingChars="20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Pr>
        <w:widowControl/>
        <w:ind w:left="420" w:hanging="420" w:hangingChars="200"/>
        <w:jc w:val="left"/>
        <w:rPr>
          <w:rFonts w:hint="eastAsia" w:ascii="宋体" w:hAnsi="宋体" w:eastAsia="宋体" w:cs="宋体"/>
          <w:color w:val="000000"/>
          <w:kern w:val="0"/>
          <w:sz w:val="21"/>
          <w:szCs w:val="21"/>
        </w:rPr>
      </w:pPr>
    </w:p>
    <w:p>
      <w:pPr>
        <w:widowControl/>
        <w:ind w:left="420" w:hanging="420" w:hangingChars="200"/>
        <w:jc w:val="left"/>
        <w:rPr>
          <w:rFonts w:hint="eastAsia" w:ascii="宋体" w:hAnsi="宋体" w:eastAsia="宋体" w:cs="宋体"/>
          <w:color w:val="000000"/>
          <w:kern w:val="0"/>
          <w:sz w:val="21"/>
          <w:szCs w:val="21"/>
        </w:rPr>
        <w:sectPr>
          <w:pgSz w:w="11906" w:h="16838"/>
          <w:pgMar w:top="1440" w:right="1800" w:bottom="1440" w:left="1800" w:header="851" w:footer="992" w:gutter="0"/>
          <w:cols w:space="425" w:num="1"/>
          <w:docGrid w:type="lines" w:linePitch="312" w:charSpace="0"/>
        </w:sectPr>
      </w:pPr>
    </w:p>
    <w:p>
      <w:pPr>
        <w:jc w:val="center"/>
        <w:rPr>
          <w:rFonts w:ascii="宋体" w:hAnsi="宋体" w:eastAsia="宋体" w:cs="宋体"/>
          <w:b/>
          <w:bCs/>
          <w:szCs w:val="32"/>
        </w:rPr>
      </w:pPr>
      <w:r>
        <w:rPr>
          <w:rFonts w:hint="eastAsia" w:ascii="宋体" w:hAnsi="宋体" w:eastAsia="宋体" w:cs="宋体"/>
          <w:b/>
          <w:bCs/>
          <w:szCs w:val="32"/>
        </w:rPr>
        <w:t>收入决算表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304" w:type="dxa"/>
        <w:tblInd w:w="0" w:type="dxa"/>
        <w:tblLayout w:type="fixed"/>
        <w:tblCellMar>
          <w:top w:w="15" w:type="dxa"/>
          <w:left w:w="15" w:type="dxa"/>
          <w:bottom w:w="15" w:type="dxa"/>
          <w:right w:w="15" w:type="dxa"/>
        </w:tblCellMar>
      </w:tblPr>
      <w:tblGrid>
        <w:gridCol w:w="953"/>
        <w:gridCol w:w="1633"/>
        <w:gridCol w:w="650"/>
        <w:gridCol w:w="635"/>
        <w:gridCol w:w="616"/>
        <w:gridCol w:w="717"/>
        <w:gridCol w:w="733"/>
        <w:gridCol w:w="684"/>
        <w:gridCol w:w="833"/>
        <w:gridCol w:w="850"/>
      </w:tblGrid>
      <w:tr>
        <w:tblPrEx>
          <w:tblCellMar>
            <w:top w:w="15" w:type="dxa"/>
            <w:left w:w="15" w:type="dxa"/>
            <w:bottom w:w="15" w:type="dxa"/>
            <w:right w:w="15" w:type="dxa"/>
          </w:tblCellMar>
        </w:tblPrEx>
        <w:trPr>
          <w:trHeight w:val="483" w:hRule="atLeast"/>
        </w:trPr>
        <w:tc>
          <w:tcPr>
            <w:tcW w:w="25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6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6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45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68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8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74" w:hRule="atLeast"/>
        </w:trPr>
        <w:tc>
          <w:tcPr>
            <w:tcW w:w="953"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633"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6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1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733" w:type="dxa"/>
            <w:tcBorders>
              <w:top w:val="single" w:color="000000" w:sz="4" w:space="0"/>
              <w:left w:val="single" w:color="000000" w:sz="4" w:space="0"/>
              <w:bottom w:val="single" w:color="000000" w:sz="4" w:space="0"/>
              <w:right w:val="single" w:color="000000" w:sz="4" w:space="0"/>
            </w:tcBorders>
            <w:vAlign w:val="top"/>
          </w:tcPr>
          <w:p>
            <w:pPr>
              <w:jc w:val="both"/>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684"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7" w:hRule="atLeast"/>
        </w:trPr>
        <w:tc>
          <w:tcPr>
            <w:tcW w:w="258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71.97</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71.97</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0"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文化旅游体育与传媒支出</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67.43</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4"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文化和旅游</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67.43</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91"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2070104</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图书馆</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47.43</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47.43</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19"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2070199</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其他文化和旅游支出</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20.00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70"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社会保障和就业支出</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3.64</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53"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行政事业单位离退休</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3.64</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90"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机关事业单位基本养老保险缴费支出</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3.64</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43"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卫生健康支出</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0.90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86"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行政事业单位医疗</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0.90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386" w:hRule="atLeast"/>
        </w:trPr>
        <w:tc>
          <w:tcPr>
            <w:tcW w:w="953"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1633"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事业单位医疗</w:t>
            </w:r>
          </w:p>
        </w:tc>
        <w:tc>
          <w:tcPr>
            <w:tcW w:w="6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6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0.90</w:t>
            </w:r>
          </w:p>
        </w:tc>
        <w:tc>
          <w:tcPr>
            <w:tcW w:w="61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6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bl>
    <w:p>
      <w:pPr>
        <w:widowControl/>
        <w:ind w:left="420" w:hanging="420" w:hangingChars="200"/>
        <w:jc w:val="left"/>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支出决算表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398" w:type="dxa"/>
        <w:tblInd w:w="0" w:type="dxa"/>
        <w:tblLayout w:type="fixed"/>
        <w:tblCellMar>
          <w:top w:w="15" w:type="dxa"/>
          <w:left w:w="15" w:type="dxa"/>
          <w:bottom w:w="15" w:type="dxa"/>
          <w:right w:w="15" w:type="dxa"/>
        </w:tblCellMar>
      </w:tblPr>
      <w:tblGrid>
        <w:gridCol w:w="815"/>
        <w:gridCol w:w="1683"/>
        <w:gridCol w:w="717"/>
        <w:gridCol w:w="933"/>
        <w:gridCol w:w="1000"/>
        <w:gridCol w:w="850"/>
        <w:gridCol w:w="1067"/>
        <w:gridCol w:w="1333"/>
      </w:tblGrid>
      <w:tr>
        <w:tblPrEx>
          <w:tblCellMar>
            <w:top w:w="15" w:type="dxa"/>
            <w:left w:w="15" w:type="dxa"/>
            <w:bottom w:w="15" w:type="dxa"/>
            <w:right w:w="15" w:type="dxa"/>
          </w:tblCellMar>
        </w:tblPrEx>
        <w:trPr>
          <w:trHeight w:val="433" w:hRule="atLeast"/>
        </w:trPr>
        <w:tc>
          <w:tcPr>
            <w:tcW w:w="24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7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10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33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80"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68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7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3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3" w:hRule="atLeast"/>
        </w:trPr>
        <w:tc>
          <w:tcPr>
            <w:tcW w:w="249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71.97</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46.97</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文化旅游体育与传媒支出</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42.43</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文化和旅游</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42.43</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2070104</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图书馆</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47.43</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42.43</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2070199</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其他文化和旅游支出</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社会保障和就业支出</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行政事业单位离退休</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2080505</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机关事业单位基本养老保险缴费支出</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卫生健康支出</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行政事业单位医疗</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33" w:hRule="atLeast"/>
        </w:trPr>
        <w:tc>
          <w:tcPr>
            <w:tcW w:w="815"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2101102</w:t>
            </w:r>
          </w:p>
        </w:tc>
        <w:tc>
          <w:tcPr>
            <w:tcW w:w="1683"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事业单位医疗</w:t>
            </w:r>
          </w:p>
        </w:tc>
        <w:tc>
          <w:tcPr>
            <w:tcW w:w="7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10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8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0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3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bl>
    <w:p>
      <w:pPr>
        <w:widowControl/>
        <w:jc w:val="left"/>
        <w:rPr>
          <w:rFonts w:hint="eastAsia" w:ascii="宋体" w:hAnsi="宋体" w:eastAsia="宋体" w:cs="宋体"/>
          <w:color w:val="000000"/>
          <w:kern w:val="0"/>
          <w:sz w:val="21"/>
          <w:szCs w:val="21"/>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Pr>
        <w:widowControl/>
        <w:jc w:val="left"/>
        <w:rPr>
          <w:rFonts w:hint="eastAsia" w:ascii="宋体" w:hAnsi="宋体" w:eastAsia="宋体" w:cs="宋体"/>
          <w:color w:val="000000"/>
          <w:kern w:val="0"/>
          <w:sz w:val="21"/>
          <w:szCs w:val="21"/>
        </w:rPr>
      </w:pPr>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金额单位：万元</w:t>
      </w:r>
    </w:p>
    <w:tbl>
      <w:tblPr>
        <w:tblStyle w:val="6"/>
        <w:tblW w:w="8739" w:type="dxa"/>
        <w:tblInd w:w="0" w:type="dxa"/>
        <w:tblLayout w:type="fixed"/>
        <w:tblCellMar>
          <w:top w:w="15" w:type="dxa"/>
          <w:left w:w="15" w:type="dxa"/>
          <w:bottom w:w="15" w:type="dxa"/>
          <w:right w:w="15" w:type="dxa"/>
        </w:tblCellMar>
      </w:tblPr>
      <w:tblGrid>
        <w:gridCol w:w="1712"/>
        <w:gridCol w:w="1077"/>
        <w:gridCol w:w="2715"/>
        <w:gridCol w:w="1139"/>
        <w:gridCol w:w="1107"/>
        <w:gridCol w:w="989"/>
      </w:tblGrid>
      <w:tr>
        <w:tblPrEx>
          <w:tblCellMar>
            <w:top w:w="15" w:type="dxa"/>
            <w:left w:w="15" w:type="dxa"/>
            <w:bottom w:w="15" w:type="dxa"/>
            <w:right w:w="15" w:type="dxa"/>
          </w:tblCellMar>
        </w:tblPrEx>
        <w:trPr>
          <w:trHeight w:val="405" w:hRule="atLeast"/>
        </w:trPr>
        <w:tc>
          <w:tcPr>
            <w:tcW w:w="2789"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5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53"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28"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71.97</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728"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728"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0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r>
      <w:tr>
        <w:tblPrEx>
          <w:tblCellMar>
            <w:top w:w="15" w:type="dxa"/>
            <w:left w:w="15" w:type="dxa"/>
            <w:bottom w:w="15" w:type="dxa"/>
            <w:right w:w="15" w:type="dxa"/>
          </w:tblCellMar>
        </w:tblPrEx>
        <w:trPr>
          <w:trHeight w:val="425" w:hRule="atLeast"/>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9"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sz w:val="21"/>
                <w:szCs w:val="21"/>
                <w:lang w:val="en-US" w:eastAsia="zh-CN"/>
              </w:rPr>
              <w:t>0.00</w:t>
            </w:r>
          </w:p>
        </w:tc>
        <w:tc>
          <w:tcPr>
            <w:tcW w:w="1107"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c>
          <w:tcPr>
            <w:tcW w:w="989"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r>
              <w:rPr>
                <w:rFonts w:hint="eastAsia" w:ascii="宋体" w:hAnsi="宋体" w:eastAsia="宋体" w:cs="宋体"/>
                <w:color w:val="000000"/>
                <w:sz w:val="21"/>
                <w:szCs w:val="21"/>
                <w:lang w:val="en-US" w:eastAsia="zh-CN"/>
              </w:rPr>
              <w:t>0.00</w:t>
            </w:r>
          </w:p>
        </w:tc>
      </w:tr>
    </w:tbl>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71.97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71.97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71.97</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71.97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0.00</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71.97</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71.97</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971"/>
        <w:gridCol w:w="2566"/>
        <w:gridCol w:w="900"/>
        <w:gridCol w:w="900"/>
        <w:gridCol w:w="917"/>
        <w:gridCol w:w="933"/>
        <w:gridCol w:w="867"/>
        <w:gridCol w:w="723"/>
      </w:tblGrid>
      <w:tr>
        <w:tblPrEx>
          <w:tblCellMar>
            <w:top w:w="15" w:type="dxa"/>
            <w:left w:w="15" w:type="dxa"/>
            <w:bottom w:w="15" w:type="dxa"/>
            <w:right w:w="15" w:type="dxa"/>
          </w:tblCellMar>
        </w:tblPrEx>
        <w:trPr>
          <w:trHeight w:val="414" w:hRule="atLeast"/>
        </w:trPr>
        <w:tc>
          <w:tcPr>
            <w:tcW w:w="35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750"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8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72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56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9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8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353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71.97</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46.97</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42.27</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9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文化旅游体育与传媒支出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42.43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37.73</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4.70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2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文化和旅游</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67.43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42.43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37.73</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4.70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68"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2070104</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图书馆</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47.43</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42.43</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37.73</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rPr>
            </w:pPr>
            <w:r>
              <w:rPr>
                <w:rFonts w:hint="eastAsia" w:ascii="宋体" w:hAnsi="宋体" w:eastAsia="宋体" w:cs="宋体"/>
                <w:color w:val="000000"/>
                <w:sz w:val="21"/>
                <w:szCs w:val="21"/>
                <w:lang w:val="en-US" w:eastAsia="zh-CN"/>
              </w:rPr>
              <w:t>4.70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2070199</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其他文化和旅游支出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208</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社会保障和就业支出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3.64</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20805</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行政事业单位离退休</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3.64</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2080505</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机关事业单位基本养老保险缴费支出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3.64</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3.64</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卫生健康支出</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0.90</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21011</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行政事业单位医疗</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0.90</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2101102</w:t>
            </w: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事业单位医疗</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0.90</w:t>
            </w: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0.90</w:t>
            </w: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0.00</w:t>
            </w: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25" w:hRule="atLeast"/>
        </w:trPr>
        <w:tc>
          <w:tcPr>
            <w:tcW w:w="97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56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1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6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46.97</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42.27</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4.7</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42.27</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19.81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19.81</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30107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绩效工资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5.34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rPr>
            </w:pPr>
            <w:r>
              <w:rPr>
                <w:rFonts w:hint="eastAsia" w:ascii="宋体" w:hAnsi="宋体" w:eastAsia="宋体" w:cs="宋体"/>
                <w:color w:val="000000"/>
                <w:kern w:val="0"/>
                <w:sz w:val="21"/>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4.08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eastAsia"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3020</w:t>
            </w:r>
            <w:r>
              <w:rPr>
                <w:rFonts w:hint="eastAsia" w:ascii="宋体" w:hAnsi="宋体" w:eastAsia="宋体" w:cs="宋体"/>
                <w:color w:val="000000"/>
                <w:kern w:val="0"/>
                <w:sz w:val="21"/>
                <w:szCs w:val="21"/>
                <w:lang w:val="en-US" w:eastAsia="zh-CN"/>
              </w:rPr>
              <w:t>7</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邮电费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ind w:firstLine="210" w:firstLineChars="100"/>
              <w:jc w:val="left"/>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w:t>
            </w:r>
            <w:r>
              <w:rPr>
                <w:rFonts w:hint="eastAsia" w:ascii="宋体" w:hAnsi="宋体" w:eastAsia="宋体" w:cs="宋体"/>
                <w:color w:val="000000"/>
                <w:kern w:val="0"/>
                <w:sz w:val="21"/>
                <w:szCs w:val="21"/>
                <w:lang w:val="en-US" w:eastAsia="zh-CN"/>
              </w:rPr>
              <w:t>11</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差旅费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w:t>
            </w:r>
            <w:r>
              <w:rPr>
                <w:rFonts w:hint="eastAsia" w:ascii="宋体" w:hAnsi="宋体" w:eastAsia="宋体" w:cs="宋体"/>
                <w:color w:val="000000"/>
                <w:kern w:val="0"/>
                <w:sz w:val="21"/>
                <w:szCs w:val="21"/>
                <w:lang w:val="en-US" w:eastAsia="zh-CN"/>
              </w:rPr>
              <w:t>17</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公务接待费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0.03</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w:t>
            </w:r>
            <w:r>
              <w:rPr>
                <w:rFonts w:hint="eastAsia" w:ascii="宋体" w:hAnsi="宋体" w:eastAsia="宋体" w:cs="宋体"/>
                <w:color w:val="000000"/>
                <w:kern w:val="0"/>
                <w:sz w:val="21"/>
                <w:szCs w:val="21"/>
                <w:lang w:val="en-US" w:eastAsia="zh-CN"/>
              </w:rPr>
              <w:t>28</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工会经费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0.48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302</w:t>
            </w:r>
            <w:r>
              <w:rPr>
                <w:rFonts w:hint="eastAsia" w:ascii="宋体" w:hAnsi="宋体" w:eastAsia="宋体" w:cs="宋体"/>
                <w:color w:val="000000"/>
                <w:kern w:val="0"/>
                <w:sz w:val="21"/>
                <w:szCs w:val="21"/>
                <w:lang w:val="en-US" w:eastAsia="zh-CN"/>
              </w:rPr>
              <w:t>31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公务用车运行维护费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2.89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4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公开07表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2.92</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0.03</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2.89</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2.89</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0.00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西安市阎良区图书馆</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r>
        <w:rPr>
          <w:rFonts w:hint="eastAsia" w:ascii="黑体" w:hAnsi="黑体" w:eastAsia="黑体"/>
          <w:color w:val="000000"/>
          <w:kern w:val="0"/>
          <w:sz w:val="32"/>
          <w:szCs w:val="32"/>
          <w:lang w:bidi="ar"/>
        </w:rPr>
        <w:t>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 w:eastAsia="仿宋_GB2312"/>
          <w:sz w:val="32"/>
          <w:szCs w:val="32"/>
        </w:rPr>
      </w:pPr>
      <w:r>
        <w:rPr>
          <w:rFonts w:hint="eastAsia" w:ascii="黑体" w:hAnsi="黑体" w:eastAsia="黑体"/>
          <w:color w:val="000000"/>
          <w:kern w:val="0"/>
          <w:sz w:val="32"/>
          <w:szCs w:val="32"/>
          <w:lang w:eastAsia="zh-CN" w:bidi="ar"/>
        </w:rPr>
        <w:drawing>
          <wp:anchor distT="0" distB="0" distL="114300" distR="114300" simplePos="0" relativeHeight="251662336" behindDoc="0" locked="0" layoutInCell="1" allowOverlap="1">
            <wp:simplePos x="0" y="0"/>
            <wp:positionH relativeFrom="column">
              <wp:posOffset>-27305</wp:posOffset>
            </wp:positionH>
            <wp:positionV relativeFrom="paragraph">
              <wp:posOffset>13335</wp:posOffset>
            </wp:positionV>
            <wp:extent cx="5080000" cy="2933065"/>
            <wp:effectExtent l="4445" t="4445" r="20955" b="15240"/>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黑体" w:hAnsi="黑体" w:eastAsia="黑体"/>
          <w:color w:val="000000"/>
          <w:kern w:val="0"/>
          <w:sz w:val="32"/>
          <w:szCs w:val="32"/>
          <w:lang w:val="en-US" w:eastAsia="zh-CN" w:bidi="ar"/>
        </w:rPr>
        <w:t xml:space="preserve">    </w:t>
      </w: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年度本年收入合计</w:t>
      </w:r>
      <w:r>
        <w:rPr>
          <w:rFonts w:hint="eastAsia" w:ascii="仿宋_GB2312" w:hAnsi="仿宋" w:eastAsia="仿宋_GB2312"/>
          <w:sz w:val="32"/>
          <w:szCs w:val="32"/>
          <w:lang w:val="en-US" w:eastAsia="zh-CN"/>
        </w:rPr>
        <w:t>71.97</w:t>
      </w:r>
      <w:r>
        <w:rPr>
          <w:rFonts w:hint="eastAsia" w:ascii="仿宋_GB2312" w:hAnsi="仿宋" w:eastAsia="仿宋_GB2312"/>
          <w:sz w:val="32"/>
          <w:szCs w:val="32"/>
        </w:rPr>
        <w:t>万元，较上年</w:t>
      </w:r>
      <w:r>
        <w:rPr>
          <w:rFonts w:hint="eastAsia" w:ascii="仿宋_GB2312" w:hAnsi="仿宋" w:eastAsia="仿宋_GB2312"/>
          <w:sz w:val="32"/>
          <w:szCs w:val="32"/>
          <w:lang w:eastAsia="zh-CN"/>
        </w:rPr>
        <w:t>增加</w:t>
      </w:r>
      <w:r>
        <w:rPr>
          <w:rFonts w:hint="eastAsia" w:ascii="仿宋_GB2312" w:hAnsi="仿宋" w:eastAsia="仿宋_GB2312"/>
          <w:sz w:val="32"/>
          <w:szCs w:val="32"/>
          <w:lang w:val="en-US" w:eastAsia="zh-CN"/>
        </w:rPr>
        <w:t>71.97</w:t>
      </w:r>
      <w:r>
        <w:rPr>
          <w:rFonts w:hint="eastAsia" w:ascii="仿宋_GB2312" w:hAnsi="仿宋" w:eastAsia="仿宋_GB2312"/>
          <w:sz w:val="32"/>
          <w:szCs w:val="32"/>
        </w:rPr>
        <w:t>万元，主要原因是</w:t>
      </w:r>
      <w:r>
        <w:rPr>
          <w:rFonts w:hint="eastAsia" w:ascii="仿宋_GB2312" w:hAnsi="仿宋" w:eastAsia="仿宋_GB2312"/>
          <w:sz w:val="32"/>
          <w:szCs w:val="32"/>
          <w:lang w:val="en-US" w:eastAsia="zh-CN"/>
        </w:rPr>
        <w:t>2019年阎良区图书馆机构单设,此前未单设</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lang w:val="en-US" w:eastAsia="zh-CN"/>
        </w:rPr>
      </w:pP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年度本年支出合计</w:t>
      </w:r>
      <w:r>
        <w:rPr>
          <w:rFonts w:hint="eastAsia" w:ascii="仿宋_GB2312" w:hAnsi="仿宋" w:eastAsia="仿宋_GB2312"/>
          <w:sz w:val="32"/>
          <w:szCs w:val="32"/>
          <w:lang w:val="en-US" w:eastAsia="zh-CN"/>
        </w:rPr>
        <w:t>71.97</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71.97</w:t>
      </w:r>
      <w:r>
        <w:rPr>
          <w:rFonts w:hint="eastAsia" w:ascii="仿宋_GB2312" w:hAnsi="仿宋" w:eastAsia="仿宋_GB2312"/>
          <w:sz w:val="32"/>
          <w:szCs w:val="32"/>
        </w:rPr>
        <w:t>万元，主要原因是</w:t>
      </w:r>
      <w:r>
        <w:rPr>
          <w:rFonts w:hint="eastAsia" w:ascii="仿宋_GB2312" w:hAnsi="仿宋" w:eastAsia="仿宋_GB2312"/>
          <w:sz w:val="32"/>
          <w:szCs w:val="32"/>
          <w:lang w:val="en-US" w:eastAsia="zh-CN"/>
        </w:rPr>
        <w:t>2019年阎良区图书馆机构单设,此前未单设。</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eastAsia="zh-CN" w:bidi="ar"/>
        </w:rPr>
      </w:pPr>
      <w:r>
        <w:rPr>
          <w:rFonts w:hint="eastAsia" w:ascii="黑体" w:hAnsi="黑体" w:eastAsia="黑体"/>
          <w:color w:val="000000"/>
          <w:kern w:val="0"/>
          <w:sz w:val="32"/>
          <w:szCs w:val="32"/>
          <w:lang w:eastAsia="zh-CN" w:bidi="ar"/>
        </w:rPr>
        <w:drawing>
          <wp:anchor distT="0" distB="0" distL="114300" distR="114300" simplePos="0" relativeHeight="251660288" behindDoc="0" locked="0" layoutInCell="1" allowOverlap="1">
            <wp:simplePos x="0" y="0"/>
            <wp:positionH relativeFrom="column">
              <wp:posOffset>-98425</wp:posOffset>
            </wp:positionH>
            <wp:positionV relativeFrom="paragraph">
              <wp:posOffset>596265</wp:posOffset>
            </wp:positionV>
            <wp:extent cx="5080000" cy="2437130"/>
            <wp:effectExtent l="5080" t="4445" r="20320" b="1587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olor w:val="000000"/>
          <w:kern w:val="0"/>
          <w:sz w:val="32"/>
          <w:szCs w:val="32"/>
          <w:lang w:bidi="ar"/>
        </w:rPr>
        <w:t>收入决算情况</w:t>
      </w:r>
      <w:r>
        <w:rPr>
          <w:rFonts w:hint="eastAsia" w:ascii="黑体" w:hAnsi="黑体" w:eastAsia="黑体"/>
          <w:color w:val="000000"/>
          <w:kern w:val="0"/>
          <w:sz w:val="32"/>
          <w:szCs w:val="32"/>
          <w:lang w:eastAsia="zh-CN" w:bidi="ar"/>
        </w:rPr>
        <w:t>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pPr>
      <w:r>
        <w:rPr>
          <w:rFonts w:hint="eastAsia" w:ascii="黑体" w:hAnsi="黑体" w:eastAsia="黑体"/>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71.97</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71.97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%；事业收入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%；经营收入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%；其他收入</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宋体" w:eastAsia="仿宋_GB2312" w:cs="仿宋_GB2312"/>
          <w:color w:val="000000"/>
          <w:kern w:val="0"/>
          <w:sz w:val="32"/>
          <w:szCs w:val="32"/>
          <w:lang w:eastAsia="zh-CN" w:bidi="ar"/>
        </w:rPr>
        <w:drawing>
          <wp:anchor distT="0" distB="0" distL="114300" distR="114300" simplePos="0" relativeHeight="251661312" behindDoc="0" locked="0" layoutInCell="1" allowOverlap="1">
            <wp:simplePos x="0" y="0"/>
            <wp:positionH relativeFrom="column">
              <wp:posOffset>-1270</wp:posOffset>
            </wp:positionH>
            <wp:positionV relativeFrom="paragraph">
              <wp:posOffset>241935</wp:posOffset>
            </wp:positionV>
            <wp:extent cx="5281295" cy="2645410"/>
            <wp:effectExtent l="4445" t="4445" r="10160" b="1714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71.97</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46.97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65.26</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25</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34.74</w:t>
      </w:r>
      <w:r>
        <w:rPr>
          <w:rFonts w:ascii="仿宋_GB2312" w:hAnsi="宋体" w:eastAsia="仿宋_GB2312" w:cs="仿宋_GB2312"/>
          <w:color w:val="000000"/>
          <w:kern w:val="0"/>
          <w:sz w:val="32"/>
          <w:szCs w:val="32"/>
          <w:lang w:bidi="ar"/>
        </w:rPr>
        <w:t>%；经营支出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仿宋_GB2312" w:hAnsi="仿宋" w:eastAsia="仿宋_GB2312"/>
          <w:sz w:val="32"/>
          <w:szCs w:val="32"/>
          <w:lang w:eastAsia="zh-CN"/>
        </w:rPr>
        <w:drawing>
          <wp:anchor distT="0" distB="0" distL="114300" distR="114300" simplePos="0" relativeHeight="251663360" behindDoc="0" locked="0" layoutInCell="1" allowOverlap="1">
            <wp:simplePos x="0" y="0"/>
            <wp:positionH relativeFrom="column">
              <wp:posOffset>-16510</wp:posOffset>
            </wp:positionH>
            <wp:positionV relativeFrom="paragraph">
              <wp:posOffset>558800</wp:posOffset>
            </wp:positionV>
            <wp:extent cx="5270500" cy="2826385"/>
            <wp:effectExtent l="4445" t="4445" r="20955" b="762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lang w:val="en-US" w:eastAsia="zh-CN"/>
        </w:rPr>
      </w:pPr>
      <w:r>
        <w:rPr>
          <w:rFonts w:hint="eastAsia" w:ascii="仿宋_GB2312" w:hAnsi="仿宋" w:eastAsia="仿宋_GB2312"/>
          <w:sz w:val="32"/>
          <w:szCs w:val="32"/>
        </w:rPr>
        <w:t>201</w:t>
      </w:r>
      <w:r>
        <w:rPr>
          <w:rFonts w:hint="eastAsia" w:ascii="仿宋_GB2312" w:hAnsi="仿宋" w:eastAsia="仿宋_GB2312"/>
          <w:sz w:val="32"/>
          <w:szCs w:val="32"/>
          <w:lang w:val="en-US" w:eastAsia="zh-CN"/>
        </w:rPr>
        <w:t>9</w:t>
      </w:r>
      <w:r>
        <w:rPr>
          <w:rFonts w:hint="eastAsia" w:ascii="仿宋_GB2312" w:hAnsi="仿宋" w:eastAsia="仿宋_GB2312"/>
          <w:sz w:val="32"/>
          <w:szCs w:val="32"/>
        </w:rPr>
        <w:t>年财政拨款收入</w:t>
      </w:r>
      <w:r>
        <w:rPr>
          <w:rFonts w:hint="eastAsia" w:ascii="仿宋_GB2312" w:hAnsi="仿宋" w:eastAsia="仿宋_GB2312"/>
          <w:sz w:val="32"/>
          <w:szCs w:val="32"/>
          <w:lang w:val="en-US" w:eastAsia="zh-CN"/>
        </w:rPr>
        <w:t>71.97</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71.97</w:t>
      </w:r>
      <w:r>
        <w:rPr>
          <w:rFonts w:hint="eastAsia" w:ascii="仿宋_GB2312" w:hAnsi="仿宋" w:eastAsia="仿宋_GB2312"/>
          <w:sz w:val="32"/>
          <w:szCs w:val="32"/>
        </w:rPr>
        <w:t>万元，主要原因是</w:t>
      </w:r>
      <w:r>
        <w:rPr>
          <w:rFonts w:hint="eastAsia" w:ascii="仿宋_GB2312" w:hAnsi="仿宋" w:eastAsia="仿宋_GB2312"/>
          <w:sz w:val="32"/>
          <w:szCs w:val="32"/>
          <w:lang w:val="en-US" w:eastAsia="zh-CN"/>
        </w:rPr>
        <w:t>2019年阎良区图书馆机构单设,此前未单设。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19</w:t>
      </w:r>
      <w:r>
        <w:rPr>
          <w:rFonts w:hint="eastAsia" w:ascii="仿宋_GB2312" w:hAnsi="仿宋" w:eastAsia="仿宋_GB2312"/>
          <w:sz w:val="32"/>
          <w:szCs w:val="32"/>
        </w:rPr>
        <w:t>年财政拨款支出</w:t>
      </w:r>
      <w:r>
        <w:rPr>
          <w:rFonts w:hint="eastAsia" w:ascii="仿宋_GB2312" w:hAnsi="仿宋" w:eastAsia="仿宋_GB2312"/>
          <w:sz w:val="32"/>
          <w:szCs w:val="32"/>
          <w:lang w:val="en-US" w:eastAsia="zh-CN"/>
        </w:rPr>
        <w:t>71.97</w:t>
      </w:r>
      <w:r>
        <w:rPr>
          <w:rFonts w:hint="eastAsia" w:ascii="仿宋_GB2312" w:hAnsi="仿宋" w:eastAsia="仿宋_GB2312"/>
          <w:sz w:val="32"/>
          <w:szCs w:val="32"/>
        </w:rPr>
        <w:t>万元，比上年增加</w:t>
      </w:r>
      <w:r>
        <w:rPr>
          <w:rFonts w:hint="eastAsia" w:ascii="仿宋_GB2312" w:hAnsi="仿宋" w:eastAsia="仿宋_GB2312"/>
          <w:sz w:val="32"/>
          <w:szCs w:val="32"/>
          <w:lang w:val="en-US" w:eastAsia="zh-CN"/>
        </w:rPr>
        <w:t>71.97</w:t>
      </w:r>
      <w:r>
        <w:rPr>
          <w:rFonts w:hint="eastAsia" w:ascii="仿宋_GB2312" w:hAnsi="仿宋" w:eastAsia="仿宋_GB2312"/>
          <w:sz w:val="32"/>
          <w:szCs w:val="32"/>
        </w:rPr>
        <w:t>万元，主要原因是</w:t>
      </w:r>
      <w:r>
        <w:rPr>
          <w:rFonts w:hint="eastAsia" w:ascii="仿宋_GB2312" w:hAnsi="仿宋" w:eastAsia="仿宋_GB2312"/>
          <w:sz w:val="32"/>
          <w:szCs w:val="32"/>
          <w:lang w:val="en-US" w:eastAsia="zh-CN"/>
        </w:rPr>
        <w:t>2019年阎良区图书馆机构单设,此前未单设</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hint="eastAsia" w:ascii="楷体_GB2312" w:hAnsi="宋体" w:eastAsia="楷体_GB2312" w:cs="楷体_GB2312"/>
          <w:b/>
          <w:color w:val="000000"/>
          <w:kern w:val="0"/>
          <w:sz w:val="32"/>
          <w:szCs w:val="32"/>
          <w:lang w:eastAsia="zh-CN" w:bidi="ar"/>
        </w:rPr>
        <w:drawing>
          <wp:anchor distT="0" distB="0" distL="114300" distR="114300" simplePos="0" relativeHeight="251665408" behindDoc="0" locked="0" layoutInCell="1" allowOverlap="1">
            <wp:simplePos x="0" y="0"/>
            <wp:positionH relativeFrom="column">
              <wp:posOffset>283845</wp:posOffset>
            </wp:positionH>
            <wp:positionV relativeFrom="paragraph">
              <wp:posOffset>53975</wp:posOffset>
            </wp:positionV>
            <wp:extent cx="5080000" cy="2487930"/>
            <wp:effectExtent l="4445" t="4445" r="20955" b="2222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71.97</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71.97</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仿宋" w:eastAsia="仿宋_GB2312"/>
          <w:sz w:val="32"/>
          <w:szCs w:val="32"/>
          <w:lang w:val="en-US" w:eastAsia="zh-CN"/>
        </w:rPr>
        <w:t>2019年阎良区图书馆机构单设,此前未单设</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27.12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71.97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265.38</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1.</w:t>
      </w:r>
      <w:r>
        <w:rPr>
          <w:rFonts w:hint="eastAsia" w:ascii="仿宋_GB2312" w:hAnsi="宋体" w:eastAsia="仿宋_GB2312" w:cs="仿宋_GB2312"/>
          <w:b/>
          <w:color w:val="000000"/>
          <w:kern w:val="0"/>
          <w:sz w:val="32"/>
          <w:szCs w:val="32"/>
          <w:lang w:eastAsia="zh-CN" w:bidi="ar"/>
        </w:rPr>
        <w:t>公共旅游体育与传媒</w:t>
      </w:r>
      <w:r>
        <w:rPr>
          <w:rFonts w:ascii="仿宋_GB2312" w:hAnsi="宋体" w:eastAsia="仿宋_GB2312" w:cs="仿宋_GB2312"/>
          <w:b/>
          <w:color w:val="000000"/>
          <w:kern w:val="0"/>
          <w:sz w:val="32"/>
          <w:szCs w:val="32"/>
          <w:lang w:bidi="ar"/>
        </w:rPr>
        <w:t>支出（类）</w:t>
      </w:r>
      <w:r>
        <w:rPr>
          <w:rFonts w:hint="eastAsia" w:ascii="仿宋_GB2312" w:hAnsi="宋体" w:eastAsia="仿宋_GB2312" w:cs="仿宋_GB2312"/>
          <w:b/>
          <w:color w:val="000000"/>
          <w:kern w:val="0"/>
          <w:sz w:val="32"/>
          <w:szCs w:val="32"/>
          <w:lang w:eastAsia="zh-CN" w:bidi="ar"/>
        </w:rPr>
        <w:t>文化和旅游</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图书馆</w:t>
      </w:r>
      <w:r>
        <w:rPr>
          <w:rFonts w:ascii="仿宋_GB2312" w:hAnsi="宋体" w:eastAsia="仿宋_GB2312" w:cs="仿宋_GB2312"/>
          <w:b/>
          <w:color w:val="000000"/>
          <w:kern w:val="0"/>
          <w:sz w:val="32"/>
          <w:szCs w:val="32"/>
          <w:lang w:bidi="ar"/>
        </w:rPr>
        <w:t xml:space="preserve">（项）。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27.12</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47.43</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174.89</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的主要原因是</w:t>
      </w:r>
      <w:r>
        <w:rPr>
          <w:rFonts w:hint="eastAsia" w:ascii="仿宋_GB2312" w:hAnsi="宋体" w:eastAsia="仿宋_GB2312" w:cs="仿宋_GB2312"/>
          <w:color w:val="000000"/>
          <w:kern w:val="0"/>
          <w:sz w:val="32"/>
          <w:szCs w:val="32"/>
          <w:lang w:val="en-US" w:eastAsia="zh-CN" w:bidi="ar"/>
        </w:rPr>
        <w:t>2019年有新增人员、划拨公务用车及维护费用、图书馆图书及设备购置费等</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hint="eastAsia" w:ascii="仿宋_GB2312" w:hAnsi="宋体" w:eastAsia="仿宋_GB2312" w:cs="仿宋_GB2312"/>
          <w:b/>
          <w:color w:val="000000"/>
          <w:kern w:val="0"/>
          <w:sz w:val="32"/>
          <w:szCs w:val="32"/>
          <w:lang w:val="en-US" w:eastAsia="zh-CN" w:bidi="ar"/>
        </w:rPr>
        <w:t>2</w:t>
      </w:r>
      <w:r>
        <w:rPr>
          <w:rFonts w:ascii="仿宋_GB2312" w:hAnsi="宋体" w:eastAsia="仿宋_GB2312" w:cs="仿宋_GB2312"/>
          <w:b/>
          <w:color w:val="000000"/>
          <w:kern w:val="0"/>
          <w:sz w:val="32"/>
          <w:szCs w:val="32"/>
          <w:lang w:bidi="ar"/>
        </w:rPr>
        <w:t>.</w:t>
      </w:r>
      <w:r>
        <w:rPr>
          <w:rFonts w:hint="eastAsia" w:ascii="仿宋_GB2312" w:hAnsi="宋体" w:eastAsia="仿宋_GB2312" w:cs="仿宋_GB2312"/>
          <w:b/>
          <w:color w:val="000000"/>
          <w:kern w:val="0"/>
          <w:sz w:val="32"/>
          <w:szCs w:val="32"/>
          <w:lang w:eastAsia="zh-CN" w:bidi="ar"/>
        </w:rPr>
        <w:t>公共旅游体育与传媒</w:t>
      </w:r>
      <w:r>
        <w:rPr>
          <w:rFonts w:ascii="仿宋_GB2312" w:hAnsi="宋体" w:eastAsia="仿宋_GB2312" w:cs="仿宋_GB2312"/>
          <w:b/>
          <w:color w:val="000000"/>
          <w:kern w:val="0"/>
          <w:sz w:val="32"/>
          <w:szCs w:val="32"/>
          <w:lang w:bidi="ar"/>
        </w:rPr>
        <w:t>支出（类）</w:t>
      </w:r>
      <w:r>
        <w:rPr>
          <w:rFonts w:hint="eastAsia" w:ascii="仿宋_GB2312" w:hAnsi="宋体" w:eastAsia="仿宋_GB2312" w:cs="仿宋_GB2312"/>
          <w:b/>
          <w:color w:val="000000"/>
          <w:kern w:val="0"/>
          <w:sz w:val="32"/>
          <w:szCs w:val="32"/>
          <w:lang w:eastAsia="zh-CN" w:bidi="ar"/>
        </w:rPr>
        <w:t>文化和旅游</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其他文化和旅游支出</w:t>
      </w:r>
      <w:r>
        <w:rPr>
          <w:rFonts w:ascii="仿宋_GB2312" w:hAnsi="宋体" w:eastAsia="仿宋_GB2312" w:cs="仿宋_GB2312"/>
          <w:b/>
          <w:color w:val="000000"/>
          <w:kern w:val="0"/>
          <w:sz w:val="32"/>
          <w:szCs w:val="32"/>
          <w:lang w:bidi="ar"/>
        </w:rPr>
        <w:t xml:space="preserve">（项）。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的主要原因是图书馆免费开放补助未做预算。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宋体" w:eastAsia="仿宋_GB2312" w:cs="仿宋_GB2312"/>
          <w:b/>
          <w:color w:val="000000"/>
          <w:kern w:val="0"/>
          <w:sz w:val="32"/>
          <w:szCs w:val="32"/>
          <w:lang w:val="en-US" w:eastAsia="zh-CN" w:bidi="ar"/>
        </w:rPr>
        <w:t>3.</w:t>
      </w:r>
      <w:r>
        <w:rPr>
          <w:rFonts w:hint="eastAsia" w:ascii="仿宋_GB2312" w:hAnsi="宋体" w:eastAsia="仿宋_GB2312" w:cs="仿宋_GB2312"/>
          <w:b/>
          <w:color w:val="000000"/>
          <w:kern w:val="0"/>
          <w:sz w:val="32"/>
          <w:szCs w:val="32"/>
          <w:lang w:eastAsia="zh-CN" w:bidi="ar"/>
        </w:rPr>
        <w:t>社会保障和就业</w:t>
      </w:r>
      <w:r>
        <w:rPr>
          <w:rFonts w:ascii="仿宋_GB2312" w:hAnsi="宋体" w:eastAsia="仿宋_GB2312" w:cs="仿宋_GB2312"/>
          <w:b/>
          <w:color w:val="000000"/>
          <w:kern w:val="0"/>
          <w:sz w:val="32"/>
          <w:szCs w:val="32"/>
          <w:lang w:bidi="ar"/>
        </w:rPr>
        <w:t>支出（类）</w:t>
      </w:r>
      <w:r>
        <w:rPr>
          <w:rFonts w:hint="eastAsia" w:ascii="仿宋_GB2312" w:hAnsi="宋体" w:eastAsia="仿宋_GB2312" w:cs="仿宋_GB2312"/>
          <w:b/>
          <w:color w:val="000000"/>
          <w:kern w:val="0"/>
          <w:sz w:val="32"/>
          <w:szCs w:val="32"/>
          <w:lang w:eastAsia="zh-CN" w:bidi="ar"/>
        </w:rPr>
        <w:t>行政事业单位离退休</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机关事业单位基本养老保险缴费支出</w:t>
      </w:r>
      <w:r>
        <w:rPr>
          <w:rFonts w:ascii="仿宋_GB2312" w:hAnsi="宋体" w:eastAsia="仿宋_GB2312" w:cs="仿宋_GB2312"/>
          <w:b/>
          <w:color w:val="000000"/>
          <w:kern w:val="0"/>
          <w:sz w:val="32"/>
          <w:szCs w:val="32"/>
          <w:lang w:bidi="ar"/>
        </w:rPr>
        <w:t>（项）。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3.64</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的主要原因是</w:t>
      </w:r>
      <w:r>
        <w:rPr>
          <w:rFonts w:hint="eastAsia" w:ascii="仿宋_GB2312" w:hAnsi="宋体" w:eastAsia="仿宋_GB2312" w:cs="仿宋_GB2312"/>
          <w:color w:val="000000"/>
          <w:kern w:val="0"/>
          <w:sz w:val="32"/>
          <w:szCs w:val="32"/>
          <w:lang w:val="en-US" w:eastAsia="zh-CN" w:bidi="ar"/>
        </w:rPr>
        <w:t>2019单位缴纳养老保险，</w:t>
      </w:r>
      <w:r>
        <w:rPr>
          <w:rFonts w:hint="eastAsia" w:ascii="仿宋_GB2312" w:hAnsi="宋体" w:eastAsia="仿宋_GB2312" w:cs="仿宋_GB2312"/>
          <w:color w:val="000000"/>
          <w:kern w:val="0"/>
          <w:sz w:val="32"/>
          <w:szCs w:val="32"/>
          <w:lang w:eastAsia="zh-CN" w:bidi="ar"/>
        </w:rPr>
        <w:t>未做预算</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hint="eastAsia" w:ascii="仿宋_GB2312" w:hAnsi="宋体" w:eastAsia="仿宋_GB2312" w:cs="仿宋_GB2312"/>
          <w:b/>
          <w:color w:val="000000"/>
          <w:kern w:val="0"/>
          <w:sz w:val="32"/>
          <w:szCs w:val="32"/>
          <w:lang w:val="en-US" w:eastAsia="zh-CN" w:bidi="ar"/>
        </w:rPr>
        <w:t>4.</w:t>
      </w:r>
      <w:r>
        <w:rPr>
          <w:rFonts w:hint="eastAsia" w:ascii="仿宋_GB2312" w:hAnsi="宋体" w:eastAsia="仿宋_GB2312" w:cs="仿宋_GB2312"/>
          <w:b/>
          <w:color w:val="000000"/>
          <w:kern w:val="0"/>
          <w:sz w:val="32"/>
          <w:szCs w:val="32"/>
          <w:lang w:eastAsia="zh-CN" w:bidi="ar"/>
        </w:rPr>
        <w:t>卫生健康</w:t>
      </w:r>
      <w:r>
        <w:rPr>
          <w:rFonts w:ascii="仿宋_GB2312" w:hAnsi="宋体" w:eastAsia="仿宋_GB2312" w:cs="仿宋_GB2312"/>
          <w:b/>
          <w:color w:val="000000"/>
          <w:kern w:val="0"/>
          <w:sz w:val="32"/>
          <w:szCs w:val="32"/>
          <w:lang w:bidi="ar"/>
        </w:rPr>
        <w:t>支出（类）</w:t>
      </w:r>
      <w:r>
        <w:rPr>
          <w:rFonts w:hint="eastAsia" w:ascii="仿宋_GB2312" w:hAnsi="宋体" w:eastAsia="仿宋_GB2312" w:cs="仿宋_GB2312"/>
          <w:b/>
          <w:color w:val="000000"/>
          <w:kern w:val="0"/>
          <w:sz w:val="32"/>
          <w:szCs w:val="32"/>
          <w:lang w:eastAsia="zh-CN" w:bidi="ar"/>
        </w:rPr>
        <w:t>行政事业单位医疗</w:t>
      </w:r>
      <w:r>
        <w:rPr>
          <w:rFonts w:ascii="仿宋_GB2312" w:hAnsi="宋体" w:eastAsia="仿宋_GB2312" w:cs="仿宋_GB2312"/>
          <w:b/>
          <w:color w:val="000000"/>
          <w:kern w:val="0"/>
          <w:sz w:val="32"/>
          <w:szCs w:val="32"/>
          <w:lang w:bidi="ar"/>
        </w:rPr>
        <w:t>（款）</w:t>
      </w:r>
      <w:r>
        <w:rPr>
          <w:rFonts w:hint="eastAsia" w:ascii="仿宋_GB2312" w:hAnsi="宋体" w:eastAsia="仿宋_GB2312" w:cs="仿宋_GB2312"/>
          <w:b/>
          <w:color w:val="000000"/>
          <w:kern w:val="0"/>
          <w:sz w:val="32"/>
          <w:szCs w:val="32"/>
          <w:lang w:eastAsia="zh-CN" w:bidi="ar"/>
        </w:rPr>
        <w:t>事业单位医疗</w:t>
      </w:r>
      <w:r>
        <w:rPr>
          <w:rFonts w:ascii="仿宋_GB2312" w:hAnsi="宋体" w:eastAsia="仿宋_GB2312" w:cs="仿宋_GB2312"/>
          <w:b/>
          <w:color w:val="000000"/>
          <w:kern w:val="0"/>
          <w:sz w:val="32"/>
          <w:szCs w:val="32"/>
          <w:lang w:bidi="ar"/>
        </w:rPr>
        <w:t xml:space="preserve">（项）。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0.90</w:t>
      </w:r>
      <w:r>
        <w:rPr>
          <w:rFonts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的主要原因是</w:t>
      </w:r>
      <w:r>
        <w:rPr>
          <w:rFonts w:hint="eastAsia" w:ascii="仿宋_GB2312" w:hAnsi="宋体" w:eastAsia="仿宋_GB2312" w:cs="仿宋_GB2312"/>
          <w:color w:val="000000"/>
          <w:kern w:val="0"/>
          <w:sz w:val="32"/>
          <w:szCs w:val="32"/>
          <w:lang w:val="en-US" w:eastAsia="zh-CN" w:bidi="ar"/>
        </w:rPr>
        <w:t>2019年单位缴纳医疗保险，</w:t>
      </w:r>
      <w:r>
        <w:rPr>
          <w:rFonts w:hint="eastAsia" w:ascii="仿宋_GB2312" w:hAnsi="宋体" w:eastAsia="仿宋_GB2312" w:cs="仿宋_GB2312"/>
          <w:color w:val="000000"/>
          <w:kern w:val="0"/>
          <w:sz w:val="32"/>
          <w:szCs w:val="32"/>
          <w:lang w:eastAsia="zh-CN" w:bidi="ar"/>
        </w:rPr>
        <w:t>未做预算</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46.97</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42.27</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4.7</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42.27</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基本工资</w:t>
      </w:r>
      <w:r>
        <w:rPr>
          <w:rFonts w:hint="eastAsia" w:ascii="仿宋_GB2312" w:hAnsi="宋体" w:eastAsia="仿宋_GB2312" w:cs="仿宋_GB2312"/>
          <w:color w:val="000000"/>
          <w:kern w:val="0"/>
          <w:sz w:val="32"/>
          <w:szCs w:val="32"/>
          <w:lang w:val="en-US" w:eastAsia="zh-CN" w:bidi="ar"/>
        </w:rPr>
        <w:t>19.81</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5.04万元，绩效工资6万元，机关事业单位基本养老保险缴费5.34万元，职业年金缴费0.85万元，职工基本医疗保险缴费1.15万元，住房公积金4.08万元.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4.7</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val="en-US" w:eastAsia="zh-CN" w:bidi="ar"/>
        </w:rPr>
        <w:t>，办公费0.89万元，邮电费0.18万元，差旅费0.23万元，公务接待费0.03万元，工会经费0.48万元，公务用车运行维护费2.89万元。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0.23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2.92</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1269.57</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eastAsia="zh-CN" w:bidi="ar"/>
        </w:rPr>
        <w:t>大于</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2.69</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2019年单位单设划拨公务用车及维护费用</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pPr>
      <w:r>
        <w:rPr>
          <w:rFonts w:hint="eastAsia" w:ascii="仿宋_GB2312" w:hAnsi="仿宋_GB2312" w:eastAsia="仿宋_GB2312" w:cs="仿宋_GB2312"/>
          <w:sz w:val="32"/>
          <w:szCs w:val="32"/>
          <w:lang w:eastAsia="zh-CN"/>
        </w:rPr>
        <w:drawing>
          <wp:anchor distT="0" distB="0" distL="114300" distR="114300" simplePos="0" relativeHeight="251664384" behindDoc="0" locked="0" layoutInCell="1" allowOverlap="1">
            <wp:simplePos x="0" y="0"/>
            <wp:positionH relativeFrom="column">
              <wp:posOffset>114935</wp:posOffset>
            </wp:positionH>
            <wp:positionV relativeFrom="paragraph">
              <wp:posOffset>184785</wp:posOffset>
            </wp:positionV>
            <wp:extent cx="5080000" cy="2551430"/>
            <wp:effectExtent l="4445" t="4445" r="20955" b="15875"/>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2.89</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98.97</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0.03</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1.03</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2.85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2.89</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101.40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0.04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eastAsia="zh-CN" w:bidi="ar"/>
        </w:rPr>
        <w:t>年末支出车辆年检费用</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200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0.23</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0.03</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13.04</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0.2</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2019年本单位只购入茶叶用于公务接待</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示例：2019年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示例：2019年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w:t>
      </w:r>
      <w:r>
        <w:rPr>
          <w:rFonts w:hint="eastAsia" w:ascii="仿宋_GB2312" w:hAnsi="仿宋_GB2312" w:eastAsia="仿宋_GB2312" w:cs="仿宋_GB2312"/>
          <w:sz w:val="32"/>
          <w:szCs w:val="32"/>
        </w:rPr>
        <w:t>（如没有支出填0）</w:t>
      </w:r>
      <w:r>
        <w:rPr>
          <w:rFonts w:ascii="仿宋_GB2312" w:hAnsi="宋体" w:eastAsia="仿宋_GB2312" w:cs="仿宋_GB2312"/>
          <w:color w:val="000000"/>
          <w:kern w:val="0"/>
          <w:sz w:val="32"/>
          <w:szCs w:val="32"/>
          <w:lang w:bidi="ar"/>
        </w:rPr>
        <w:t>，完成预算的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eastAsia="zh-CN" w:bidi="ar"/>
        </w:rPr>
        <w:t>**</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0</w:t>
      </w:r>
      <w:r>
        <w:rPr>
          <w:rFonts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5</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6.95</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部门整体进行了绩效自评，涉及资金</w:t>
      </w:r>
      <w:r>
        <w:rPr>
          <w:rFonts w:hint="eastAsia" w:ascii="仿宋_GB2312" w:hAnsi="仿宋_GB2312" w:eastAsia="仿宋_GB2312" w:cs="仿宋_GB2312"/>
          <w:color w:val="000000"/>
          <w:kern w:val="0"/>
          <w:sz w:val="31"/>
          <w:szCs w:val="31"/>
          <w:lang w:val="en-US" w:eastAsia="zh-CN" w:bidi="ar"/>
        </w:rPr>
        <w:t>5</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图书馆图书购置</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96</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 xml:space="preserve">万元，执行数 </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val="en-US" w:eastAsia="zh-CN" w:bidi="ar"/>
        </w:rPr>
        <w:t>2019年图书馆图书购置项目费用5万元整，年末支出5万元，主要用于新购图书及办公电脑、打印机。</w:t>
      </w: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val="en-US" w:eastAsia="zh-CN" w:bidi="ar"/>
        </w:rPr>
        <w:t>增加了我馆图书藏量。</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远未达到图书馆人均一元购书经费，购入图书数量有限；原因为财政资金拨付不足</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rPr>
        <w:t>积极争取上级补助资金</w:t>
      </w:r>
      <w:r>
        <w:rPr>
          <w:rFonts w:hint="eastAsia" w:ascii="仿宋_GB2312" w:hAnsi="仿宋_GB2312" w:eastAsia="仿宋_GB2312" w:cs="仿宋_GB2312"/>
          <w:color w:val="000000"/>
          <w:kern w:val="0"/>
          <w:sz w:val="31"/>
          <w:szCs w:val="31"/>
          <w:lang w:val="en-US" w:eastAsia="zh-CN"/>
        </w:rPr>
        <w:t>,加大图书购买经费投入，丰富图书资源</w:t>
      </w:r>
      <w:r>
        <w:rPr>
          <w:rFonts w:hint="eastAsia" w:ascii="仿宋_GB2312" w:hAnsi="仿宋_GB2312" w:eastAsia="仿宋_GB2312" w:cs="仿宋_GB2312"/>
          <w:color w:val="000000"/>
          <w:kern w:val="0"/>
          <w:sz w:val="31"/>
          <w:szCs w:val="31"/>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阎良区图书馆整体</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27.12</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71.97</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265.38</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val="en-US" w:eastAsia="zh-CN" w:bidi="ar"/>
        </w:rPr>
        <w:t>2019年图书馆主要产出为人员工资的发放、人员保险的缴纳、免费开放资金的支出、人均图书一元的图书购置等支出</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val="en-US" w:eastAsia="zh-CN" w:bidi="ar"/>
        </w:rPr>
        <w:t>1.社会效益。全年接待读者2.5万余人次，年外借册次1.2万余册。图书馆的免费开放，更好地展现阎良文化底蕴及文化内涵，营造浓厚的文化氛围，提升航空城整体人文形象，为全区群众提供更好的阅读环境和方便、优质的阅读服务，促进全民阅读活动蓬勃开展，基本形成与社会发展要求相适应的全民阅读推广服务体系，全区人均阅读基础设施拥有率、民众阅读消费率、全民阅读参与率以及全民阅读的社会影响力持续提升，让广大读者特别是青少年养成爱读书的良好习惯，推动阎良建设成具有鲜明时代特色的现代文化之都。</w:t>
      </w:r>
      <w:bookmarkStart w:id="0" w:name="bookmark61"/>
      <w:bookmarkEnd w:id="0"/>
      <w:r>
        <w:rPr>
          <w:rFonts w:hint="eastAsia" w:ascii="仿宋_GB2312" w:hAnsi="仿宋_GB2312" w:eastAsia="仿宋_GB2312" w:cs="仿宋_GB2312"/>
          <w:color w:val="000000"/>
          <w:kern w:val="0"/>
          <w:sz w:val="31"/>
          <w:szCs w:val="31"/>
          <w:lang w:val="en-US" w:eastAsia="zh-CN" w:bidi="ar"/>
        </w:rPr>
        <w:t>2.生态效益。提升全区群众整体文化素养和科学素养，推动生态文化建设。3.可持续影响。提升了图书馆整体服务环境和服务设施，丰富了数字资源，经过持续不断的宣传推广，进馆读者人数、办证人数和文献借阅数量、数字图书阅读数量逐年增长。</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图书馆整体资金不足，购入图书数量有限；原因为财政资金拨付不足</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rPr>
        <w:t>积极</w:t>
      </w:r>
      <w:r>
        <w:rPr>
          <w:rFonts w:hint="eastAsia" w:ascii="仿宋_GB2312" w:hAnsi="仿宋_GB2312" w:eastAsia="仿宋_GB2312" w:cs="仿宋_GB2312"/>
          <w:color w:val="000000"/>
          <w:kern w:val="0"/>
          <w:sz w:val="31"/>
          <w:szCs w:val="31"/>
          <w:lang w:eastAsia="zh-CN"/>
        </w:rPr>
        <w:t>向上级</w:t>
      </w:r>
      <w:r>
        <w:rPr>
          <w:rFonts w:hint="eastAsia" w:ascii="仿宋_GB2312" w:hAnsi="仿宋_GB2312" w:eastAsia="仿宋_GB2312" w:cs="仿宋_GB2312"/>
          <w:color w:val="000000"/>
          <w:kern w:val="0"/>
          <w:sz w:val="31"/>
          <w:szCs w:val="31"/>
        </w:rPr>
        <w:t>争取</w:t>
      </w:r>
      <w:r>
        <w:rPr>
          <w:rFonts w:hint="eastAsia" w:ascii="仿宋_GB2312" w:hAnsi="仿宋_GB2312" w:eastAsia="仿宋_GB2312" w:cs="仿宋_GB2312"/>
          <w:color w:val="000000"/>
          <w:kern w:val="0"/>
          <w:sz w:val="31"/>
          <w:szCs w:val="31"/>
          <w:lang w:eastAsia="zh-CN"/>
        </w:rPr>
        <w:t>人均一元购书经费及公共文化建设资金投入</w:t>
      </w:r>
      <w:r>
        <w:rPr>
          <w:rFonts w:hint="eastAsia" w:ascii="仿宋_GB2312" w:hAnsi="仿宋_GB2312" w:eastAsia="仿宋_GB2312" w:cs="仿宋_GB2312"/>
          <w:color w:val="000000"/>
          <w:kern w:val="0"/>
          <w:sz w:val="31"/>
          <w:szCs w:val="31"/>
          <w:lang w:val="en-US" w:eastAsia="zh-CN"/>
        </w:rPr>
        <w:t>,增加图书藏量，改善馆舍条件，为全区群众提供更好的图书阅览服务</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1" w:name="_1662907596"/>
      <w:bookmarkEnd w:id="1"/>
      <w:bookmarkStart w:id="2" w:name="_1662907080"/>
      <w:bookmarkEnd w:id="2"/>
      <w:bookmarkStart w:id="3" w:name="_1662907161"/>
      <w:bookmarkEnd w:id="3"/>
      <w:r>
        <w:rPr>
          <w:rFonts w:hint="eastAsia" w:ascii="仿宋_GB2312" w:hAnsi="仿宋_GB2312" w:eastAsia="仿宋_GB2312" w:cs="仿宋_GB2312"/>
          <w:color w:val="000000"/>
          <w:sz w:val="31"/>
          <w:szCs w:val="31"/>
          <w:lang w:bidi="ar"/>
        </w:rPr>
        <w:object>
          <v:shape id="_x0000_i1025" o:spt="75" type="#_x0000_t75" style="height:604.75pt;width:385.6pt;" o:ole="t" filled="f" o:preferrelative="t" stroked="f" coordsize="21600,21600">
            <v:path/>
            <v:fill on="f" focussize="0,0"/>
            <v:stroke on="f"/>
            <v:imagedata r:id="rId12" o:title=""/>
            <o:lock v:ext="edit" aspectratio="f"/>
            <w10:wrap type="none"/>
            <w10:anchorlock/>
          </v:shape>
          <o:OLEObject Type="Embed" ProgID="Excel.Sheet.12" ShapeID="_x0000_i1025" DrawAspect="Content" ObjectID="_1468075725" r:id="rId11">
            <o:LockedField>false</o:LockedField>
          </o:OLEObject>
        </w:object>
      </w:r>
    </w:p>
    <w:p>
      <w:pPr>
        <w:widowControl/>
        <w:jc w:val="left"/>
        <w:rPr>
          <w:rFonts w:hint="eastAsia" w:ascii="仿宋_GB2312" w:hAnsi="仿宋_GB2312" w:eastAsia="仿宋_GB2312" w:cs="仿宋_GB2312"/>
          <w:color w:val="000000"/>
          <w:kern w:val="0"/>
          <w:sz w:val="31"/>
          <w:szCs w:val="31"/>
          <w:lang w:bidi="ar"/>
        </w:rPr>
      </w:pPr>
    </w:p>
    <w:p>
      <w:pPr>
        <w:rPr>
          <w:rFonts w:hint="eastAsia" w:ascii="仿宋_GB2312" w:hAnsi="仿宋_GB2312" w:eastAsia="仿宋_GB2312" w:cs="仿宋_GB2312"/>
          <w:color w:val="000000"/>
          <w:kern w:val="0"/>
          <w:sz w:val="31"/>
          <w:szCs w:val="31"/>
          <w:lang w:bidi="ar"/>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31"/>
          <w:szCs w:val="31"/>
          <w:lang w:bidi="ar"/>
        </w:rPr>
        <w:br w:type="page"/>
      </w:r>
    </w:p>
    <w:tbl>
      <w:tblPr>
        <w:tblStyle w:val="6"/>
        <w:tblpPr w:leftFromText="180" w:rightFromText="180" w:horzAnchor="margin" w:tblpXSpec="center" w:tblpY="-1800"/>
        <w:tblW w:w="16120" w:type="dxa"/>
        <w:tblInd w:w="0" w:type="dxa"/>
        <w:tblLayout w:type="fixed"/>
        <w:tblCellMar>
          <w:top w:w="0" w:type="dxa"/>
          <w:left w:w="108" w:type="dxa"/>
          <w:bottom w:w="0" w:type="dxa"/>
          <w:right w:w="108" w:type="dxa"/>
        </w:tblCellMar>
      </w:tblPr>
      <w:tblGrid>
        <w:gridCol w:w="818"/>
        <w:gridCol w:w="835"/>
        <w:gridCol w:w="834"/>
        <w:gridCol w:w="784"/>
        <w:gridCol w:w="2963"/>
        <w:gridCol w:w="395"/>
        <w:gridCol w:w="2015"/>
        <w:gridCol w:w="2096"/>
        <w:gridCol w:w="1120"/>
        <w:gridCol w:w="916"/>
        <w:gridCol w:w="916"/>
        <w:gridCol w:w="784"/>
        <w:gridCol w:w="844"/>
        <w:gridCol w:w="800"/>
      </w:tblGrid>
      <w:tr>
        <w:tblPrEx>
          <w:tblCellMar>
            <w:top w:w="0" w:type="dxa"/>
            <w:left w:w="108" w:type="dxa"/>
            <w:bottom w:w="0" w:type="dxa"/>
            <w:right w:w="108" w:type="dxa"/>
          </w:tblCellMar>
        </w:tblPrEx>
        <w:trPr>
          <w:trHeight w:val="510" w:hRule="atLeast"/>
        </w:trPr>
        <w:tc>
          <w:tcPr>
            <w:tcW w:w="16120" w:type="dxa"/>
            <w:gridSpan w:val="14"/>
            <w:tcBorders>
              <w:top w:val="nil"/>
              <w:left w:val="nil"/>
              <w:bottom w:val="nil"/>
              <w:right w:val="nil"/>
            </w:tcBorders>
            <w:shd w:val="clear" w:color="auto" w:fill="auto"/>
            <w:vAlign w:val="center"/>
          </w:tcPr>
          <w:p>
            <w:pPr>
              <w:widowControl/>
              <w:jc w:val="center"/>
              <w:rPr>
                <w:rFonts w:ascii="黑体" w:hAnsi="黑体" w:eastAsia="黑体" w:cs="Arial"/>
                <w:kern w:val="0"/>
                <w:sz w:val="40"/>
                <w:szCs w:val="40"/>
              </w:rPr>
            </w:pPr>
            <w:bookmarkStart w:id="4" w:name="_1662907696"/>
            <w:bookmarkEnd w:id="4"/>
          </w:p>
          <w:p>
            <w:pPr>
              <w:widowControl/>
              <w:jc w:val="center"/>
              <w:rPr>
                <w:rFonts w:ascii="黑体" w:hAnsi="黑体" w:eastAsia="黑体" w:cs="Arial"/>
                <w:kern w:val="0"/>
                <w:sz w:val="40"/>
                <w:szCs w:val="40"/>
              </w:rPr>
            </w:pPr>
            <w:r>
              <w:rPr>
                <w:rFonts w:hint="eastAsia" w:ascii="黑体" w:hAnsi="黑体" w:eastAsia="黑体" w:cs="Arial"/>
                <w:kern w:val="0"/>
                <w:sz w:val="40"/>
                <w:szCs w:val="40"/>
              </w:rPr>
              <w:t>部门整体支出绩效自评表</w:t>
            </w:r>
            <w:r>
              <w:rPr>
                <w:rFonts w:hint="eastAsia" w:ascii="黑体" w:hAnsi="黑体" w:eastAsia="黑体" w:cs="Arial"/>
                <w:kern w:val="0"/>
                <w:sz w:val="40"/>
                <w:szCs w:val="40"/>
              </w:rPr>
              <w:br w:type="textWrapping"/>
            </w:r>
            <w:r>
              <w:rPr>
                <w:rFonts w:hint="eastAsia" w:ascii="黑体" w:hAnsi="黑体" w:eastAsia="黑体" w:cs="Arial"/>
                <w:kern w:val="0"/>
                <w:sz w:val="20"/>
              </w:rPr>
              <w:t>（2019年度）</w:t>
            </w:r>
          </w:p>
        </w:tc>
      </w:tr>
      <w:tr>
        <w:tblPrEx>
          <w:tblCellMar>
            <w:top w:w="0" w:type="dxa"/>
            <w:left w:w="108" w:type="dxa"/>
            <w:bottom w:w="0" w:type="dxa"/>
            <w:right w:w="108" w:type="dxa"/>
          </w:tblCellMar>
        </w:tblPrEx>
        <w:trPr>
          <w:trHeight w:val="855" w:hRule="atLeast"/>
        </w:trPr>
        <w:tc>
          <w:tcPr>
            <w:tcW w:w="6629" w:type="dxa"/>
            <w:gridSpan w:val="6"/>
            <w:tcBorders>
              <w:top w:val="nil"/>
              <w:left w:val="nil"/>
              <w:bottom w:val="nil"/>
              <w:right w:val="nil"/>
            </w:tcBorders>
            <w:shd w:val="clear" w:color="auto" w:fill="auto"/>
            <w:vAlign w:val="center"/>
          </w:tcPr>
          <w:p>
            <w:pPr>
              <w:widowControl/>
              <w:jc w:val="left"/>
              <w:rPr>
                <w:rFonts w:hint="eastAsia" w:ascii="仿宋_GB2312" w:hAnsi="Arial" w:eastAsia="仿宋_GB2312" w:cs="Arial"/>
                <w:kern w:val="0"/>
                <w:sz w:val="24"/>
                <w:szCs w:val="24"/>
                <w:lang w:eastAsia="zh-CN"/>
              </w:rPr>
            </w:pPr>
            <w:r>
              <w:rPr>
                <w:rFonts w:hint="eastAsia" w:ascii="仿宋_GB2312" w:hAnsi="Arial" w:eastAsia="仿宋_GB2312" w:cs="Arial"/>
                <w:kern w:val="0"/>
                <w:sz w:val="24"/>
                <w:szCs w:val="24"/>
              </w:rPr>
              <w:t>填报单位:</w:t>
            </w:r>
            <w:r>
              <w:rPr>
                <w:rFonts w:hint="eastAsia" w:ascii="仿宋_GB2312" w:hAnsi="Arial" w:eastAsia="仿宋_GB2312" w:cs="Arial"/>
                <w:kern w:val="0"/>
                <w:sz w:val="24"/>
                <w:szCs w:val="24"/>
                <w:lang w:eastAsia="zh-CN"/>
              </w:rPr>
              <w:t>西安市阎良区图书馆</w:t>
            </w:r>
          </w:p>
        </w:tc>
        <w:tc>
          <w:tcPr>
            <w:tcW w:w="2015"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r>
              <w:rPr>
                <w:rFonts w:hint="eastAsia" w:ascii="仿宋_GB2312" w:hAnsi="Arial" w:eastAsia="仿宋_GB2312" w:cs="Arial"/>
                <w:kern w:val="0"/>
                <w:sz w:val="24"/>
                <w:szCs w:val="24"/>
              </w:rPr>
              <w:t>自评得分：9</w:t>
            </w:r>
            <w:r>
              <w:rPr>
                <w:rFonts w:hint="eastAsia" w:ascii="仿宋_GB2312" w:hAnsi="Arial" w:eastAsia="仿宋_GB2312" w:cs="Arial"/>
                <w:kern w:val="0"/>
                <w:sz w:val="24"/>
                <w:szCs w:val="24"/>
                <w:lang w:val="en-US" w:eastAsia="zh-CN"/>
              </w:rPr>
              <w:t>0</w:t>
            </w:r>
            <w:r>
              <w:rPr>
                <w:rFonts w:hint="eastAsia" w:ascii="仿宋_GB2312" w:hAnsi="Arial" w:eastAsia="仿宋_GB2312" w:cs="Arial"/>
                <w:kern w:val="0"/>
                <w:sz w:val="24"/>
                <w:szCs w:val="24"/>
              </w:rPr>
              <w:t>分</w:t>
            </w:r>
          </w:p>
        </w:tc>
        <w:tc>
          <w:tcPr>
            <w:tcW w:w="3216" w:type="dxa"/>
            <w:gridSpan w:val="2"/>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916"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916"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784" w:type="dxa"/>
            <w:tcBorders>
              <w:top w:val="nil"/>
              <w:left w:val="nil"/>
              <w:bottom w:val="nil"/>
              <w:right w:val="nil"/>
            </w:tcBorders>
            <w:shd w:val="clear" w:color="auto" w:fill="auto"/>
            <w:vAlign w:val="center"/>
          </w:tcPr>
          <w:p>
            <w:pPr>
              <w:widowControl/>
              <w:jc w:val="center"/>
              <w:rPr>
                <w:rFonts w:ascii="仿宋_GB2312" w:hAnsi="Arial" w:eastAsia="仿宋_GB2312" w:cs="Arial"/>
                <w:kern w:val="0"/>
                <w:sz w:val="24"/>
                <w:szCs w:val="24"/>
              </w:rPr>
            </w:pPr>
          </w:p>
        </w:tc>
        <w:tc>
          <w:tcPr>
            <w:tcW w:w="844" w:type="dxa"/>
            <w:tcBorders>
              <w:top w:val="nil"/>
              <w:left w:val="nil"/>
              <w:bottom w:val="nil"/>
              <w:right w:val="nil"/>
            </w:tcBorders>
            <w:shd w:val="clear" w:color="auto" w:fill="auto"/>
            <w:noWrap/>
            <w:vAlign w:val="center"/>
          </w:tcPr>
          <w:p>
            <w:pPr>
              <w:widowControl/>
              <w:jc w:val="left"/>
              <w:rPr>
                <w:rFonts w:ascii="宋体" w:hAnsi="宋体" w:eastAsia="宋体" w:cs="Arial"/>
                <w:kern w:val="0"/>
                <w:sz w:val="24"/>
                <w:szCs w:val="24"/>
              </w:rPr>
            </w:pPr>
          </w:p>
        </w:tc>
        <w:tc>
          <w:tcPr>
            <w:tcW w:w="800" w:type="dxa"/>
            <w:tcBorders>
              <w:top w:val="nil"/>
              <w:left w:val="nil"/>
              <w:bottom w:val="nil"/>
              <w:right w:val="nil"/>
            </w:tcBorders>
            <w:shd w:val="clear" w:color="auto" w:fill="auto"/>
            <w:noWrap/>
            <w:vAlign w:val="center"/>
          </w:tcPr>
          <w:p>
            <w:pPr>
              <w:widowControl/>
              <w:jc w:val="left"/>
              <w:rPr>
                <w:rFonts w:ascii="宋体" w:hAnsi="宋体" w:eastAsia="宋体" w:cs="Arial"/>
                <w:kern w:val="0"/>
                <w:sz w:val="24"/>
                <w:szCs w:val="24"/>
              </w:rPr>
            </w:pP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（一）简要概述部门职能与职责。</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szCs w:val="22"/>
                <w:lang w:eastAsia="zh-CN"/>
              </w:rPr>
              <w:t>负责广泛收集、整理、保存、利用各类图书、报纸、期刊等文献信息资源；开展图书借阅、阅览等工作</w:t>
            </w:r>
            <w:r>
              <w:rPr>
                <w:rFonts w:hint="eastAsia" w:ascii="仿宋_GB2312" w:hAnsi="Arial" w:eastAsia="仿宋_GB2312" w:cs="Arial"/>
                <w:kern w:val="0"/>
                <w:sz w:val="20"/>
              </w:rPr>
              <w:t>。</w:t>
            </w: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（二）简要概述部门支出情况，按活动内容分类。</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基本支出</w:t>
            </w:r>
            <w:r>
              <w:rPr>
                <w:rFonts w:hint="eastAsia" w:ascii="仿宋_GB2312" w:hAnsi="Arial" w:eastAsia="仿宋_GB2312" w:cs="Arial"/>
                <w:kern w:val="0"/>
                <w:sz w:val="20"/>
                <w:lang w:val="en-US" w:eastAsia="zh-CN"/>
              </w:rPr>
              <w:t>46.97</w:t>
            </w:r>
            <w:r>
              <w:rPr>
                <w:rFonts w:hint="eastAsia" w:ascii="仿宋_GB2312" w:hAnsi="Arial" w:eastAsia="仿宋_GB2312" w:cs="Arial"/>
                <w:kern w:val="0"/>
                <w:sz w:val="20"/>
              </w:rPr>
              <w:t>万，</w:t>
            </w:r>
            <w:r>
              <w:rPr>
                <w:rFonts w:hint="eastAsia" w:ascii="仿宋_GB2312" w:hAnsi="Arial" w:eastAsia="仿宋_GB2312" w:cs="Arial"/>
                <w:kern w:val="0"/>
                <w:sz w:val="20"/>
                <w:lang w:eastAsia="zh-CN"/>
              </w:rPr>
              <w:t>图书购置项目</w:t>
            </w:r>
            <w:r>
              <w:rPr>
                <w:rFonts w:hint="eastAsia" w:ascii="仿宋_GB2312" w:hAnsi="Arial" w:eastAsia="仿宋_GB2312" w:cs="Arial"/>
                <w:kern w:val="0"/>
                <w:sz w:val="20"/>
                <w:lang w:val="en-US" w:eastAsia="zh-CN"/>
              </w:rPr>
              <w:t>5</w:t>
            </w:r>
            <w:r>
              <w:rPr>
                <w:rFonts w:hint="eastAsia" w:ascii="仿宋_GB2312" w:hAnsi="Arial" w:eastAsia="仿宋_GB2312" w:cs="Arial"/>
                <w:kern w:val="0"/>
                <w:sz w:val="20"/>
              </w:rPr>
              <w:t>万，</w:t>
            </w:r>
            <w:r>
              <w:rPr>
                <w:rFonts w:hint="eastAsia" w:ascii="仿宋_GB2312" w:hAnsi="Arial" w:eastAsia="仿宋_GB2312" w:cs="Arial"/>
                <w:kern w:val="0"/>
                <w:sz w:val="20"/>
                <w:lang w:eastAsia="zh-CN"/>
              </w:rPr>
              <w:t>免费开放资金项目</w:t>
            </w:r>
            <w:r>
              <w:rPr>
                <w:rFonts w:hint="eastAsia" w:ascii="仿宋_GB2312" w:hAnsi="Arial" w:eastAsia="仿宋_GB2312" w:cs="Arial"/>
                <w:kern w:val="0"/>
                <w:sz w:val="20"/>
                <w:lang w:val="en-US" w:eastAsia="zh-CN"/>
              </w:rPr>
              <w:t>20</w:t>
            </w:r>
            <w:r>
              <w:rPr>
                <w:rFonts w:hint="eastAsia" w:ascii="仿宋_GB2312" w:hAnsi="Arial" w:eastAsia="仿宋_GB2312" w:cs="Arial"/>
                <w:kern w:val="0"/>
                <w:sz w:val="20"/>
              </w:rPr>
              <w:t>万</w:t>
            </w:r>
          </w:p>
        </w:tc>
      </w:tr>
      <w:tr>
        <w:tblPrEx>
          <w:tblCellMar>
            <w:top w:w="0" w:type="dxa"/>
            <w:left w:w="108" w:type="dxa"/>
            <w:bottom w:w="0" w:type="dxa"/>
            <w:right w:w="108" w:type="dxa"/>
          </w:tblCellMar>
        </w:tblPrEx>
        <w:trPr>
          <w:trHeight w:val="255" w:hRule="atLeast"/>
        </w:trPr>
        <w:tc>
          <w:tcPr>
            <w:tcW w:w="6629"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rPr>
              <w:t>（三）简要概述当年市委市政府下达的重点工作。</w:t>
            </w:r>
          </w:p>
        </w:tc>
        <w:tc>
          <w:tcPr>
            <w:tcW w:w="9491" w:type="dxa"/>
            <w:gridSpan w:val="8"/>
            <w:tcBorders>
              <w:top w:val="single" w:color="auto" w:sz="4" w:space="0"/>
              <w:left w:val="nil"/>
              <w:bottom w:val="single" w:color="auto" w:sz="4" w:space="0"/>
              <w:right w:val="single" w:color="000000" w:sz="4" w:space="0"/>
            </w:tcBorders>
            <w:shd w:val="clear" w:color="auto" w:fill="auto"/>
            <w:vAlign w:val="center"/>
          </w:tcPr>
          <w:p>
            <w:pPr>
              <w:widowControl/>
              <w:jc w:val="left"/>
              <w:rPr>
                <w:rFonts w:hint="eastAsia" w:ascii="仿宋_GB2312" w:hAnsi="Arial" w:eastAsia="仿宋_GB2312" w:cs="Arial"/>
                <w:kern w:val="0"/>
                <w:sz w:val="20"/>
                <w:lang w:eastAsia="zh-CN"/>
              </w:rPr>
            </w:pPr>
            <w:r>
              <w:rPr>
                <w:rFonts w:hint="eastAsia" w:ascii="仿宋_GB2312" w:hAnsi="Arial" w:eastAsia="仿宋_GB2312" w:cs="Arial"/>
                <w:kern w:val="0"/>
                <w:sz w:val="20"/>
                <w:lang w:eastAsia="zh-CN"/>
              </w:rPr>
              <w:t>建设完善图书馆总馆</w:t>
            </w:r>
          </w:p>
        </w:tc>
      </w:tr>
      <w:tr>
        <w:tblPrEx>
          <w:tblCellMar>
            <w:top w:w="0" w:type="dxa"/>
            <w:left w:w="108" w:type="dxa"/>
            <w:bottom w:w="0" w:type="dxa"/>
            <w:right w:w="108" w:type="dxa"/>
          </w:tblCellMar>
        </w:tblPrEx>
        <w:trPr>
          <w:trHeight w:val="960" w:hRule="atLeast"/>
        </w:trPr>
        <w:tc>
          <w:tcPr>
            <w:tcW w:w="81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一级</w:t>
            </w:r>
            <w:r>
              <w:rPr>
                <w:rFonts w:hint="eastAsia" w:ascii="楷体_GB2312" w:hAnsi="Arial" w:eastAsia="楷体_GB2312" w:cs="Arial"/>
                <w:b/>
                <w:bCs/>
                <w:kern w:val="0"/>
                <w:sz w:val="20"/>
              </w:rPr>
              <w:br w:type="textWrapping"/>
            </w:r>
            <w:r>
              <w:rPr>
                <w:rFonts w:hint="eastAsia" w:ascii="楷体_GB2312" w:hAnsi="Arial" w:eastAsia="楷体_GB2312" w:cs="Arial"/>
                <w:b/>
                <w:bCs/>
                <w:kern w:val="0"/>
                <w:sz w:val="20"/>
              </w:rPr>
              <w:t>指标</w:t>
            </w:r>
          </w:p>
        </w:tc>
        <w:tc>
          <w:tcPr>
            <w:tcW w:w="835"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二级</w:t>
            </w:r>
            <w:r>
              <w:rPr>
                <w:rFonts w:hint="eastAsia" w:ascii="楷体_GB2312" w:hAnsi="Arial" w:eastAsia="楷体_GB2312" w:cs="Arial"/>
                <w:b/>
                <w:bCs/>
                <w:kern w:val="0"/>
                <w:sz w:val="20"/>
              </w:rPr>
              <w:br w:type="textWrapping"/>
            </w:r>
            <w:r>
              <w:rPr>
                <w:rFonts w:hint="eastAsia" w:ascii="楷体_GB2312" w:hAnsi="Arial" w:eastAsia="楷体_GB2312" w:cs="Arial"/>
                <w:b/>
                <w:bCs/>
                <w:kern w:val="0"/>
                <w:sz w:val="20"/>
              </w:rPr>
              <w:t>指标</w:t>
            </w:r>
          </w:p>
        </w:tc>
        <w:tc>
          <w:tcPr>
            <w:tcW w:w="83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三级指标</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分值</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指标说明</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评分标准</w:t>
            </w:r>
          </w:p>
        </w:tc>
        <w:tc>
          <w:tcPr>
            <w:tcW w:w="1120"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指标值计算公式和数据获取方式</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年初目标值</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实际完成值</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b/>
                <w:bCs/>
                <w:kern w:val="0"/>
                <w:sz w:val="20"/>
              </w:rPr>
            </w:pPr>
            <w:r>
              <w:rPr>
                <w:rFonts w:hint="eastAsia" w:ascii="楷体_GB2312" w:hAnsi="Arial" w:eastAsia="楷体_GB2312" w:cs="Arial"/>
                <w:b/>
                <w:bCs/>
                <w:kern w:val="0"/>
                <w:sz w:val="20"/>
              </w:rPr>
              <w:t>得分</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kern w:val="0"/>
                <w:sz w:val="20"/>
              </w:rPr>
            </w:pPr>
            <w:r>
              <w:rPr>
                <w:rFonts w:hint="eastAsia" w:ascii="仿宋_GB2312" w:hAnsi="Arial" w:eastAsia="仿宋_GB2312" w:cs="Arial"/>
                <w:b/>
                <w:bCs/>
                <w:kern w:val="0"/>
                <w:sz w:val="20"/>
              </w:rPr>
              <w:t>未完成原因分析与改进措施</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b/>
                <w:bCs/>
                <w:kern w:val="0"/>
                <w:sz w:val="20"/>
              </w:rPr>
            </w:pPr>
            <w:r>
              <w:rPr>
                <w:rFonts w:hint="eastAsia" w:ascii="仿宋_GB2312" w:hAnsi="Arial" w:eastAsia="仿宋_GB2312" w:cs="Arial"/>
                <w:b/>
                <w:bCs/>
                <w:kern w:val="0"/>
                <w:sz w:val="20"/>
              </w:rPr>
              <w:t>绩效指标分析与建议</w:t>
            </w:r>
          </w:p>
        </w:tc>
      </w:tr>
      <w:tr>
        <w:tblPrEx>
          <w:tblCellMar>
            <w:top w:w="0" w:type="dxa"/>
            <w:left w:w="108" w:type="dxa"/>
            <w:bottom w:w="0" w:type="dxa"/>
            <w:right w:w="108" w:type="dxa"/>
          </w:tblCellMar>
        </w:tblPrEx>
        <w:trPr>
          <w:trHeight w:val="2234"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投入</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预算执行（25分）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w:t>
            </w:r>
            <w:r>
              <w:rPr>
                <w:rFonts w:hint="eastAsia" w:ascii="楷体_GB2312" w:hAnsi="Arial" w:eastAsia="楷体_GB2312" w:cs="Arial"/>
                <w:kern w:val="0"/>
                <w:sz w:val="20"/>
              </w:rPr>
              <w:br w:type="textWrapping"/>
            </w:r>
            <w:r>
              <w:rPr>
                <w:rFonts w:hint="eastAsia" w:ascii="楷体_GB2312" w:hAnsi="Arial" w:eastAsia="楷体_GB2312" w:cs="Arial"/>
                <w:kern w:val="0"/>
                <w:sz w:val="20"/>
              </w:rPr>
              <w:t>完成率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（10分）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10</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预算完成率=（预算完成数/预算数）×100%，用以反映和考核部门（单位）预算完成程度。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预算完成数：部门（单位）本年度实际完成的预算数。</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预算数：财政部门批复的本年度部门（单位）预算数。</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预算完成率＝100%的，得10分。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预算完成率≥95%的，得9分。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预算完成率在90%（含）和95%之间，得8分。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预算完成率在85%（含）和90%之间，得7分。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预算完成率在80%（含）和85%之间，得6分。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预算完成率在70%（含）和80%之间，得4分。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预算完成率＜70%的，得0分。</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27.12</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27.12</w:t>
            </w:r>
            <w:r>
              <w:rPr>
                <w:rFonts w:hint="eastAsia" w:ascii="楷体_GB2312" w:hAnsi="Arial" w:eastAsia="楷体_GB2312" w:cs="Arial"/>
                <w:kern w:val="0"/>
                <w:sz w:val="20"/>
              </w:rPr>
              <w:t>*100% =100%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27.12</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27.12</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10</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3015"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预算调整率=（预算调整数/预算数）×100%，用以反映和考核部门（单位）预算的调整程度。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预算调整数：部门（单位）在本年度内涉及预算的追加、追减或结构调整的资金总和（因落实国家政策、发生不可抗力、上级部门或本级党委政府临时交办而产生的调整除外）。</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预算包括一般公共预算与政府性基金预算。</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预算调整率绝对值≤5%，得5分。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预算调整率绝对值＞5%的，每增加0.1个百分点扣0.1分，扣完为止。</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44.85</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27.12</w:t>
            </w:r>
            <w:r>
              <w:rPr>
                <w:rFonts w:hint="eastAsia" w:ascii="楷体_GB2312" w:hAnsi="Arial" w:eastAsia="楷体_GB2312" w:cs="Arial"/>
                <w:kern w:val="0"/>
                <w:sz w:val="20"/>
              </w:rPr>
              <w:t>*100% =</w:t>
            </w:r>
            <w:r>
              <w:rPr>
                <w:rFonts w:hint="eastAsia" w:ascii="楷体_GB2312" w:hAnsi="Arial" w:eastAsia="楷体_GB2312" w:cs="Arial"/>
                <w:kern w:val="0"/>
                <w:sz w:val="20"/>
                <w:lang w:val="en-US" w:eastAsia="zh-CN"/>
              </w:rPr>
              <w:t>165</w:t>
            </w:r>
            <w:r>
              <w:rPr>
                <w:rFonts w:hint="eastAsia" w:ascii="楷体_GB2312" w:hAnsi="Arial" w:eastAsia="楷体_GB2312" w:cs="Arial"/>
                <w:kern w:val="0"/>
                <w:sz w:val="20"/>
              </w:rPr>
              <w:t>%</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27.12</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44.85</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844" w:type="dxa"/>
            <w:tcBorders>
              <w:top w:val="nil"/>
              <w:left w:val="nil"/>
              <w:bottom w:val="single" w:color="auto" w:sz="4" w:space="0"/>
              <w:right w:val="single" w:color="auto" w:sz="4" w:space="0"/>
            </w:tcBorders>
            <w:shd w:val="clear" w:color="auto" w:fill="auto"/>
            <w:vAlign w:val="center"/>
          </w:tcPr>
          <w:p>
            <w:pPr>
              <w:widowControl/>
              <w:jc w:val="left"/>
              <w:rPr>
                <w:rFonts w:ascii="仿宋_GB2312" w:hAnsi="Arial" w:eastAsia="仿宋_GB2312" w:cs="Arial"/>
                <w:kern w:val="0"/>
                <w:sz w:val="20"/>
              </w:rPr>
            </w:pPr>
            <w:r>
              <w:rPr>
                <w:rFonts w:hint="eastAsia" w:ascii="仿宋_GB2312" w:hAnsi="Arial" w:eastAsia="仿宋_GB2312" w:cs="Arial"/>
                <w:kern w:val="0"/>
                <w:sz w:val="20"/>
                <w:lang w:eastAsia="zh-CN"/>
              </w:rPr>
              <w:t>免费开放</w:t>
            </w:r>
            <w:r>
              <w:rPr>
                <w:rFonts w:hint="eastAsia" w:ascii="仿宋_GB2312" w:hAnsi="Arial" w:eastAsia="仿宋_GB2312" w:cs="Arial"/>
                <w:kern w:val="0"/>
                <w:sz w:val="20"/>
              </w:rPr>
              <w:t>项目追加较大，导致调整率较大</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3015"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投入</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预算执行（25分）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支出进度率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支出进度率=（实际支出/支出预算）×100%，用以反映和考核部门（单位）预算执行的及时性和均衡性程度。</w:t>
            </w:r>
            <w:r>
              <w:rPr>
                <w:rFonts w:hint="eastAsia" w:ascii="楷体_GB2312" w:hAnsi="Arial" w:eastAsia="楷体_GB2312" w:cs="Arial"/>
                <w:kern w:val="0"/>
                <w:sz w:val="20"/>
              </w:rPr>
              <w:br w:type="textWrapping"/>
            </w:r>
            <w:r>
              <w:rPr>
                <w:rFonts w:hint="eastAsia" w:ascii="楷体_GB2312" w:hAnsi="Arial" w:eastAsia="楷体_GB2312" w:cs="Arial"/>
                <w:kern w:val="0"/>
                <w:sz w:val="20"/>
              </w:rPr>
              <w:t>半年支出进度＝部门上半年实际支出/（上年结余结转+本年部门预算安排+上半年执行中追加追减）*100%。</w:t>
            </w:r>
            <w:r>
              <w:rPr>
                <w:rFonts w:hint="eastAsia" w:ascii="楷体_GB2312" w:hAnsi="Arial" w:eastAsia="楷体_GB2312" w:cs="Arial"/>
                <w:kern w:val="0"/>
                <w:sz w:val="20"/>
              </w:rPr>
              <w:br w:type="textWrapping"/>
            </w:r>
            <w:r>
              <w:rPr>
                <w:rFonts w:hint="eastAsia" w:ascii="楷体_GB2312" w:hAnsi="Arial" w:eastAsia="楷体_GB2312" w:cs="Arial"/>
                <w:kern w:val="0"/>
                <w:sz w:val="20"/>
              </w:rPr>
              <w:t>前三季度支出进度＝部门前三季度实际支出/（上年结余结转+本年部门预算安排+前三季度执行中追加追减）*100%。</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半年进度：进度率≥45%，得2分；进度率在40%（含）和45%之间，得1分；进度率＜40%，得0分。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前三季度进度：进度率≥75%，得3分；进度率在60%（含）和75%之间，得2分；进度率＜60%，得0分。</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71.97</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27.12</w:t>
            </w:r>
            <w:r>
              <w:rPr>
                <w:rFonts w:hint="eastAsia" w:ascii="楷体_GB2312" w:hAnsi="Arial" w:eastAsia="楷体_GB2312" w:cs="Arial"/>
                <w:kern w:val="0"/>
                <w:sz w:val="20"/>
              </w:rPr>
              <w:t>*100%=</w:t>
            </w:r>
            <w:r>
              <w:rPr>
                <w:rFonts w:hint="eastAsia" w:ascii="楷体_GB2312" w:hAnsi="Arial" w:eastAsia="楷体_GB2312" w:cs="Arial"/>
                <w:kern w:val="0"/>
                <w:sz w:val="20"/>
                <w:lang w:val="en-US" w:eastAsia="zh-CN"/>
              </w:rPr>
              <w:t>265</w:t>
            </w:r>
            <w:r>
              <w:rPr>
                <w:rFonts w:hint="eastAsia" w:ascii="楷体_GB2312" w:hAnsi="Arial" w:eastAsia="楷体_GB2312" w:cs="Arial"/>
                <w:kern w:val="0"/>
                <w:sz w:val="20"/>
              </w:rPr>
              <w:t>%</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27.12</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71.97</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410"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预算编制准确率（5分）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部门预算中除财政拨款外的其他收入预算与决算差异率。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预算编制准确率＝其他收入决算数/其他收入预算数×100%-100%。</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预算编制准确率≤20%，得5分。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预算编制准确率在20%和40%（含）之间，得3分。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预算编制准确率＞40%，得0分。</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0/0*100%=0%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0</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215"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过程</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预算管理（15分）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“三公经费”控制率=（“三公经费”实际支出数/“三公经费”预算安排数）×100%，用以反映和考核部门（单位）对“三公经费”的实际控制程度。</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三公经费控制率 ≤100%，得5分，每增加0.1个百分点扣0.5分，扣完为止。</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lang w:val="en-US" w:eastAsia="zh-CN"/>
              </w:rPr>
              <w:t>2.92</w:t>
            </w:r>
            <w:r>
              <w:rPr>
                <w:rFonts w:hint="eastAsia" w:ascii="楷体_GB2312" w:hAnsi="Arial" w:eastAsia="楷体_GB2312" w:cs="Arial"/>
                <w:kern w:val="0"/>
                <w:sz w:val="20"/>
              </w:rPr>
              <w:t>/</w:t>
            </w:r>
            <w:r>
              <w:rPr>
                <w:rFonts w:hint="eastAsia" w:ascii="楷体_GB2312" w:hAnsi="Arial" w:eastAsia="楷体_GB2312" w:cs="Arial"/>
                <w:kern w:val="0"/>
                <w:sz w:val="20"/>
                <w:lang w:val="en-US" w:eastAsia="zh-CN"/>
              </w:rPr>
              <w:t>0.23</w:t>
            </w:r>
            <w:r>
              <w:rPr>
                <w:rFonts w:hint="eastAsia" w:ascii="楷体_GB2312" w:hAnsi="Arial" w:eastAsia="楷体_GB2312" w:cs="Arial"/>
                <w:kern w:val="0"/>
                <w:sz w:val="20"/>
              </w:rPr>
              <w:t>*100%=</w:t>
            </w:r>
            <w:r>
              <w:rPr>
                <w:rFonts w:hint="eastAsia" w:ascii="楷体_GB2312" w:hAnsi="Arial" w:eastAsia="楷体_GB2312" w:cs="Arial"/>
                <w:kern w:val="0"/>
                <w:sz w:val="20"/>
                <w:lang w:val="en-US" w:eastAsia="zh-CN"/>
              </w:rPr>
              <w:t>1269</w:t>
            </w:r>
            <w:r>
              <w:rPr>
                <w:rFonts w:hint="eastAsia" w:ascii="楷体_GB2312" w:hAnsi="Arial" w:eastAsia="楷体_GB2312" w:cs="Arial"/>
                <w:kern w:val="0"/>
                <w:sz w:val="20"/>
              </w:rPr>
              <w:t>%</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0.23</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hint="default" w:ascii="楷体_GB2312" w:hAnsi="Arial" w:eastAsia="楷体_GB2312" w:cs="Arial"/>
                <w:kern w:val="0"/>
                <w:sz w:val="20"/>
                <w:lang w:val="en-US" w:eastAsia="zh-CN"/>
              </w:rPr>
            </w:pPr>
            <w:r>
              <w:rPr>
                <w:rFonts w:hint="eastAsia" w:ascii="楷体_GB2312" w:hAnsi="Arial" w:eastAsia="楷体_GB2312" w:cs="Arial"/>
                <w:kern w:val="0"/>
                <w:sz w:val="20"/>
                <w:lang w:val="en-US" w:eastAsia="zh-CN"/>
              </w:rPr>
              <w:t>2.92</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hint="eastAsia" w:ascii="楷体_GB2312" w:hAnsi="Arial" w:eastAsia="楷体_GB2312" w:cs="Arial"/>
                <w:kern w:val="0"/>
                <w:sz w:val="20"/>
                <w:lang w:eastAsia="zh-CN"/>
              </w:rPr>
            </w:pPr>
            <w:r>
              <w:rPr>
                <w:rFonts w:hint="eastAsia" w:ascii="楷体_GB2312" w:hAnsi="Arial" w:eastAsia="楷体_GB2312" w:cs="Arial"/>
                <w:kern w:val="0"/>
                <w:sz w:val="20"/>
                <w:lang w:val="en-US" w:eastAsia="zh-CN"/>
              </w:rPr>
              <w:t>0</w:t>
            </w:r>
          </w:p>
        </w:tc>
        <w:tc>
          <w:tcPr>
            <w:tcW w:w="84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仿宋_GB2312" w:hAnsi="Arial" w:eastAsia="仿宋_GB2312" w:cs="Arial"/>
                <w:kern w:val="0"/>
                <w:sz w:val="20"/>
              </w:rPr>
            </w:pPr>
            <w:r>
              <w:rPr>
                <w:rFonts w:hint="eastAsia" w:ascii="仿宋_GB2312" w:hAnsi="Arial" w:eastAsia="仿宋_GB2312" w:cs="Arial"/>
                <w:kern w:val="0"/>
                <w:sz w:val="15"/>
                <w:szCs w:val="15"/>
                <w:lang w:val="en-US" w:eastAsia="zh-CN"/>
              </w:rPr>
              <w:t>单位单设划拨公务用车及维护费用</w:t>
            </w:r>
            <w:r>
              <w:rPr>
                <w:rFonts w:hint="eastAsia" w:ascii="仿宋_GB2312" w:hAnsi="Arial" w:eastAsia="仿宋_GB2312" w:cs="Arial"/>
                <w:kern w:val="0"/>
                <w:sz w:val="15"/>
                <w:szCs w:val="15"/>
              </w:rPr>
              <w:t>较大，导致</w:t>
            </w:r>
            <w:r>
              <w:rPr>
                <w:rFonts w:hint="eastAsia" w:ascii="楷体_GB2312" w:hAnsi="Arial" w:eastAsia="楷体_GB2312" w:cs="Arial"/>
                <w:kern w:val="0"/>
                <w:sz w:val="15"/>
                <w:szCs w:val="15"/>
              </w:rPr>
              <w:t>控制率</w:t>
            </w:r>
            <w:r>
              <w:rPr>
                <w:rFonts w:hint="eastAsia" w:ascii="仿宋_GB2312" w:hAnsi="Arial" w:eastAsia="仿宋_GB2312" w:cs="Arial"/>
                <w:kern w:val="0"/>
                <w:sz w:val="15"/>
                <w:szCs w:val="15"/>
              </w:rPr>
              <w:t>较大</w:t>
            </w:r>
            <w:r>
              <w:rPr>
                <w:rFonts w:hint="eastAsia" w:ascii="仿宋_GB2312" w:hAnsi="Arial" w:eastAsia="仿宋_GB2312" w:cs="Arial"/>
                <w:kern w:val="0"/>
                <w:sz w:val="20"/>
                <w:szCs w:val="22"/>
                <w:lang w:eastAsia="zh-CN"/>
              </w:rPr>
              <w:t>　</w:t>
            </w:r>
          </w:p>
        </w:tc>
        <w:tc>
          <w:tcPr>
            <w:tcW w:w="800"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Arial" w:eastAsia="仿宋_GB2312" w:cs="Arial"/>
                <w:kern w:val="0"/>
                <w:sz w:val="20"/>
              </w:rPr>
            </w:pPr>
            <w:r>
              <w:rPr>
                <w:rFonts w:hint="eastAsia" w:ascii="仿宋_GB2312" w:hAnsi="Arial" w:eastAsia="仿宋_GB2312" w:cs="Arial"/>
                <w:kern w:val="0"/>
                <w:sz w:val="20"/>
              </w:rPr>
              <w:t>　</w:t>
            </w:r>
          </w:p>
        </w:tc>
      </w:tr>
      <w:tr>
        <w:tblPrEx>
          <w:tblCellMar>
            <w:top w:w="0" w:type="dxa"/>
            <w:left w:w="108" w:type="dxa"/>
            <w:bottom w:w="0" w:type="dxa"/>
            <w:right w:w="108" w:type="dxa"/>
          </w:tblCellMar>
        </w:tblPrEx>
        <w:trPr>
          <w:trHeight w:val="1988"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资产管理规范性</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部门（单位）资产管理是否规范，用以反映和考核部门（单位）资产管理情况。</w:t>
            </w:r>
            <w:r>
              <w:rPr>
                <w:rFonts w:hint="eastAsia" w:ascii="楷体_GB2312" w:hAnsi="Arial" w:eastAsia="楷体_GB2312" w:cs="Arial"/>
                <w:kern w:val="0"/>
                <w:sz w:val="20"/>
              </w:rPr>
              <w:br w:type="textWrapping"/>
            </w:r>
            <w:r>
              <w:rPr>
                <w:rFonts w:hint="eastAsia" w:ascii="楷体_GB2312" w:hAnsi="Arial" w:eastAsia="楷体_GB2312" w:cs="Arial"/>
                <w:kern w:val="0"/>
                <w:sz w:val="20"/>
              </w:rPr>
              <w:t>1.新增资产配置按预算执行。</w:t>
            </w:r>
            <w:r>
              <w:rPr>
                <w:rFonts w:hint="eastAsia" w:ascii="楷体_GB2312" w:hAnsi="Arial" w:eastAsia="楷体_GB2312" w:cs="Arial"/>
                <w:kern w:val="0"/>
                <w:sz w:val="20"/>
              </w:rPr>
              <w:br w:type="textWrapping"/>
            </w:r>
            <w:r>
              <w:rPr>
                <w:rFonts w:hint="eastAsia" w:ascii="楷体_GB2312" w:hAnsi="Arial" w:eastAsia="楷体_GB2312" w:cs="Arial"/>
                <w:kern w:val="0"/>
                <w:sz w:val="20"/>
              </w:rPr>
              <w:t>2.资产有偿使用、处置按规定程序审批。</w:t>
            </w:r>
            <w:r>
              <w:rPr>
                <w:rFonts w:hint="eastAsia" w:ascii="楷体_GB2312" w:hAnsi="Arial" w:eastAsia="楷体_GB2312" w:cs="Arial"/>
                <w:kern w:val="0"/>
                <w:sz w:val="20"/>
              </w:rPr>
              <w:br w:type="textWrapping"/>
            </w:r>
            <w:r>
              <w:rPr>
                <w:rFonts w:hint="eastAsia" w:ascii="楷体_GB2312" w:hAnsi="Arial" w:eastAsia="楷体_GB2312" w:cs="Arial"/>
                <w:kern w:val="0"/>
                <w:sz w:val="20"/>
              </w:rPr>
              <w:t>3.资产收益及时、足额上缴财政。</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全部符合5分，有1项不符扣2分,扣完为止。</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2445" w:hRule="atLeast"/>
        </w:trPr>
        <w:tc>
          <w:tcPr>
            <w:tcW w:w="818" w:type="dxa"/>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过程</w:t>
            </w:r>
          </w:p>
        </w:tc>
        <w:tc>
          <w:tcPr>
            <w:tcW w:w="835"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预算管理（15分）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资金使用合规性</w:t>
            </w:r>
            <w:r>
              <w:rPr>
                <w:rFonts w:hint="eastAsia" w:ascii="楷体_GB2312" w:hAnsi="Arial" w:eastAsia="楷体_GB2312" w:cs="Arial"/>
                <w:kern w:val="0"/>
                <w:sz w:val="20"/>
              </w:rPr>
              <w:br w:type="textWrapping"/>
            </w:r>
            <w:r>
              <w:rPr>
                <w:rFonts w:hint="eastAsia" w:ascii="楷体_GB2312" w:hAnsi="Arial" w:eastAsia="楷体_GB2312" w:cs="Arial"/>
                <w:kern w:val="0"/>
                <w:sz w:val="20"/>
              </w:rPr>
              <w:t>（5分）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3358"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部门（单位）使用预算资金是否符合相关的预算财务管理制度的规定，用以反映和考核部门（单位）预算资金的规范运行情况。</w:t>
            </w:r>
            <w:r>
              <w:rPr>
                <w:rFonts w:hint="eastAsia" w:ascii="楷体_GB2312" w:hAnsi="Arial" w:eastAsia="楷体_GB2312" w:cs="Arial"/>
                <w:kern w:val="0"/>
                <w:sz w:val="20"/>
              </w:rPr>
              <w:br w:type="textWrapping"/>
            </w:r>
            <w:r>
              <w:rPr>
                <w:rFonts w:hint="eastAsia" w:ascii="楷体_GB2312" w:hAnsi="Arial" w:eastAsia="楷体_GB2312" w:cs="Arial"/>
                <w:kern w:val="0"/>
                <w:sz w:val="20"/>
              </w:rPr>
              <w:t>1.符合国家财经法规和财务管理制度规定以及有关专项资金管理办法的规定；</w:t>
            </w:r>
            <w:r>
              <w:rPr>
                <w:rFonts w:hint="eastAsia" w:ascii="楷体_GB2312" w:hAnsi="Arial" w:eastAsia="楷体_GB2312" w:cs="Arial"/>
                <w:kern w:val="0"/>
                <w:sz w:val="20"/>
              </w:rPr>
              <w:br w:type="textWrapping"/>
            </w:r>
            <w:r>
              <w:rPr>
                <w:rFonts w:hint="eastAsia" w:ascii="楷体_GB2312" w:hAnsi="Arial" w:eastAsia="楷体_GB2312" w:cs="Arial"/>
                <w:kern w:val="0"/>
                <w:sz w:val="20"/>
              </w:rPr>
              <w:t>2.资金的拨付有完整的审批程序和手续；</w:t>
            </w:r>
            <w:r>
              <w:rPr>
                <w:rFonts w:hint="eastAsia" w:ascii="楷体_GB2312" w:hAnsi="Arial" w:eastAsia="楷体_GB2312" w:cs="Arial"/>
                <w:kern w:val="0"/>
                <w:sz w:val="20"/>
              </w:rPr>
              <w:br w:type="textWrapping"/>
            </w:r>
            <w:r>
              <w:rPr>
                <w:rFonts w:hint="eastAsia" w:ascii="楷体_GB2312" w:hAnsi="Arial" w:eastAsia="楷体_GB2312" w:cs="Arial"/>
                <w:kern w:val="0"/>
                <w:sz w:val="20"/>
              </w:rPr>
              <w:t>3.重大项目开支经过评估论证；</w:t>
            </w:r>
            <w:r>
              <w:rPr>
                <w:rFonts w:hint="eastAsia" w:ascii="楷体_GB2312" w:hAnsi="Arial" w:eastAsia="楷体_GB2312" w:cs="Arial"/>
                <w:kern w:val="0"/>
                <w:sz w:val="20"/>
              </w:rPr>
              <w:br w:type="textWrapping"/>
            </w:r>
            <w:r>
              <w:rPr>
                <w:rFonts w:hint="eastAsia" w:ascii="楷体_GB2312" w:hAnsi="Arial" w:eastAsia="楷体_GB2312" w:cs="Arial"/>
                <w:kern w:val="0"/>
                <w:sz w:val="20"/>
              </w:rPr>
              <w:t>4.符合部门预算批复的用途；</w:t>
            </w:r>
            <w:r>
              <w:rPr>
                <w:rFonts w:hint="eastAsia" w:ascii="楷体_GB2312" w:hAnsi="Arial" w:eastAsia="楷体_GB2312" w:cs="Arial"/>
                <w:kern w:val="0"/>
                <w:sz w:val="20"/>
              </w:rPr>
              <w:br w:type="textWrapping"/>
            </w:r>
            <w:r>
              <w:rPr>
                <w:rFonts w:hint="eastAsia" w:ascii="楷体_GB2312" w:hAnsi="Arial" w:eastAsia="楷体_GB2312" w:cs="Arial"/>
                <w:kern w:val="0"/>
                <w:sz w:val="20"/>
              </w:rPr>
              <w:t>5.不存在截留、挤占、挪用、虚列支出等情况。</w:t>
            </w:r>
          </w:p>
        </w:tc>
        <w:tc>
          <w:tcPr>
            <w:tcW w:w="4111" w:type="dxa"/>
            <w:gridSpan w:val="2"/>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全部符合5分,有1项不符扣2分。</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5</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480" w:hRule="atLeast"/>
        </w:trPr>
        <w:tc>
          <w:tcPr>
            <w:tcW w:w="818" w:type="dxa"/>
            <w:vMerge w:val="restart"/>
            <w:tcBorders>
              <w:top w:val="nil"/>
              <w:left w:val="single" w:color="auto" w:sz="4" w:space="0"/>
              <w:bottom w:val="single" w:color="auto" w:sz="4" w:space="0"/>
              <w:right w:val="single" w:color="auto" w:sz="4" w:space="0"/>
            </w:tcBorders>
            <w:shd w:val="clear" w:color="auto" w:fill="auto"/>
            <w:noWrap/>
            <w:textDirection w:val="tbRlV"/>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效果</w:t>
            </w:r>
          </w:p>
        </w:tc>
        <w:tc>
          <w:tcPr>
            <w:tcW w:w="83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履职尽责（60分）</w:t>
            </w: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项目产出</w:t>
            </w:r>
            <w:r>
              <w:rPr>
                <w:rFonts w:hint="eastAsia" w:ascii="楷体_GB2312" w:hAnsi="Arial" w:eastAsia="楷体_GB2312" w:cs="Arial"/>
                <w:kern w:val="0"/>
                <w:sz w:val="20"/>
              </w:rPr>
              <w:br w:type="textWrapping"/>
            </w:r>
            <w:r>
              <w:rPr>
                <w:rFonts w:hint="eastAsia" w:ascii="楷体_GB2312" w:hAnsi="Arial" w:eastAsia="楷体_GB2312" w:cs="Arial"/>
                <w:kern w:val="0"/>
                <w:sz w:val="20"/>
              </w:rPr>
              <w:t>（40分）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40</w:t>
            </w:r>
          </w:p>
        </w:tc>
        <w:tc>
          <w:tcPr>
            <w:tcW w:w="2963"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4506" w:type="dxa"/>
            <w:gridSpan w:val="3"/>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1.若为定性指标，根据“三档”原则分别按照指标分值的100-80%（含）、80-50%（含）、50-10%来记分；</w:t>
            </w:r>
            <w:r>
              <w:rPr>
                <w:rFonts w:hint="eastAsia" w:ascii="楷体_GB2312" w:hAnsi="Arial" w:eastAsia="楷体_GB2312" w:cs="Arial"/>
                <w:kern w:val="0"/>
                <w:sz w:val="20"/>
              </w:rPr>
              <w:br w:type="textWrapping"/>
            </w:r>
            <w:r>
              <w:rPr>
                <w:rFonts w:hint="eastAsia" w:ascii="楷体_GB2312" w:hAnsi="Arial" w:eastAsia="楷体_GB2312" w:cs="Arial"/>
                <w:kern w:val="0"/>
                <w:sz w:val="20"/>
              </w:rPr>
              <w:t>2.若为定量指标，完成值达到指标值，记满分；未达到指标值，按完成比率计分，正向指标（即指标值为≥*）得分＝实际完成值/年初目标值*该指标分值，反向指标（即指标值为≤*）得分＝年初目标值/实际完成值*该指标分值。</w:t>
            </w: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40</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r>
        <w:tblPrEx>
          <w:tblCellMar>
            <w:top w:w="0" w:type="dxa"/>
            <w:left w:w="108" w:type="dxa"/>
            <w:bottom w:w="0" w:type="dxa"/>
            <w:right w:w="108" w:type="dxa"/>
          </w:tblCellMar>
        </w:tblPrEx>
        <w:trPr>
          <w:trHeight w:val="480" w:hRule="atLeast"/>
        </w:trPr>
        <w:tc>
          <w:tcPr>
            <w:tcW w:w="818"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5" w:type="dxa"/>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834"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项目效益</w:t>
            </w:r>
            <w:r>
              <w:rPr>
                <w:rFonts w:hint="eastAsia" w:ascii="楷体_GB2312" w:hAnsi="Arial" w:eastAsia="楷体_GB2312" w:cs="Arial"/>
                <w:kern w:val="0"/>
                <w:sz w:val="20"/>
              </w:rPr>
              <w:br w:type="textWrapping"/>
            </w:r>
            <w:r>
              <w:rPr>
                <w:rFonts w:hint="eastAsia" w:ascii="楷体_GB2312" w:hAnsi="Arial" w:eastAsia="楷体_GB2312" w:cs="Arial"/>
                <w:kern w:val="0"/>
                <w:sz w:val="20"/>
              </w:rPr>
              <w:t>（20分）</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20</w:t>
            </w:r>
          </w:p>
        </w:tc>
        <w:tc>
          <w:tcPr>
            <w:tcW w:w="2963"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450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楷体_GB2312" w:hAnsi="Arial" w:eastAsia="楷体_GB2312" w:cs="Arial"/>
                <w:kern w:val="0"/>
                <w:sz w:val="20"/>
              </w:rPr>
            </w:pPr>
          </w:p>
        </w:tc>
        <w:tc>
          <w:tcPr>
            <w:tcW w:w="1120"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916" w:type="dxa"/>
            <w:tcBorders>
              <w:top w:val="nil"/>
              <w:left w:val="nil"/>
              <w:bottom w:val="single" w:color="auto" w:sz="4" w:space="0"/>
              <w:right w:val="single" w:color="auto" w:sz="4" w:space="0"/>
            </w:tcBorders>
            <w:shd w:val="clear" w:color="auto" w:fill="auto"/>
            <w:vAlign w:val="center"/>
          </w:tcPr>
          <w:p>
            <w:pPr>
              <w:widowControl/>
              <w:jc w:val="left"/>
              <w:rPr>
                <w:rFonts w:ascii="楷体_GB2312" w:hAnsi="Arial" w:eastAsia="楷体_GB2312" w:cs="Arial"/>
                <w:kern w:val="0"/>
                <w:sz w:val="20"/>
              </w:rPr>
            </w:pPr>
            <w:r>
              <w:rPr>
                <w:rFonts w:hint="eastAsia" w:ascii="楷体_GB2312" w:hAnsi="Arial" w:eastAsia="楷体_GB2312" w:cs="Arial"/>
                <w:kern w:val="0"/>
                <w:sz w:val="20"/>
              </w:rPr>
              <w:t>　</w:t>
            </w:r>
          </w:p>
        </w:tc>
        <w:tc>
          <w:tcPr>
            <w:tcW w:w="784" w:type="dxa"/>
            <w:tcBorders>
              <w:top w:val="nil"/>
              <w:left w:val="nil"/>
              <w:bottom w:val="single" w:color="auto" w:sz="4" w:space="0"/>
              <w:right w:val="single" w:color="auto" w:sz="4" w:space="0"/>
            </w:tcBorders>
            <w:shd w:val="clear" w:color="auto" w:fill="auto"/>
            <w:vAlign w:val="center"/>
          </w:tcPr>
          <w:p>
            <w:pPr>
              <w:widowControl/>
              <w:jc w:val="center"/>
              <w:rPr>
                <w:rFonts w:ascii="楷体_GB2312" w:hAnsi="Arial" w:eastAsia="楷体_GB2312" w:cs="Arial"/>
                <w:kern w:val="0"/>
                <w:sz w:val="20"/>
              </w:rPr>
            </w:pPr>
            <w:r>
              <w:rPr>
                <w:rFonts w:hint="eastAsia" w:ascii="楷体_GB2312" w:hAnsi="Arial" w:eastAsia="楷体_GB2312" w:cs="Arial"/>
                <w:kern w:val="0"/>
                <w:sz w:val="20"/>
              </w:rPr>
              <w:t>20</w:t>
            </w:r>
          </w:p>
        </w:tc>
        <w:tc>
          <w:tcPr>
            <w:tcW w:w="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c>
          <w:tcPr>
            <w:tcW w:w="800"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Arial"/>
                <w:kern w:val="0"/>
                <w:sz w:val="24"/>
                <w:szCs w:val="24"/>
              </w:rPr>
            </w:pPr>
            <w:r>
              <w:rPr>
                <w:rFonts w:hint="eastAsia" w:ascii="宋体" w:hAnsi="宋体" w:eastAsia="宋体" w:cs="Arial"/>
                <w:kern w:val="0"/>
                <w:sz w:val="24"/>
                <w:szCs w:val="24"/>
              </w:rPr>
              <w:t>　</w:t>
            </w:r>
          </w:p>
        </w:tc>
      </w:tr>
    </w:tbl>
    <w:p>
      <w:pPr>
        <w:widowControl/>
        <w:jc w:val="left"/>
        <w:rPr>
          <w:rFonts w:hint="eastAsia" w:ascii="黑体" w:hAnsi="黑体" w:eastAsia="黑体"/>
          <w:color w:val="000000"/>
          <w:kern w:val="0"/>
          <w:sz w:val="32"/>
          <w:szCs w:val="32"/>
          <w:lang w:bidi="ar"/>
        </w:rPr>
        <w:sectPr>
          <w:pgSz w:w="16838" w:h="11906" w:orient="landscape"/>
          <w:pgMar w:top="1020" w:right="1440" w:bottom="102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本部门政府采购支出总额共</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万元，其中政府采购货物类支出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万元、政府采购工程类支出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ascii="仿宋_GB2312" w:hAnsi="宋体" w:eastAsia="仿宋_GB2312" w:cs="仿宋_GB2312"/>
          <w:color w:val="000000"/>
          <w:kern w:val="0"/>
          <w:sz w:val="32"/>
          <w:szCs w:val="32"/>
          <w:lang w:bidi="ar"/>
        </w:rPr>
        <w:t>授予中小企业合同金额</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万元，占政府采购支出总额的</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%，其中：授予小微企业合同金额</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万元，占政府采购支出总额的</w:t>
      </w:r>
      <w:r>
        <w:rPr>
          <w:rFonts w:hint="eastAsia" w:ascii="仿宋_GB2312" w:hAnsi="宋体" w:eastAsia="仿宋_GB2312" w:cs="仿宋_GB2312"/>
          <w:color w:val="000000"/>
          <w:kern w:val="0"/>
          <w:sz w:val="32"/>
          <w:szCs w:val="32"/>
          <w:lang w:eastAsia="zh-CN" w:bidi="ar"/>
        </w:rPr>
        <w:t>**</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（如不涉及，文字说明“本部门201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截至2019年末，本部门共有车辆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5"/>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示例：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01550C62"/>
    <w:multiLevelType w:val="singleLevel"/>
    <w:tmpl w:val="01550C62"/>
    <w:lvl w:ilvl="0" w:tentative="0">
      <w:start w:val="2"/>
      <w:numFmt w:val="chineseCounting"/>
      <w:suff w:val="nothing"/>
      <w:lvlText w:val="%1、"/>
      <w:lvlJc w:val="left"/>
      <w:rPr>
        <w:rFonts w:hint="eastAsia"/>
      </w:rPr>
    </w:lvl>
  </w:abstractNum>
  <w:abstractNum w:abstractNumId="2">
    <w:nsid w:val="1CF83D10"/>
    <w:multiLevelType w:val="singleLevel"/>
    <w:tmpl w:val="1CF83D10"/>
    <w:lvl w:ilvl="0" w:tentative="0">
      <w:start w:val="1"/>
      <w:numFmt w:val="chineseCounting"/>
      <w:suff w:val="nothing"/>
      <w:lvlText w:val="%1、"/>
      <w:lvlJc w:val="left"/>
      <w:rPr>
        <w:rFonts w:hint="eastAsia"/>
      </w:rPr>
    </w:lvl>
  </w:abstractNum>
  <w:abstractNum w:abstractNumId="3">
    <w:nsid w:val="39BEA4A8"/>
    <w:multiLevelType w:val="singleLevel"/>
    <w:tmpl w:val="39BEA4A8"/>
    <w:lvl w:ilvl="0" w:tentative="0">
      <w:start w:val="4"/>
      <w:numFmt w:val="chineseCounting"/>
      <w:suff w:val="space"/>
      <w:lvlText w:val="第%1部分"/>
      <w:lvlJc w:val="left"/>
      <w:rPr>
        <w:rFonts w:hint="eastAsia"/>
      </w:rPr>
    </w:lvl>
  </w:abstractNum>
  <w:abstractNum w:abstractNumId="4">
    <w:nsid w:val="4E290741"/>
    <w:multiLevelType w:val="singleLevel"/>
    <w:tmpl w:val="4E290741"/>
    <w:lvl w:ilvl="0" w:tentative="0">
      <w:start w:val="3"/>
      <w:numFmt w:val="decimal"/>
      <w:suff w:val="nothing"/>
      <w:lvlText w:val="%1．"/>
      <w:lvlJc w:val="left"/>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CD21C7"/>
    <w:rsid w:val="010E3361"/>
    <w:rsid w:val="05417AAB"/>
    <w:rsid w:val="068B7849"/>
    <w:rsid w:val="086C1E64"/>
    <w:rsid w:val="09F56D6B"/>
    <w:rsid w:val="0B810D57"/>
    <w:rsid w:val="0B947670"/>
    <w:rsid w:val="0BEE7863"/>
    <w:rsid w:val="10EA0594"/>
    <w:rsid w:val="11AB2458"/>
    <w:rsid w:val="13862F99"/>
    <w:rsid w:val="15916C1F"/>
    <w:rsid w:val="15BC671A"/>
    <w:rsid w:val="15C12A7C"/>
    <w:rsid w:val="16A46965"/>
    <w:rsid w:val="18321E55"/>
    <w:rsid w:val="18634A0D"/>
    <w:rsid w:val="1AA1314B"/>
    <w:rsid w:val="1AF22409"/>
    <w:rsid w:val="1D8B0C78"/>
    <w:rsid w:val="20B96E79"/>
    <w:rsid w:val="20E506C4"/>
    <w:rsid w:val="2256467C"/>
    <w:rsid w:val="22B322D8"/>
    <w:rsid w:val="256264C3"/>
    <w:rsid w:val="2660352B"/>
    <w:rsid w:val="287C13F1"/>
    <w:rsid w:val="28FB2AB2"/>
    <w:rsid w:val="2B895E91"/>
    <w:rsid w:val="2CFE13E0"/>
    <w:rsid w:val="30DF4759"/>
    <w:rsid w:val="31F93A0B"/>
    <w:rsid w:val="348C6751"/>
    <w:rsid w:val="350A5D93"/>
    <w:rsid w:val="3534121A"/>
    <w:rsid w:val="358775AF"/>
    <w:rsid w:val="35E271C5"/>
    <w:rsid w:val="3669223E"/>
    <w:rsid w:val="366C12FC"/>
    <w:rsid w:val="36C665E2"/>
    <w:rsid w:val="37595228"/>
    <w:rsid w:val="38C9608E"/>
    <w:rsid w:val="39F41AEA"/>
    <w:rsid w:val="3A8B6374"/>
    <w:rsid w:val="3BFC6DCC"/>
    <w:rsid w:val="3BFF5F03"/>
    <w:rsid w:val="3C7A6DAB"/>
    <w:rsid w:val="3D904069"/>
    <w:rsid w:val="3FCA23EC"/>
    <w:rsid w:val="41942E54"/>
    <w:rsid w:val="42313E85"/>
    <w:rsid w:val="424D60E4"/>
    <w:rsid w:val="42FA4769"/>
    <w:rsid w:val="43BC1030"/>
    <w:rsid w:val="44426278"/>
    <w:rsid w:val="44D10146"/>
    <w:rsid w:val="46E57DD7"/>
    <w:rsid w:val="47964FBE"/>
    <w:rsid w:val="4A1752A2"/>
    <w:rsid w:val="4B18398F"/>
    <w:rsid w:val="4D994410"/>
    <w:rsid w:val="4E2F6C76"/>
    <w:rsid w:val="50C46A00"/>
    <w:rsid w:val="51857572"/>
    <w:rsid w:val="52AC7AB3"/>
    <w:rsid w:val="54207C4C"/>
    <w:rsid w:val="5435503F"/>
    <w:rsid w:val="544D3043"/>
    <w:rsid w:val="54D57202"/>
    <w:rsid w:val="596D661C"/>
    <w:rsid w:val="59CA4750"/>
    <w:rsid w:val="5AA83879"/>
    <w:rsid w:val="5AAF0F7D"/>
    <w:rsid w:val="5F5027A5"/>
    <w:rsid w:val="63750401"/>
    <w:rsid w:val="645C5F87"/>
    <w:rsid w:val="64FC0A23"/>
    <w:rsid w:val="65706DA4"/>
    <w:rsid w:val="66651107"/>
    <w:rsid w:val="66BE1411"/>
    <w:rsid w:val="69845E93"/>
    <w:rsid w:val="69A157A9"/>
    <w:rsid w:val="6B3B79EC"/>
    <w:rsid w:val="6EAC6681"/>
    <w:rsid w:val="6F094735"/>
    <w:rsid w:val="71840673"/>
    <w:rsid w:val="73431FE5"/>
    <w:rsid w:val="74437238"/>
    <w:rsid w:val="778B0394"/>
    <w:rsid w:val="792C2016"/>
    <w:rsid w:val="7B6D5E4A"/>
    <w:rsid w:val="7E230212"/>
    <w:rsid w:val="7FCF1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 w:type="paragraph" w:customStyle="1" w:styleId="17">
    <w:name w:val="正文文本1"/>
    <w:basedOn w:val="1"/>
    <w:qFormat/>
    <w:uiPriority w:val="0"/>
    <w:pPr>
      <w:spacing w:line="441" w:lineRule="auto"/>
      <w:ind w:firstLine="400"/>
    </w:pPr>
    <w:rPr>
      <w:rFonts w:ascii="宋体" w:hAnsi="宋体" w:cs="宋体"/>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6.xml"/><Relationship Id="rId8" Type="http://schemas.openxmlformats.org/officeDocument/2006/relationships/chart" Target="charts/chart5.xml"/><Relationship Id="rId7" Type="http://schemas.openxmlformats.org/officeDocument/2006/relationships/chart" Target="charts/chart4.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chart" Target="charts/chart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92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人员结构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行政人员</c:v>
                </c:pt>
                <c:pt idx="1">
                  <c:v>事业人员</c:v>
                </c:pt>
              </c:strCache>
            </c:strRef>
          </c:cat>
          <c:val>
            <c:numRef>
              <c:f>Sheet1!$B$2:$B$3</c:f>
              <c:numCache>
                <c:formatCode>0%</c:formatCode>
                <c:ptCount val="2"/>
                <c:pt idx="0">
                  <c:v>0</c:v>
                </c:pt>
                <c:pt idx="1">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6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600"/>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spc="0" baseline="0">
                <a:solidFill>
                  <a:schemeClr val="tx1">
                    <a:lumMod val="65000"/>
                    <a:lumOff val="35000"/>
                  </a:schemeClr>
                </a:solidFill>
                <a:latin typeface="+mn-lt"/>
                <a:ea typeface="+mn-ea"/>
                <a:cs typeface="+mn-cs"/>
              </a:defRPr>
            </a:pPr>
            <a:r>
              <a:rPr sz="1440" b="1"/>
              <a:t>本年收支与上年情况对比图</a:t>
            </a:r>
            <a:endParaRPr sz="144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0</c:v>
                </c:pt>
                <c:pt idx="1">
                  <c:v>0</c:v>
                </c:pt>
              </c:numCache>
            </c:numRef>
          </c:val>
        </c:ser>
        <c:ser>
          <c:idx val="1"/>
          <c:order val="1"/>
          <c:tx>
            <c:strRef>
              <c:f>Sheet1!$C$1</c:f>
              <c:strCache>
                <c:ptCount val="1"/>
                <c:pt idx="0">
                  <c:v>2019年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71.97</c:v>
                </c:pt>
                <c:pt idx="1">
                  <c:v>71.97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收入</c:v>
                </c:pt>
                <c:pt idx="1">
                  <c:v>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39138220"/>
        <c:axId val="465643489"/>
      </c:barChart>
      <c:catAx>
        <c:axId val="391382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465643489"/>
        <c:crosses val="autoZero"/>
        <c:auto val="1"/>
        <c:lblAlgn val="ctr"/>
        <c:lblOffset val="100"/>
        <c:noMultiLvlLbl val="0"/>
      </c:catAx>
      <c:valAx>
        <c:axId val="46564348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3913822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b="1"/>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8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收入构成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财政拨款收入</c:v>
                </c:pt>
                <c:pt idx="1">
                  <c:v>事业收入</c:v>
                </c:pt>
                <c:pt idx="2">
                  <c:v>经营性收入</c:v>
                </c:pt>
                <c:pt idx="3">
                  <c:v>其他收入</c:v>
                </c:pt>
              </c:strCache>
            </c:strRef>
          </c:cat>
          <c:val>
            <c:numRef>
              <c:f>Sheet1!$B$2:$B$5</c:f>
              <c:numCache>
                <c:formatCode>General</c:formatCode>
                <c:ptCount val="4"/>
                <c:pt idx="0">
                  <c:v>71.97</c:v>
                </c:pt>
                <c:pt idx="1">
                  <c:v>0</c:v>
                </c:pt>
                <c:pt idx="2">
                  <c:v>0</c:v>
                </c:pt>
                <c:pt idx="3">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680" b="1"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支出构成</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elete val="1"/>
          </c:dLbls>
          <c:cat>
            <c:strRef>
              <c:f>Sheet1!$A$2:$A$4</c:f>
              <c:strCache>
                <c:ptCount val="3"/>
                <c:pt idx="0">
                  <c:v>基本支出</c:v>
                </c:pt>
                <c:pt idx="1">
                  <c:v>项目支出</c:v>
                </c:pt>
                <c:pt idx="2">
                  <c:v>经营支出</c:v>
                </c:pt>
              </c:strCache>
            </c:strRef>
          </c:cat>
          <c:val>
            <c:numRef>
              <c:f>Sheet1!$B$2:$B$4</c:f>
              <c:numCache>
                <c:formatCode>General</c:formatCode>
                <c:ptCount val="3"/>
                <c:pt idx="0">
                  <c:v>46.97</c:v>
                </c:pt>
                <c:pt idx="1">
                  <c:v>25</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400"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spc="0" baseline="0">
                <a:solidFill>
                  <a:schemeClr val="tx1">
                    <a:lumMod val="65000"/>
                    <a:lumOff val="35000"/>
                  </a:schemeClr>
                </a:solidFill>
                <a:latin typeface="+mn-lt"/>
                <a:ea typeface="+mn-ea"/>
                <a:cs typeface="+mn-cs"/>
              </a:defRPr>
            </a:pPr>
            <a:r>
              <a:rPr sz="1440" b="1"/>
              <a:t>本年财政拨款收支与上年情况对比图</a:t>
            </a:r>
            <a:endParaRPr sz="144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delete val="1"/>
          </c:dLbls>
          <c:cat>
            <c:strRef>
              <c:f>Sheet1!$A$2:$A$3</c:f>
              <c:strCache>
                <c:ptCount val="2"/>
                <c:pt idx="0">
                  <c:v>财政拨款收入</c:v>
                </c:pt>
                <c:pt idx="1">
                  <c:v>财政拨款支出</c:v>
                </c:pt>
              </c:strCache>
            </c:strRef>
          </c:cat>
          <c:val>
            <c:numRef>
              <c:f>Sheet1!$B$2:$B$3</c:f>
              <c:numCache>
                <c:formatCode>General</c:formatCode>
                <c:ptCount val="2"/>
                <c:pt idx="0">
                  <c:v>0</c:v>
                </c:pt>
                <c:pt idx="1">
                  <c:v>0</c:v>
                </c:pt>
              </c:numCache>
            </c:numRef>
          </c:val>
        </c:ser>
        <c:ser>
          <c:idx val="1"/>
          <c:order val="1"/>
          <c:tx>
            <c:strRef>
              <c:f>Sheet1!$C$1</c:f>
              <c:strCache>
                <c:ptCount val="1"/>
                <c:pt idx="0">
                  <c:v>2019</c:v>
                </c:pt>
              </c:strCache>
            </c:strRef>
          </c:tx>
          <c:spPr>
            <a:solidFill>
              <a:schemeClr val="accent2"/>
            </a:solidFill>
            <a:ln>
              <a:noFill/>
            </a:ln>
            <a:effectLst/>
          </c:spPr>
          <c:invertIfNegative val="0"/>
          <c:dLbls>
            <c:delete val="1"/>
          </c:dLbls>
          <c:cat>
            <c:strRef>
              <c:f>Sheet1!$A$2:$A$3</c:f>
              <c:strCache>
                <c:ptCount val="2"/>
                <c:pt idx="0">
                  <c:v>财政拨款收入</c:v>
                </c:pt>
                <c:pt idx="1">
                  <c:v>财政拨款支出</c:v>
                </c:pt>
              </c:strCache>
            </c:strRef>
          </c:cat>
          <c:val>
            <c:numRef>
              <c:f>Sheet1!$C$2:$C$3</c:f>
              <c:numCache>
                <c:formatCode>General</c:formatCode>
                <c:ptCount val="2"/>
                <c:pt idx="0">
                  <c:v>71.97</c:v>
                </c:pt>
                <c:pt idx="1">
                  <c:v>71.97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Sheet1!$A$2:$A$3</c:f>
              <c:strCache>
                <c:ptCount val="2"/>
                <c:pt idx="0">
                  <c:v>财政拨款收入</c:v>
                </c:pt>
                <c:pt idx="1">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572938909"/>
        <c:axId val="110603548"/>
      </c:barChart>
      <c:catAx>
        <c:axId val="57293890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110603548"/>
        <c:crosses val="autoZero"/>
        <c:auto val="1"/>
        <c:lblAlgn val="ctr"/>
        <c:lblOffset val="100"/>
        <c:noMultiLvlLbl val="0"/>
      </c:catAx>
      <c:valAx>
        <c:axId val="1106035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57293890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40" b="1" i="0" u="none" strike="noStrike" kern="1200" spc="0" baseline="0">
                <a:solidFill>
                  <a:schemeClr val="tx1">
                    <a:lumMod val="65000"/>
                    <a:lumOff val="35000"/>
                  </a:schemeClr>
                </a:solidFill>
                <a:latin typeface="+mn-lt"/>
                <a:ea typeface="+mn-ea"/>
                <a:cs typeface="+mn-cs"/>
              </a:defRPr>
            </a:pPr>
            <a:r>
              <a:rPr sz="1440" b="1"/>
              <a:t>本年财政拨款支出与上年情况对比图</a:t>
            </a:r>
            <a:endParaRPr sz="1440" b="1"/>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2018</c:v>
                </c:pt>
              </c:strCache>
            </c:strRef>
          </c:tx>
          <c:spPr>
            <a:solidFill>
              <a:schemeClr val="accent1"/>
            </a:solidFill>
            <a:ln>
              <a:noFill/>
            </a:ln>
            <a:effectLst/>
          </c:spPr>
          <c:invertIfNegative val="0"/>
          <c:dLbls>
            <c:delete val="1"/>
          </c:dLbls>
          <c:cat>
            <c:strRef>
              <c:f>Sheet1!$A$2</c:f>
              <c:strCache>
                <c:ptCount val="1"/>
                <c:pt idx="0">
                  <c:v>财政拨款支出</c:v>
                </c:pt>
              </c:strCache>
            </c:strRef>
          </c:cat>
          <c:val>
            <c:numRef>
              <c:f>Sheet1!$B$2</c:f>
              <c:numCache>
                <c:formatCode>General</c:formatCode>
                <c:ptCount val="1"/>
                <c:pt idx="0">
                  <c:v>0</c:v>
                </c:pt>
              </c:numCache>
            </c:numRef>
          </c:val>
        </c:ser>
        <c:ser>
          <c:idx val="1"/>
          <c:order val="1"/>
          <c:tx>
            <c:strRef>
              <c:f>Sheet1!$C$1</c:f>
              <c:strCache>
                <c:ptCount val="1"/>
                <c:pt idx="0">
                  <c:v>2019</c:v>
                </c:pt>
              </c:strCache>
            </c:strRef>
          </c:tx>
          <c:spPr>
            <a:solidFill>
              <a:schemeClr val="accent2"/>
            </a:solidFill>
            <a:ln>
              <a:noFill/>
            </a:ln>
            <a:effectLst/>
          </c:spPr>
          <c:invertIfNegative val="0"/>
          <c:dLbls>
            <c:delete val="1"/>
          </c:dLbls>
          <c:cat>
            <c:strRef>
              <c:f>Sheet1!$A$2</c:f>
              <c:strCache>
                <c:ptCount val="1"/>
                <c:pt idx="0">
                  <c:v>财政拨款支出</c:v>
                </c:pt>
              </c:strCache>
            </c:strRef>
          </c:cat>
          <c:val>
            <c:numRef>
              <c:f>Sheet1!$C$2</c:f>
              <c:numCache>
                <c:formatCode>General</c:formatCode>
                <c:ptCount val="1"/>
                <c:pt idx="0">
                  <c:v>71.97</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c:f>
              <c:strCache>
                <c:ptCount val="1"/>
                <c:pt idx="0">
                  <c:v>财政拨款支出</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7"/>
        <c:axId val="832497014"/>
        <c:axId val="149240181"/>
      </c:barChart>
      <c:catAx>
        <c:axId val="8324970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149240181"/>
        <c:crosses val="autoZero"/>
        <c:auto val="1"/>
        <c:lblAlgn val="ctr"/>
        <c:lblOffset val="100"/>
        <c:noMultiLvlLbl val="0"/>
      </c:catAx>
      <c:valAx>
        <c:axId val="14924018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crossAx val="832497014"/>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2"/>
        <c:delete val="1"/>
      </c:legendEntry>
      <c:layout>
        <c:manualLayout>
          <c:xMode val="edge"/>
          <c:yMode val="edge"/>
          <c:x val="0.4033125"/>
          <c:y val="0.883869321082185"/>
        </c:manualLayout>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sz="1200" b="1"/>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“三公”经费支出情况</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f>Sheet1!$A$2:$A$5</c:f>
              <c:strCache>
                <c:ptCount val="4"/>
                <c:pt idx="0">
                  <c:v>因公出国（境）费用</c:v>
                </c:pt>
                <c:pt idx="1">
                  <c:v>公务用车购置费</c:v>
                </c:pt>
                <c:pt idx="2">
                  <c:v>公务用车运行维护费</c:v>
                </c:pt>
                <c:pt idx="3">
                  <c:v>公务接待费</c:v>
                </c:pt>
              </c:strCache>
            </c:strRef>
          </c:cat>
          <c:val>
            <c:numRef>
              <c:f>Sheet1!$B$2:$B$5</c:f>
              <c:numCache>
                <c:formatCode>General</c:formatCode>
                <c:ptCount val="4"/>
                <c:pt idx="0">
                  <c:v>0</c:v>
                </c:pt>
                <c:pt idx="1">
                  <c:v>0</c:v>
                </c:pt>
                <c:pt idx="2">
                  <c:v>2.89</c:v>
                </c:pt>
                <c:pt idx="3">
                  <c:v>0.03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egendEntry>
        <c:idx val="0"/>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1200" b="1"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sunshine@贝</cp:lastModifiedBy>
  <cp:lastPrinted>2021-05-12T07:25:59Z</cp:lastPrinted>
  <dcterms:modified xsi:type="dcterms:W3CDTF">2021-05-12T07:31:26Z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78695A6EC66E45B6AC987093A8CFCB67</vt:lpwstr>
  </property>
</Properties>
</file>