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sz w:val="44"/>
          <w:szCs w:val="44"/>
          <w:lang w:eastAsia="zh-CN"/>
        </w:rPr>
        <w:t>阎良区文化馆</w:t>
      </w: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pStyle w:val="2"/>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刘小转已审签</w:t>
      </w:r>
      <w:bookmarkStart w:id="4" w:name="_GoBack"/>
      <w:bookmarkEnd w:id="4"/>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pStyle w:val="2"/>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val="en-US" w:eastAsia="zh-CN" w:bidi="ar"/>
        </w:rPr>
        <w:t>1、</w:t>
      </w:r>
      <w:r>
        <w:rPr>
          <w:rFonts w:hint="eastAsia" w:ascii="楷体" w:hAnsi="楷体" w:eastAsia="楷体" w:cs="楷体"/>
          <w:b/>
          <w:bCs/>
          <w:color w:val="000000"/>
          <w:kern w:val="0"/>
          <w:sz w:val="32"/>
          <w:szCs w:val="32"/>
          <w:lang w:eastAsia="zh-CN" w:bidi="ar"/>
        </w:rPr>
        <w:t>组织群众文化活动，繁荣文化事业。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2、文化宣传、文艺活动组织；业余创作团体管理；村级文化室业务指导；文化交流；民间文化艺术遗产收集整理与保护；文物保护管理。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eastAsia="zh-CN" w:bidi="ar"/>
        </w:rPr>
        <w:t>西安市阎良区文化馆无内设机构。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西安市阎良区文化馆（本级）</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718185</wp:posOffset>
            </wp:positionH>
            <wp:positionV relativeFrom="paragraph">
              <wp:posOffset>15875</wp:posOffset>
            </wp:positionV>
            <wp:extent cx="3575685" cy="2162175"/>
            <wp:effectExtent l="5080" t="4445" r="1968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widowControl/>
        <w:jc w:val="both"/>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37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本单位无政府性基金预算拨款</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基金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143.31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2.17</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153.57</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val="0"/>
                <w:bCs/>
                <w:color w:val="000000"/>
                <w:sz w:val="21"/>
                <w:szCs w:val="21"/>
                <w:lang w:val="en-US" w:eastAsia="zh-CN"/>
              </w:rPr>
              <w:t>153.57</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1851"/>
        <w:gridCol w:w="945"/>
        <w:gridCol w:w="930"/>
        <w:gridCol w:w="930"/>
        <w:gridCol w:w="720"/>
        <w:gridCol w:w="795"/>
        <w:gridCol w:w="615"/>
        <w:gridCol w:w="645"/>
        <w:gridCol w:w="509"/>
      </w:tblGrid>
      <w:tr>
        <w:tblPrEx>
          <w:tblCellMar>
            <w:top w:w="15" w:type="dxa"/>
            <w:left w:w="15" w:type="dxa"/>
            <w:bottom w:w="15" w:type="dxa"/>
            <w:right w:w="15" w:type="dxa"/>
          </w:tblCellMar>
        </w:tblPrEx>
        <w:trPr>
          <w:trHeight w:val="439" w:hRule="atLeast"/>
        </w:trPr>
        <w:tc>
          <w:tcPr>
            <w:tcW w:w="27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5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w:t>
            </w:r>
            <w:r>
              <w:rPr>
                <w:rFonts w:hint="eastAsia" w:ascii="宋体" w:hAnsi="宋体" w:eastAsia="宋体" w:cs="宋体"/>
                <w:b/>
                <w:color w:val="000000"/>
                <w:sz w:val="21"/>
                <w:szCs w:val="21"/>
                <w:lang w:eastAsia="zh-CN"/>
              </w:rPr>
              <w:t>教</w:t>
            </w:r>
            <w:r>
              <w:rPr>
                <w:rFonts w:hint="eastAsia" w:ascii="宋体" w:hAnsi="宋体" w:eastAsia="宋体" w:cs="宋体"/>
                <w:b/>
                <w:color w:val="000000"/>
                <w:sz w:val="21"/>
                <w:szCs w:val="21"/>
              </w:rPr>
              <w:t>育收费</w:t>
            </w: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7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文化旅游体育与传媒支出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143.31</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143.31</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文化和旅游</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138.56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138.56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2070109</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群众文化</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5.18</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5.18</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2070111</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文化创作与保护</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16.00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2070199</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其他文化和旅游支出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117.38</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117.38</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体育</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4.75</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2070303</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机关服务</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4.75</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行政事业单位离退休</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2927"/>
        <w:gridCol w:w="885"/>
        <w:gridCol w:w="795"/>
        <w:gridCol w:w="795"/>
        <w:gridCol w:w="900"/>
        <w:gridCol w:w="675"/>
        <w:gridCol w:w="922"/>
      </w:tblGrid>
      <w:tr>
        <w:tblPrEx>
          <w:tblCellMar>
            <w:top w:w="15" w:type="dxa"/>
            <w:left w:w="15" w:type="dxa"/>
            <w:bottom w:w="15" w:type="dxa"/>
            <w:right w:w="15" w:type="dxa"/>
          </w:tblCellMar>
        </w:tblPrEx>
        <w:trPr>
          <w:trHeight w:val="372" w:hRule="atLeast"/>
        </w:trPr>
        <w:tc>
          <w:tcPr>
            <w:tcW w:w="39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9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112.82</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文化旅游体育与传媒支出</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143.31</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102.56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文化和旅游</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138.56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102.56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2070109</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群众文化</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5.18</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5.18</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2070111</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文化创作与保护</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2070199</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其他文化和旅游支出</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117.38</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97.38</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20703</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体育</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2070303</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机关服务</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社会保障和就业支出</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行政事业单位离退休</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机关事业单位基本养老保险缴费支出</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卫生健康支出</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行政事业单位医疗</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事业单位医疗</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6746" w:firstLineChars="32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43"/>
        <w:gridCol w:w="1034"/>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153.57</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93"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93"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143.31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143.31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2.17</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8" w:hRule="atLeast"/>
        </w:trPr>
        <w:tc>
          <w:tcPr>
            <w:tcW w:w="1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righ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153.37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153.37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153.37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153.37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153.37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153.37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color w:val="000000"/>
                <w:sz w:val="21"/>
                <w:szCs w:val="21"/>
                <w:lang w:val="en-US" w:eastAsia="zh-CN"/>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903"/>
        <w:gridCol w:w="1804"/>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153.57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108.42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143.31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102.56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138.56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102.56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2070109</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群众文化</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5.18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2070111</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文化创作与保护</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16.00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2070199</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其他文化和旅游支出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117.38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97.38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97.38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20703</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体育</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4.75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2070303</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机关服务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4.75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8.10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0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18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954"/>
        <w:gridCol w:w="2249"/>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112.82</w:t>
            </w:r>
          </w:p>
        </w:tc>
        <w:tc>
          <w:tcPr>
            <w:tcW w:w="1437"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108.42</w:t>
            </w:r>
          </w:p>
        </w:tc>
        <w:tc>
          <w:tcPr>
            <w:tcW w:w="1363"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4.40</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107.65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107.64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23.80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28.13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28.13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30107</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30202</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30207</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30211</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30217</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30228</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30305</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0.61</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6535" w:firstLineChars="31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西安市阎良区文化馆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w:t>
            </w: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red"/>
          <w:lang w:eastAsia="zh-CN"/>
        </w:rPr>
        <w:drawing>
          <wp:anchor distT="0" distB="0" distL="114300" distR="114300" simplePos="0" relativeHeight="251660288" behindDoc="0" locked="0" layoutInCell="1" allowOverlap="1">
            <wp:simplePos x="0" y="0"/>
            <wp:positionH relativeFrom="column">
              <wp:posOffset>153670</wp:posOffset>
            </wp:positionH>
            <wp:positionV relativeFrom="paragraph">
              <wp:posOffset>187325</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153.57万元</w:t>
      </w:r>
      <w:r>
        <w:rPr>
          <w:rFonts w:hint="eastAsia" w:ascii="仿宋_GB2312" w:hAnsi="仿宋" w:eastAsia="仿宋_GB2312"/>
          <w:sz w:val="32"/>
          <w:szCs w:val="32"/>
          <w:lang w:eastAsia="zh-CN"/>
        </w:rPr>
        <w:t>）</w:t>
      </w:r>
      <w:r>
        <w:rPr>
          <w:rFonts w:hint="eastAsia" w:ascii="仿宋_GB2312" w:hAnsi="仿宋" w:eastAsia="仿宋_GB2312"/>
          <w:sz w:val="32"/>
          <w:szCs w:val="32"/>
        </w:rPr>
        <w:t>总体情况及比上年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200.5万元</w:t>
      </w:r>
      <w:r>
        <w:rPr>
          <w:rFonts w:hint="eastAsia" w:ascii="仿宋_GB2312" w:hAnsi="仿宋" w:eastAsia="仿宋_GB2312"/>
          <w:sz w:val="32"/>
          <w:szCs w:val="32"/>
          <w:lang w:eastAsia="zh-CN"/>
        </w:rPr>
        <w:t>）</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46.93万元</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是图书馆从文化馆内单独设立，财政拨款减少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w:t>
      </w:r>
      <w:r>
        <w:rPr>
          <w:rFonts w:hint="eastAsia" w:ascii="仿宋_GB2312" w:hAnsi="仿宋" w:eastAsia="仿宋_GB2312"/>
          <w:sz w:val="32"/>
          <w:szCs w:val="32"/>
          <w:lang w:eastAsia="zh-CN"/>
        </w:rPr>
        <w:t>度</w:t>
      </w:r>
      <w:r>
        <w:rPr>
          <w:rFonts w:hint="eastAsia" w:ascii="仿宋_GB2312" w:hAnsi="仿宋" w:eastAsia="仿宋_GB2312"/>
          <w:sz w:val="32"/>
          <w:szCs w:val="32"/>
        </w:rPr>
        <w:t>年支出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153.57万元</w:t>
      </w:r>
      <w:r>
        <w:rPr>
          <w:rFonts w:hint="eastAsia" w:ascii="仿宋_GB2312" w:hAnsi="仿宋" w:eastAsia="仿宋_GB2312"/>
          <w:sz w:val="32"/>
          <w:szCs w:val="32"/>
          <w:lang w:eastAsia="zh-CN"/>
        </w:rPr>
        <w:t>）</w:t>
      </w:r>
      <w:r>
        <w:rPr>
          <w:rFonts w:hint="eastAsia" w:ascii="仿宋_GB2312" w:hAnsi="仿宋" w:eastAsia="仿宋_GB2312"/>
          <w:sz w:val="32"/>
          <w:szCs w:val="32"/>
        </w:rPr>
        <w:t>总体情况及比上年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200.5万元</w:t>
      </w:r>
      <w:r>
        <w:rPr>
          <w:rFonts w:hint="eastAsia" w:ascii="仿宋_GB2312" w:hAnsi="仿宋" w:eastAsia="仿宋_GB2312"/>
          <w:sz w:val="32"/>
          <w:szCs w:val="32"/>
          <w:lang w:eastAsia="zh-CN"/>
        </w:rPr>
        <w:t>）</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46.93万元</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是图书馆从文化馆内单独设立，财政拨款减少，支出相应减少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1312" behindDoc="0" locked="0" layoutInCell="1" allowOverlap="1">
            <wp:simplePos x="0" y="0"/>
            <wp:positionH relativeFrom="column">
              <wp:posOffset>219710</wp:posOffset>
            </wp:positionH>
            <wp:positionV relativeFrom="paragraph">
              <wp:posOffset>127635</wp:posOffset>
            </wp:positionV>
            <wp:extent cx="4328160" cy="2724785"/>
            <wp:effectExtent l="4445" t="4445" r="10795"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2336" behindDoc="0" locked="0" layoutInCell="1" allowOverlap="1">
            <wp:simplePos x="0" y="0"/>
            <wp:positionH relativeFrom="column">
              <wp:posOffset>814705</wp:posOffset>
            </wp:positionH>
            <wp:positionV relativeFrom="paragraph">
              <wp:posOffset>102870</wp:posOffset>
            </wp:positionV>
            <wp:extent cx="3498850" cy="2402840"/>
            <wp:effectExtent l="4445" t="4445" r="20955" b="1206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万元，其中：</w:t>
      </w:r>
    </w:p>
    <w:p>
      <w:pPr>
        <w:pStyle w:val="5"/>
        <w:numPr>
          <w:ilvl w:val="0"/>
          <w:numId w:val="2"/>
        </w:numPr>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基本支出</w:t>
      </w:r>
      <w:r>
        <w:rPr>
          <w:rFonts w:hint="eastAsia" w:ascii="仿宋_GB2312" w:hAnsi="宋体" w:eastAsia="仿宋_GB2312" w:cs="仿宋_GB2312"/>
          <w:color w:val="000000"/>
          <w:kern w:val="0"/>
          <w:sz w:val="32"/>
          <w:szCs w:val="32"/>
          <w:lang w:val="en-US" w:eastAsia="zh-CN" w:bidi="ar"/>
        </w:rPr>
        <w:t>112.82</w:t>
      </w:r>
      <w:r>
        <w:rPr>
          <w:rFonts w:hint="eastAsia" w:ascii="仿宋_GB2312" w:eastAsia="仿宋_GB2312"/>
          <w:sz w:val="32"/>
          <w:szCs w:val="32"/>
        </w:rPr>
        <w:t>万元，占总支出的</w:t>
      </w:r>
      <w:r>
        <w:rPr>
          <w:rFonts w:hint="eastAsia" w:ascii="仿宋_GB2312" w:hAnsi="宋体" w:eastAsia="仿宋_GB2312" w:cs="仿宋_GB2312"/>
          <w:color w:val="000000"/>
          <w:kern w:val="0"/>
          <w:sz w:val="32"/>
          <w:szCs w:val="32"/>
          <w:lang w:val="en-US" w:eastAsia="zh-CN" w:bidi="ar"/>
        </w:rPr>
        <w:t>73.5</w:t>
      </w:r>
      <w:r>
        <w:rPr>
          <w:rFonts w:ascii="仿宋_GB2312" w:hAnsi="宋体" w:eastAsia="仿宋_GB2312" w:cs="仿宋_GB2312"/>
          <w:color w:val="000000"/>
          <w:kern w:val="0"/>
          <w:sz w:val="32"/>
          <w:szCs w:val="32"/>
          <w:lang w:bidi="ar"/>
        </w:rPr>
        <w:t>%</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107.65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公用经费</w:t>
      </w:r>
      <w:r>
        <w:rPr>
          <w:rFonts w:hint="eastAsia" w:ascii="仿宋_GB2312" w:eastAsia="仿宋_GB2312"/>
          <w:sz w:val="32"/>
          <w:szCs w:val="32"/>
          <w:lang w:val="en-US" w:eastAsia="zh-CN"/>
        </w:rPr>
        <w:t>4.39</w:t>
      </w:r>
      <w:r>
        <w:rPr>
          <w:rFonts w:hint="eastAsia" w:ascii="仿宋_GB2312" w:eastAsia="仿宋_GB2312"/>
          <w:sz w:val="32"/>
          <w:szCs w:val="32"/>
        </w:rPr>
        <w:t>万元</w:t>
      </w:r>
      <w:r>
        <w:rPr>
          <w:rFonts w:hint="eastAsia" w:ascii="仿宋_GB2312" w:eastAsia="仿宋_GB2312"/>
          <w:sz w:val="32"/>
          <w:szCs w:val="32"/>
          <w:lang w:eastAsia="zh-CN"/>
        </w:rPr>
        <w:t>和对个人和家庭的补助</w:t>
      </w:r>
      <w:r>
        <w:rPr>
          <w:rFonts w:hint="eastAsia" w:ascii="仿宋_GB2312" w:eastAsia="仿宋_GB2312"/>
          <w:sz w:val="32"/>
          <w:szCs w:val="32"/>
          <w:lang w:val="en-US" w:eastAsia="zh-CN"/>
        </w:rPr>
        <w:t>0.78万元</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hAnsi="宋体" w:eastAsia="仿宋_GB2312" w:cs="仿宋_GB2312"/>
          <w:color w:val="000000"/>
          <w:kern w:val="0"/>
          <w:sz w:val="32"/>
          <w:szCs w:val="32"/>
          <w:lang w:val="en-US" w:eastAsia="zh-CN" w:bidi="ar"/>
        </w:rPr>
        <w:t>40.75</w:t>
      </w:r>
      <w:r>
        <w:rPr>
          <w:rFonts w:hint="eastAsia" w:ascii="仿宋_GB2312" w:eastAsia="仿宋_GB2312"/>
          <w:sz w:val="32"/>
          <w:szCs w:val="32"/>
        </w:rPr>
        <w:t>万元，占总支出的</w:t>
      </w:r>
      <w:r>
        <w:rPr>
          <w:rFonts w:hint="eastAsia" w:ascii="仿宋_GB2312" w:hAnsi="宋体" w:eastAsia="仿宋_GB2312" w:cs="仿宋_GB2312"/>
          <w:color w:val="000000"/>
          <w:kern w:val="0"/>
          <w:sz w:val="32"/>
          <w:szCs w:val="32"/>
          <w:lang w:val="en-US" w:eastAsia="zh-CN" w:bidi="ar"/>
        </w:rPr>
        <w:t>26.5</w:t>
      </w:r>
      <w:r>
        <w:rPr>
          <w:rFonts w:hint="eastAsia" w:ascii="仿宋_GB2312" w:eastAsia="仿宋_GB2312"/>
          <w:sz w:val="32"/>
          <w:szCs w:val="32"/>
        </w:rPr>
        <w:t>%，是为完成特定的工作任务或事业发展目标，在基本支出之外发生的支出。主要</w:t>
      </w:r>
      <w:r>
        <w:rPr>
          <w:rFonts w:hint="eastAsia" w:ascii="仿宋_GB2312" w:eastAsia="仿宋_GB2312"/>
          <w:sz w:val="32"/>
          <w:szCs w:val="32"/>
          <w:lang w:val="en-US" w:eastAsia="zh-CN"/>
        </w:rPr>
        <w:t>包括业务经费</w:t>
      </w:r>
      <w:r>
        <w:rPr>
          <w:rFonts w:hint="eastAsia" w:ascii="仿宋_GB2312" w:eastAsia="仿宋_GB2312"/>
          <w:sz w:val="32"/>
          <w:szCs w:val="32"/>
        </w:rPr>
        <w:t>项目</w:t>
      </w:r>
      <w:r>
        <w:rPr>
          <w:rFonts w:hint="eastAsia" w:ascii="仿宋_GB2312" w:eastAsia="仿宋_GB2312"/>
          <w:sz w:val="32"/>
          <w:szCs w:val="32"/>
          <w:lang w:val="en-US" w:eastAsia="zh-CN"/>
        </w:rPr>
        <w:t>支出4.75</w:t>
      </w:r>
      <w:r>
        <w:rPr>
          <w:rFonts w:hint="eastAsia" w:ascii="仿宋_GB2312" w:eastAsia="仿宋_GB2312"/>
          <w:sz w:val="32"/>
          <w:szCs w:val="32"/>
        </w:rPr>
        <w:t>万元</w:t>
      </w:r>
      <w:r>
        <w:rPr>
          <w:rFonts w:hint="eastAsia" w:ascii="仿宋_GB2312" w:eastAsia="仿宋_GB2312"/>
          <w:sz w:val="32"/>
          <w:szCs w:val="32"/>
          <w:lang w:eastAsia="zh-CN"/>
        </w:rPr>
        <w:t>、文化馆（站）免费开放补助资金</w:t>
      </w:r>
      <w:r>
        <w:rPr>
          <w:rFonts w:hint="eastAsia" w:ascii="仿宋_GB2312" w:eastAsia="仿宋_GB2312"/>
          <w:sz w:val="32"/>
          <w:szCs w:val="32"/>
          <w:lang w:val="en-US" w:eastAsia="zh-CN"/>
        </w:rPr>
        <w:t>支出20万元、文化创作与保护项目支出16万元。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drawing>
          <wp:anchor distT="0" distB="0" distL="114300" distR="114300" simplePos="0" relativeHeight="251663360" behindDoc="0" locked="0" layoutInCell="1" allowOverlap="1">
            <wp:simplePos x="0" y="0"/>
            <wp:positionH relativeFrom="column">
              <wp:posOffset>144145</wp:posOffset>
            </wp:positionH>
            <wp:positionV relativeFrom="paragraph">
              <wp:posOffset>153035</wp:posOffset>
            </wp:positionV>
            <wp:extent cx="5080000" cy="3153410"/>
            <wp:effectExtent l="4445" t="4445" r="20955"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153.57万元</w:t>
      </w:r>
      <w:r>
        <w:rPr>
          <w:rFonts w:hint="eastAsia" w:ascii="仿宋_GB2312" w:hAnsi="仿宋" w:eastAsia="仿宋_GB2312"/>
          <w:sz w:val="32"/>
          <w:szCs w:val="32"/>
          <w:lang w:eastAsia="zh-CN"/>
        </w:rPr>
        <w:t>）</w:t>
      </w:r>
      <w:r>
        <w:rPr>
          <w:rFonts w:hint="eastAsia" w:ascii="仿宋_GB2312" w:hAnsi="仿宋" w:eastAsia="仿宋_GB2312"/>
          <w:sz w:val="32"/>
          <w:szCs w:val="32"/>
        </w:rPr>
        <w:t>总体情况及比上年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200.5万元</w:t>
      </w:r>
      <w:r>
        <w:rPr>
          <w:rFonts w:hint="eastAsia" w:ascii="仿宋_GB2312" w:hAnsi="仿宋" w:eastAsia="仿宋_GB2312"/>
          <w:sz w:val="32"/>
          <w:szCs w:val="32"/>
          <w:lang w:eastAsia="zh-CN"/>
        </w:rPr>
        <w:t>）</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46.93万元</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是图书馆从文化馆内单独设立，财政拨款减少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153.57万元</w:t>
      </w:r>
      <w:r>
        <w:rPr>
          <w:rFonts w:hint="eastAsia" w:ascii="仿宋_GB2312" w:hAnsi="仿宋" w:eastAsia="仿宋_GB2312"/>
          <w:sz w:val="32"/>
          <w:szCs w:val="32"/>
          <w:lang w:eastAsia="zh-CN"/>
        </w:rPr>
        <w:t>）</w:t>
      </w:r>
      <w:r>
        <w:rPr>
          <w:rFonts w:hint="eastAsia" w:ascii="仿宋_GB2312" w:hAnsi="仿宋" w:eastAsia="仿宋_GB2312"/>
          <w:sz w:val="32"/>
          <w:szCs w:val="32"/>
        </w:rPr>
        <w:t>总体情况及比上年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200.5万元</w:t>
      </w:r>
      <w:r>
        <w:rPr>
          <w:rFonts w:hint="eastAsia" w:ascii="仿宋_GB2312" w:hAnsi="仿宋" w:eastAsia="仿宋_GB2312"/>
          <w:sz w:val="32"/>
          <w:szCs w:val="32"/>
          <w:lang w:eastAsia="zh-CN"/>
        </w:rPr>
        <w:t>）</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46.93万元</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是图书馆从文化馆内单独设立，财政拨款减少，支出相应减少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red"/>
          <w:lang w:eastAsia="zh-CN"/>
        </w:rPr>
        <w:drawing>
          <wp:anchor distT="0" distB="0" distL="114300" distR="114300" simplePos="0" relativeHeight="251664384" behindDoc="0" locked="0" layoutInCell="1" allowOverlap="1">
            <wp:simplePos x="0" y="0"/>
            <wp:positionH relativeFrom="column">
              <wp:posOffset>911860</wp:posOffset>
            </wp:positionH>
            <wp:positionV relativeFrom="paragraph">
              <wp:posOffset>17780</wp:posOffset>
            </wp:positionV>
            <wp:extent cx="3766820" cy="2067560"/>
            <wp:effectExtent l="4445" t="5080" r="19685"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red"/>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46.93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30.6</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图书馆单独设立，财政拨款收入减少，支出相应减少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5"/>
        <w:shd w:val="clear" w:color="auto" w:fill="FFFFFF"/>
        <w:spacing w:before="0" w:beforeAutospacing="0" w:after="0" w:afterAutospacing="0" w:line="55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w:t>
      </w:r>
      <w:r>
        <w:rPr>
          <w:rFonts w:hint="eastAsia" w:ascii="仿宋_GB2312" w:eastAsia="仿宋_GB2312" w:cs="仿宋_GB2312"/>
          <w:color w:val="000000"/>
          <w:kern w:val="0"/>
          <w:sz w:val="32"/>
          <w:szCs w:val="32"/>
          <w:lang w:val="en-US" w:eastAsia="zh-CN" w:bidi="ar"/>
        </w:rPr>
        <w:t>78.93</w:t>
      </w:r>
      <w:r>
        <w:rPr>
          <w:rFonts w:ascii="仿宋_GB2312" w:hAnsi="宋体" w:eastAsia="仿宋_GB2312" w:cs="仿宋_GB2312"/>
          <w:color w:val="000000"/>
          <w:kern w:val="0"/>
          <w:sz w:val="32"/>
          <w:szCs w:val="32"/>
          <w:lang w:bidi="ar"/>
        </w:rPr>
        <w:t>万元，支出决算为</w:t>
      </w:r>
      <w:r>
        <w:rPr>
          <w:rFonts w:hint="eastAsia" w:ascii="仿宋_GB2312"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w:t>
      </w:r>
      <w:r>
        <w:rPr>
          <w:rFonts w:hint="eastAsia" w:ascii="仿宋_GB2312" w:eastAsia="仿宋_GB2312" w:cs="仿宋_GB2312"/>
          <w:color w:val="000000"/>
          <w:kern w:val="0"/>
          <w:sz w:val="32"/>
          <w:szCs w:val="32"/>
          <w:lang w:val="en-US" w:eastAsia="zh-CN" w:bidi="ar"/>
        </w:rPr>
        <w:t>94</w:t>
      </w:r>
      <w:r>
        <w:rPr>
          <w:rFonts w:hint="eastAsia" w:ascii="仿宋_GB2312" w:hAnsi="宋体" w:eastAsia="仿宋_GB2312" w:cs="仿宋_GB2312"/>
          <w:color w:val="000000"/>
          <w:kern w:val="0"/>
          <w:sz w:val="32"/>
          <w:szCs w:val="32"/>
          <w:lang w:val="en-US" w:eastAsia="zh-CN" w:bidi="ar"/>
        </w:rPr>
        <w:t>.5</w:t>
      </w:r>
      <w:r>
        <w:rPr>
          <w:rFonts w:hint="eastAsia" w:ascii="仿宋_GB2312"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val="en-US" w:eastAsia="zh-CN" w:bidi="ar"/>
        </w:rPr>
        <w:t>群众文化</w:t>
      </w:r>
      <w:r>
        <w:rPr>
          <w:rFonts w:hint="eastAsia" w:ascii="仿宋_GB2312" w:hAnsi="宋体" w:eastAsia="仿宋_GB2312" w:cs="仿宋_GB2312"/>
          <w:b w:val="0"/>
          <w:bCs/>
          <w:color w:val="000000"/>
          <w:kern w:val="0"/>
          <w:sz w:val="32"/>
          <w:szCs w:val="32"/>
          <w:lang w:val="en-US" w:eastAsia="zh-CN" w:bidi="ar"/>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73.93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5.18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2.</w:t>
      </w:r>
      <w:r>
        <w:rPr>
          <w:rFonts w:hint="eastAsia" w:ascii="仿宋" w:hAnsi="仿宋" w:eastAsia="仿宋"/>
          <w:b/>
          <w:bCs/>
          <w:color w:val="000000"/>
          <w:sz w:val="32"/>
          <w:szCs w:val="32"/>
          <w:lang w:val="en-US" w:eastAsia="zh-CN"/>
        </w:rPr>
        <w:t>文化创作与保护</w:t>
      </w:r>
      <w:r>
        <w:rPr>
          <w:rFonts w:hint="eastAsia" w:ascii="仿宋" w:hAnsi="仿宋" w:eastAsia="仿宋"/>
          <w:color w:val="000000"/>
          <w:sz w:val="32"/>
          <w:szCs w:val="32"/>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16</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上级财政补助资金</w:t>
      </w:r>
      <w:r>
        <w:rPr>
          <w:rFonts w:hint="eastAsia" w:ascii="仿宋_GB2312" w:hAnsi="宋体" w:eastAsia="仿宋_GB2312" w:cs="仿宋_GB2312"/>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 w:hAnsi="仿宋" w:eastAsia="仿宋"/>
          <w:color w:val="000000"/>
          <w:sz w:val="32"/>
          <w:szCs w:val="32"/>
          <w:lang w:val="en-US" w:eastAsia="zh-CN"/>
        </w:rPr>
        <w:t>3.</w:t>
      </w:r>
      <w:r>
        <w:rPr>
          <w:rFonts w:hint="eastAsia" w:ascii="仿宋" w:hAnsi="仿宋" w:eastAsia="仿宋"/>
          <w:b/>
          <w:bCs/>
          <w:color w:val="000000"/>
          <w:sz w:val="32"/>
          <w:szCs w:val="32"/>
          <w:lang w:val="en-US" w:eastAsia="zh-CN"/>
        </w:rPr>
        <w:t>其他文化和旅游支出</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117.38</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lang w:val="en-US" w:eastAsia="zh-CN"/>
        </w:rPr>
        <w:t>机关服务</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4.75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小</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政府部门经费压缩财政拨款减少</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5.</w:t>
      </w:r>
      <w:r>
        <w:rPr>
          <w:rFonts w:hint="eastAsia" w:ascii="仿宋" w:hAnsi="仿宋" w:eastAsia="仿宋"/>
          <w:b/>
          <w:bCs/>
          <w:color w:val="000000"/>
          <w:sz w:val="32"/>
          <w:szCs w:val="32"/>
          <w:lang w:val="en-US" w:eastAsia="zh-CN"/>
        </w:rPr>
        <w:t>事业单位基本养老</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8.10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社保费由预算单位缴费。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 w:eastAsia="仿宋_GB2312"/>
          <w:sz w:val="32"/>
          <w:szCs w:val="32"/>
        </w:rPr>
      </w:pPr>
      <w:r>
        <w:rPr>
          <w:rFonts w:hint="eastAsia" w:ascii="仿宋" w:hAnsi="仿宋" w:eastAsia="仿宋"/>
          <w:b/>
          <w:bCs/>
          <w:color w:val="000000"/>
          <w:sz w:val="32"/>
          <w:szCs w:val="32"/>
          <w:lang w:val="en-US" w:eastAsia="zh-CN"/>
        </w:rPr>
        <w:t>事业单位医疗</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2.17</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医疗保险费由预算单位缴费。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112.82</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107.65</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w:t>
      </w:r>
      <w:r>
        <w:rPr>
          <w:rFonts w:ascii="仿宋_GB2312" w:hAnsi="仿宋_GB2312" w:eastAsia="仿宋_GB2312" w:cs="仿宋_GB2312"/>
          <w:color w:val="000000"/>
          <w:kern w:val="0"/>
          <w:sz w:val="31"/>
          <w:szCs w:val="31"/>
          <w:lang w:bidi="ar"/>
        </w:rPr>
        <w:t>公用经费支出</w:t>
      </w:r>
      <w:r>
        <w:rPr>
          <w:rFonts w:hint="eastAsia" w:ascii="仿宋_GB2312" w:hAnsi="仿宋_GB2312" w:eastAsia="仿宋_GB2312" w:cs="仿宋_GB2312"/>
          <w:color w:val="000000"/>
          <w:kern w:val="0"/>
          <w:sz w:val="31"/>
          <w:szCs w:val="31"/>
          <w:lang w:val="en-US" w:eastAsia="zh-CN" w:bidi="ar"/>
        </w:rPr>
        <w:t>4.39</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和对个人和家庭的补助</w:t>
      </w:r>
      <w:r>
        <w:rPr>
          <w:rFonts w:hint="eastAsia" w:ascii="仿宋_GB2312" w:hAnsi="仿宋_GB2312" w:eastAsia="仿宋_GB2312" w:cs="仿宋_GB2312"/>
          <w:color w:val="000000"/>
          <w:kern w:val="0"/>
          <w:sz w:val="31"/>
          <w:szCs w:val="31"/>
          <w:lang w:val="en-US" w:eastAsia="zh-CN" w:bidi="ar"/>
        </w:rPr>
        <w:t>0.78万元</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107.65</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23.80</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津贴补贴28.13万元、绩效工资32万元、机关事业单位基本养老保险11.45万元、职业年金1.68万元、职工基本医疗保险缴费2.65万元、公积金7.94万元、。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4.39</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办公费1.98万元、印刷费0.36万元、邮电费0.12万元、差旅费0.45万元、公务接待费0.20万元、工会经费1.28万元。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对个人和家庭的补助</w:t>
      </w:r>
      <w:r>
        <w:rPr>
          <w:rFonts w:hint="eastAsia" w:ascii="仿宋_GB2312" w:hAnsi="宋体" w:eastAsia="仿宋_GB2312" w:cs="仿宋_GB2312"/>
          <w:color w:val="000000"/>
          <w:kern w:val="0"/>
          <w:sz w:val="32"/>
          <w:szCs w:val="32"/>
          <w:lang w:val="en-US" w:eastAsia="zh-CN" w:bidi="ar"/>
        </w:rPr>
        <w:t>0.78万元，主要包括生活补助0.78万元。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3.458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5.78</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3.258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2019年公务用车购置及运行维护费2.85万元划拨至西安市阎良区图书馆账户，</w:t>
      </w:r>
      <w:r>
        <w:rPr>
          <w:rFonts w:hint="eastAsia" w:ascii="仿宋_GB2312" w:eastAsia="仿宋_GB2312"/>
          <w:color w:val="000000"/>
          <w:sz w:val="32"/>
          <w:szCs w:val="32"/>
          <w:lang w:val="en-US" w:eastAsia="zh-CN"/>
        </w:rPr>
        <w:t>公务接待经费减少。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不涉及。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无购置支出。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事业单位实行车改，无公务用车</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0.61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32.79</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0.41万元，</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lang w:val="en-US" w:eastAsia="zh-CN"/>
        </w:rPr>
        <w:t>本着厉行节约原则公务接待减少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drawing>
          <wp:anchor distT="0" distB="0" distL="114300" distR="114300" simplePos="0" relativeHeight="251665408" behindDoc="0" locked="0" layoutInCell="1" allowOverlap="1">
            <wp:simplePos x="0" y="0"/>
            <wp:positionH relativeFrom="column">
              <wp:posOffset>191135</wp:posOffset>
            </wp:positionH>
            <wp:positionV relativeFrom="paragraph">
              <wp:posOffset>114300</wp:posOffset>
            </wp:positionV>
            <wp:extent cx="4918710" cy="2515870"/>
            <wp:effectExtent l="4445" t="4445" r="10795" b="1333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 w:hAnsi="仿宋" w:eastAsia="仿宋" w:cs="华文仿宋"/>
          <w:szCs w:val="32"/>
          <w:lang w:val="en-US" w:eastAsia="zh-CN"/>
        </w:rPr>
        <w:t>无人员参加培训</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321" w:firstLineChars="1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2019年无会议事项。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仿宋_GB2312"/>
          <w:color w:val="000000"/>
          <w:kern w:val="0"/>
          <w:sz w:val="32"/>
          <w:szCs w:val="32"/>
          <w:lang w:val="en-US" w:eastAsia="zh-CN" w:bidi="ar"/>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4.75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95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153.57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业务费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4.75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主要产出和效果：通过项目实施</w:t>
      </w:r>
      <w:r>
        <w:rPr>
          <w:rFonts w:hint="eastAsia" w:ascii="仿宋_GB2312" w:hAnsi="仿宋_GB2312" w:eastAsia="仿宋_GB2312" w:cs="仿宋_GB2312"/>
          <w:color w:val="000000"/>
          <w:kern w:val="0"/>
          <w:sz w:val="31"/>
          <w:szCs w:val="31"/>
          <w:lang w:eastAsia="zh-CN" w:bidi="ar"/>
        </w:rPr>
        <w:t>丰富了全区群众的精神文化生活活动，</w:t>
      </w:r>
      <w:r>
        <w:rPr>
          <w:rFonts w:hint="eastAsia" w:ascii="仿宋_GB2312" w:hAnsi="仿宋_GB2312" w:eastAsia="仿宋_GB2312" w:cs="仿宋_GB2312"/>
          <w:color w:val="000000"/>
          <w:kern w:val="0"/>
          <w:sz w:val="31"/>
          <w:szCs w:val="31"/>
          <w:lang w:bidi="ar"/>
        </w:rPr>
        <w:t>保障</w:t>
      </w:r>
      <w:r>
        <w:rPr>
          <w:rFonts w:hint="eastAsia" w:ascii="仿宋_GB2312" w:hAnsi="仿宋_GB2312" w:eastAsia="仿宋_GB2312" w:cs="仿宋_GB2312"/>
          <w:color w:val="000000"/>
          <w:kern w:val="0"/>
          <w:sz w:val="31"/>
          <w:szCs w:val="31"/>
          <w:lang w:eastAsia="zh-CN" w:bidi="ar"/>
        </w:rPr>
        <w:t>文化事业的</w:t>
      </w:r>
      <w:r>
        <w:rPr>
          <w:rFonts w:hint="eastAsia" w:ascii="仿宋_GB2312" w:hAnsi="仿宋_GB2312" w:eastAsia="仿宋_GB2312" w:cs="仿宋_GB2312"/>
          <w:color w:val="000000"/>
          <w:kern w:val="0"/>
          <w:sz w:val="31"/>
          <w:szCs w:val="31"/>
          <w:lang w:bidi="ar"/>
        </w:rPr>
        <w:t>可持续发展。</w:t>
      </w:r>
      <w:r>
        <w:rPr>
          <w:rFonts w:hint="eastAsia" w:ascii="仿宋_GB2312" w:hAnsi="仿宋_GB2312" w:eastAsia="仿宋_GB2312" w:cs="仿宋_GB2312"/>
          <w:color w:val="000000"/>
          <w:kern w:val="0"/>
          <w:sz w:val="31"/>
          <w:szCs w:val="31"/>
          <w:lang w:eastAsia="zh-CN" w:bidi="ar"/>
        </w:rPr>
        <w:t>同时</w:t>
      </w:r>
      <w:r>
        <w:rPr>
          <w:rFonts w:hint="eastAsia" w:ascii="仿宋_GB2312" w:hAnsi="仿宋_GB2312" w:eastAsia="仿宋_GB2312" w:cs="仿宋_GB2312"/>
          <w:color w:val="000000"/>
          <w:kern w:val="0"/>
          <w:sz w:val="31"/>
          <w:szCs w:val="31"/>
          <w:lang w:bidi="ar"/>
        </w:rPr>
        <w:t>建立了群众服务评价反馈等机制，提高了</w:t>
      </w:r>
      <w:r>
        <w:rPr>
          <w:rFonts w:hint="eastAsia" w:ascii="仿宋_GB2312" w:hAnsi="仿宋_GB2312" w:eastAsia="仿宋_GB2312" w:cs="仿宋_GB2312"/>
          <w:color w:val="000000"/>
          <w:kern w:val="0"/>
          <w:sz w:val="31"/>
          <w:szCs w:val="31"/>
          <w:lang w:eastAsia="zh-CN" w:bidi="ar"/>
        </w:rPr>
        <w:t>公共</w:t>
      </w:r>
      <w:r>
        <w:rPr>
          <w:rFonts w:hint="eastAsia" w:ascii="仿宋_GB2312" w:hAnsi="仿宋_GB2312" w:eastAsia="仿宋_GB2312" w:cs="仿宋_GB2312"/>
          <w:color w:val="000000"/>
          <w:kern w:val="0"/>
          <w:sz w:val="31"/>
          <w:szCs w:val="31"/>
          <w:lang w:bidi="ar"/>
        </w:rPr>
        <w:t>文化</w:t>
      </w:r>
      <w:r>
        <w:rPr>
          <w:rFonts w:hint="eastAsia" w:ascii="仿宋_GB2312" w:hAnsi="仿宋_GB2312" w:eastAsia="仿宋_GB2312" w:cs="仿宋_GB2312"/>
          <w:color w:val="000000"/>
          <w:kern w:val="0"/>
          <w:sz w:val="31"/>
          <w:szCs w:val="31"/>
          <w:lang w:eastAsia="zh-CN" w:bidi="ar"/>
        </w:rPr>
        <w:t>服务</w:t>
      </w:r>
      <w:r>
        <w:rPr>
          <w:rFonts w:hint="eastAsia" w:ascii="仿宋_GB2312" w:hAnsi="仿宋_GB2312" w:eastAsia="仿宋_GB2312" w:cs="仿宋_GB2312"/>
          <w:color w:val="000000"/>
          <w:kern w:val="0"/>
          <w:sz w:val="31"/>
          <w:szCs w:val="31"/>
          <w:lang w:bidi="ar"/>
        </w:rPr>
        <w:t>项目与群众需求的契合度，群众满意度、支持度都得到提升。</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bidi="ar"/>
        </w:rPr>
      </w:pPr>
      <w:r>
        <w:rPr>
          <w:rFonts w:ascii="仿宋_GB2312" w:hAnsi="仿宋_GB2312" w:eastAsia="仿宋_GB2312" w:cs="仿宋_GB2312"/>
          <w:color w:val="000000"/>
          <w:kern w:val="0"/>
          <w:sz w:val="31"/>
          <w:szCs w:val="31"/>
          <w:lang w:bidi="ar"/>
        </w:rPr>
        <w:t>发现的问题及原因：</w:t>
      </w:r>
      <w:r>
        <w:rPr>
          <w:rFonts w:hint="eastAsia" w:ascii="仿宋" w:hAnsi="仿宋" w:eastAsia="仿宋" w:cs="仿宋"/>
          <w:color w:val="000000"/>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eastAsia="仿宋_GB2312"/>
          <w:color w:val="00000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w:t>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w:t>
      </w:r>
      <w:r>
        <w:rPr>
          <w:rFonts w:hint="eastAsia" w:ascii="仿宋_GB2312" w:eastAsia="仿宋_GB2312" w:cs="仿宋_GB2312"/>
          <w:color w:val="000000"/>
          <w:kern w:val="0"/>
          <w:sz w:val="32"/>
          <w:szCs w:val="32"/>
          <w:lang w:val="en-US" w:eastAsia="zh-CN" w:bidi="ar"/>
        </w:rPr>
        <w:t>78.93</w:t>
      </w:r>
      <w:r>
        <w:rPr>
          <w:rFonts w:ascii="仿宋_GB2312" w:hAnsi="宋体" w:eastAsia="仿宋_GB2312" w:cs="仿宋_GB2312"/>
          <w:color w:val="000000"/>
          <w:kern w:val="0"/>
          <w:sz w:val="32"/>
          <w:szCs w:val="32"/>
          <w:lang w:bidi="ar"/>
        </w:rPr>
        <w:t>万元，支出决算为</w:t>
      </w:r>
      <w:r>
        <w:rPr>
          <w:rFonts w:hint="eastAsia" w:ascii="仿宋_GB2312" w:eastAsia="仿宋_GB2312" w:cs="仿宋_GB2312"/>
          <w:color w:val="000000"/>
          <w:kern w:val="0"/>
          <w:sz w:val="32"/>
          <w:szCs w:val="32"/>
          <w:lang w:val="en-US" w:eastAsia="zh-CN" w:bidi="ar"/>
        </w:rPr>
        <w:t>153.57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w:t>
      </w:r>
      <w:r>
        <w:rPr>
          <w:rFonts w:hint="eastAsia" w:ascii="仿宋_GB2312" w:eastAsia="仿宋_GB2312" w:cs="仿宋_GB2312"/>
          <w:color w:val="000000"/>
          <w:kern w:val="0"/>
          <w:sz w:val="32"/>
          <w:szCs w:val="32"/>
          <w:lang w:val="en-US" w:eastAsia="zh-CN" w:bidi="ar"/>
        </w:rPr>
        <w:t>94</w:t>
      </w:r>
      <w:r>
        <w:rPr>
          <w:rFonts w:hint="eastAsia" w:ascii="仿宋_GB2312" w:hAnsi="宋体" w:eastAsia="仿宋_GB2312" w:cs="仿宋_GB2312"/>
          <w:color w:val="000000"/>
          <w:kern w:val="0"/>
          <w:sz w:val="32"/>
          <w:szCs w:val="32"/>
          <w:lang w:val="en-US" w:eastAsia="zh-CN" w:bidi="ar"/>
        </w:rPr>
        <w:t>.5</w:t>
      </w:r>
      <w:r>
        <w:rPr>
          <w:rFonts w:hint="eastAsia" w:ascii="仿宋_GB2312"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val="en-US" w:eastAsia="zh-CN" w:bidi="ar"/>
        </w:rPr>
        <w:t>1、通过各种文化服务活动，</w:t>
      </w:r>
      <w:r>
        <w:rPr>
          <w:rFonts w:hint="eastAsia" w:ascii="仿宋_GB2312" w:hAnsi="仿宋_GB2312" w:eastAsia="仿宋_GB2312" w:cs="仿宋_GB2312"/>
          <w:color w:val="000000"/>
          <w:kern w:val="0"/>
          <w:sz w:val="31"/>
          <w:szCs w:val="31"/>
          <w:lang w:bidi="ar"/>
        </w:rPr>
        <w:t>不断丰富公共文化服务产品，创新更加快捷的文化服务方式，</w:t>
      </w:r>
      <w:r>
        <w:rPr>
          <w:rFonts w:hint="eastAsia" w:ascii="仿宋_GB2312" w:hAnsi="仿宋_GB2312" w:eastAsia="仿宋_GB2312" w:cs="仿宋_GB2312"/>
          <w:color w:val="000000"/>
          <w:kern w:val="0"/>
          <w:sz w:val="31"/>
          <w:szCs w:val="31"/>
          <w:lang w:eastAsia="zh-CN" w:bidi="ar"/>
        </w:rPr>
        <w:t>开展好内容丰富、形式多样的文化艺术活动</w:t>
      </w:r>
      <w:r>
        <w:rPr>
          <w:rFonts w:hint="eastAsia" w:ascii="仿宋_GB2312" w:hAnsi="仿宋_GB2312" w:eastAsia="仿宋_GB2312" w:cs="仿宋_GB2312"/>
          <w:color w:val="000000"/>
          <w:kern w:val="0"/>
          <w:sz w:val="31"/>
          <w:szCs w:val="31"/>
          <w:lang w:bidi="ar"/>
        </w:rPr>
        <w:t>，群众文化获得感日益增强。</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w:t>
      </w:r>
      <w:r>
        <w:rPr>
          <w:rFonts w:hint="eastAsia" w:ascii="仿宋_GB2312" w:hAnsi="仿宋_GB2312" w:eastAsia="仿宋_GB2312" w:cs="仿宋_GB2312"/>
          <w:color w:val="000000"/>
          <w:kern w:val="0"/>
          <w:sz w:val="31"/>
          <w:szCs w:val="31"/>
          <w:lang w:bidi="ar"/>
        </w:rPr>
        <w:t>真正兑现了“文化产品送到身边，文化活动人人参与，文化成果人人共享”的</w:t>
      </w:r>
      <w:r>
        <w:rPr>
          <w:rFonts w:hint="eastAsia" w:ascii="仿宋_GB2312" w:hAnsi="仿宋_GB2312" w:eastAsia="仿宋_GB2312" w:cs="仿宋_GB2312"/>
          <w:color w:val="000000"/>
          <w:kern w:val="0"/>
          <w:sz w:val="31"/>
          <w:szCs w:val="31"/>
          <w:lang w:eastAsia="zh-CN" w:bidi="ar"/>
        </w:rPr>
        <w:t>文化艺术节活动宗旨</w:t>
      </w:r>
      <w:r>
        <w:rPr>
          <w:rFonts w:hint="eastAsia" w:ascii="仿宋_GB2312" w:hAnsi="仿宋_GB2312" w:eastAsia="仿宋_GB2312" w:cs="仿宋_GB2312"/>
          <w:color w:val="000000"/>
          <w:kern w:val="0"/>
          <w:sz w:val="31"/>
          <w:szCs w:val="31"/>
          <w:lang w:bidi="ar"/>
        </w:rPr>
        <w:t>。同时，建立了群众服务评价反馈等机制，提高了</w:t>
      </w:r>
      <w:r>
        <w:rPr>
          <w:rFonts w:hint="eastAsia" w:ascii="仿宋_GB2312" w:hAnsi="仿宋_GB2312" w:eastAsia="仿宋_GB2312" w:cs="仿宋_GB2312"/>
          <w:color w:val="000000"/>
          <w:kern w:val="0"/>
          <w:sz w:val="31"/>
          <w:szCs w:val="31"/>
          <w:lang w:eastAsia="zh-CN" w:bidi="ar"/>
        </w:rPr>
        <w:t>公共</w:t>
      </w:r>
      <w:r>
        <w:rPr>
          <w:rFonts w:hint="eastAsia" w:ascii="仿宋_GB2312" w:hAnsi="仿宋_GB2312" w:eastAsia="仿宋_GB2312" w:cs="仿宋_GB2312"/>
          <w:color w:val="000000"/>
          <w:kern w:val="0"/>
          <w:sz w:val="31"/>
          <w:szCs w:val="31"/>
          <w:lang w:bidi="ar"/>
        </w:rPr>
        <w:t>文化</w:t>
      </w:r>
      <w:r>
        <w:rPr>
          <w:rFonts w:hint="eastAsia" w:ascii="仿宋_GB2312" w:hAnsi="仿宋_GB2312" w:eastAsia="仿宋_GB2312" w:cs="仿宋_GB2312"/>
          <w:color w:val="000000"/>
          <w:kern w:val="0"/>
          <w:sz w:val="31"/>
          <w:szCs w:val="31"/>
          <w:lang w:eastAsia="zh-CN" w:bidi="ar"/>
        </w:rPr>
        <w:t>服务</w:t>
      </w:r>
      <w:r>
        <w:rPr>
          <w:rFonts w:hint="eastAsia" w:ascii="仿宋_GB2312" w:hAnsi="仿宋_GB2312" w:eastAsia="仿宋_GB2312" w:cs="仿宋_GB2312"/>
          <w:color w:val="000000"/>
          <w:kern w:val="0"/>
          <w:sz w:val="31"/>
          <w:szCs w:val="31"/>
          <w:lang w:bidi="ar"/>
        </w:rPr>
        <w:t>项目与群众需求的契合度，群众满意度、支持度都得到提升。</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bidi="ar"/>
        </w:rPr>
      </w:pPr>
      <w:r>
        <w:rPr>
          <w:rFonts w:hint="eastAsia" w:ascii="仿宋_GB2312" w:hAnsi="仿宋_GB2312" w:eastAsia="仿宋_GB2312" w:cs="仿宋_GB2312"/>
          <w:color w:val="000000"/>
          <w:kern w:val="0"/>
          <w:sz w:val="31"/>
          <w:szCs w:val="31"/>
          <w:lang w:val="en-US" w:eastAsia="zh-CN" w:bidi="ar"/>
        </w:rPr>
        <w:t>3、创新政府主导、社会参与、各方支持、群众受益的办节机制，挖掘一批新主体，培育一批新项目，催生一批新作品，形成一批新成果，使参与办节的社会主体越来越多，市民文化素养逐步提升，城市文化生活品质不断提高，中华优秀文化广泛传播。</w:t>
      </w:r>
    </w:p>
    <w:p>
      <w:pPr>
        <w:ind w:firstLine="775" w:firstLineChars="25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p>
    <w:p>
      <w:p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开展“春暖百姓</w:t>
      </w:r>
      <w:r>
        <w:rPr>
          <w:rFonts w:hint="eastAsia" w:ascii="宋体" w:hAnsi="宋体" w:cs="宋体"/>
          <w:sz w:val="32"/>
          <w:szCs w:val="32"/>
        </w:rPr>
        <w:t>•</w:t>
      </w:r>
      <w:r>
        <w:rPr>
          <w:rFonts w:hint="eastAsia" w:ascii="仿宋_GB2312" w:hAnsi="仿宋_GB2312" w:eastAsia="仿宋_GB2312" w:cs="仿宋_GB2312"/>
          <w:sz w:val="32"/>
          <w:szCs w:val="32"/>
        </w:rPr>
        <w:t>欢乐同行”文化服务系列活动。其中2019年1月12日在千禧广场举行阎良区己亥年2019“西安年</w:t>
      </w:r>
      <w:r>
        <w:rPr>
          <w:rFonts w:hint="eastAsia" w:ascii="宋体" w:hAnsi="宋体" w:cs="宋体"/>
          <w:sz w:val="32"/>
          <w:szCs w:val="32"/>
        </w:rPr>
        <w:t>•</w:t>
      </w:r>
      <w:r>
        <w:rPr>
          <w:rFonts w:hint="eastAsia" w:ascii="仿宋_GB2312" w:hAnsi="仿宋_GB2312" w:eastAsia="仿宋_GB2312" w:cs="仿宋_GB2312"/>
          <w:sz w:val="32"/>
          <w:szCs w:val="32"/>
        </w:rPr>
        <w:t>最中国”春节系列活动启动仪式，开展春节文化演出，组织书法家深入基层到广场现场为广大群众义务书写春联送祝福千余幅，开展免费摄影服务及流动图书服务活动； 1月30日在千禧广场举行举行“文旅闹新春.欢乐中国年”迎新春文艺汇演活动，开展文化演出及体育健身舞蹈展演，组织书画、摄影艺术工作者开展文化服务活动及送春联活动；同时全区开展送春联活动42场次，文化下乡演出20余场次，“书香阎良 阅享新春”春节系列阅读活动12场次</w:t>
      </w:r>
      <w:r>
        <w:rPr>
          <w:rFonts w:hint="eastAsia" w:ascii="仿宋_GB2312" w:hAnsi="仿宋_GB2312" w:eastAsia="仿宋_GB2312" w:cs="仿宋_GB2312"/>
          <w:sz w:val="32"/>
          <w:szCs w:val="32"/>
          <w:lang w:eastAsia="zh-CN"/>
        </w:rPr>
        <w:t>。</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月7日在振兴街道办谭家村开展“秦鲁一家亲”山东庄里过大年活动，以“鲁味谭家村，魅力阎良年”为主题，以“山东移民春节文化”为元素，开展“阎良区画说关中山东移民”画展、山东村舞龙、锣鼓、秧歌等非遗民俗文化体验等内容，展示推介阎良山东移民过大年特色地域文化，打造“山东庄里过大年”的文化名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2月17日-20日在千禧广场举行“富阎同城</w:t>
      </w:r>
      <w:r>
        <w:rPr>
          <w:rFonts w:hint="eastAsia" w:ascii="宋体" w:hAnsi="宋体" w:cs="宋体"/>
          <w:sz w:val="32"/>
          <w:szCs w:val="32"/>
        </w:rPr>
        <w:t>•</w:t>
      </w:r>
      <w:r>
        <w:rPr>
          <w:rFonts w:hint="eastAsia" w:ascii="仿宋_GB2312" w:hAnsi="仿宋_GB2312" w:eastAsia="仿宋_GB2312" w:cs="仿宋_GB2312"/>
          <w:sz w:val="32"/>
          <w:szCs w:val="32"/>
        </w:rPr>
        <w:t>文化先行”新春系列文化活动，举办“醉美航空城”新春戏曲展演、新春音乐会、锣鼓大赛暨优秀传统文化展演、“年味”非遗民俗文化展、“绿色家园.幸福阎良”摄影展、谜语有奖竞猜活动等，营造浓郁的庆新春欢乐祥和氛围，推进阎良、富平两地文化融合、一体化发展。同时2月19日组织我区北屯街道办锣鼓队参加西安市锣鼓展演，展示了航空城人民崭新向上的精神风貌和新农村建设的新风貌</w:t>
      </w:r>
      <w:r>
        <w:rPr>
          <w:rFonts w:hint="eastAsia" w:ascii="仿宋_GB2312" w:hAnsi="仿宋_GB2312" w:eastAsia="仿宋_GB2312" w:cs="仿宋_GB2312"/>
          <w:sz w:val="32"/>
          <w:szCs w:val="32"/>
          <w:lang w:val="en-US" w:eastAsia="zh-CN"/>
        </w:rPr>
        <w:t>.</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开展好西安市第二届农民节系列文化活动。一是按照《西安市首届农民歌手大赛》安排，于2月中旬至3月上旬组织开展西安市首届农民歌手大赛阎良赛区初赛，经过比赛，初选初5名歌手参加市级复赛、决赛，经过复赛，我区1名选手进入决赛环节，3月8日，我区组队赴农民节主会场高陵昭慧广场参加西安市首届农民歌手大赛。歌曲《最美是阎良》拉开全市比赛帷幕，歌手赵丽静获三等奖；二是3月8日组织我区市级非遗项目《唢呐特技》参加西安市优秀非物质文化遗产综合展演，精湛的艺术技艺表演让在场观众大饱眼福。</w:t>
      </w:r>
    </w:p>
    <w:p>
      <w:pPr>
        <w:ind w:firstLine="800" w:firstLineChars="250"/>
        <w:rPr>
          <w:rFonts w:hint="eastAsia" w:ascii="仿宋_GB2312" w:hAnsi="仿宋_GB2312" w:eastAsia="仿宋_GB2312" w:cs="仿宋_GB2312"/>
          <w:sz w:val="32"/>
          <w:szCs w:val="32"/>
        </w:rPr>
      </w:pPr>
      <w:r>
        <w:rPr>
          <w:rFonts w:hint="eastAsia"/>
          <w:lang w:val="en-US" w:eastAsia="zh-CN"/>
        </w:rPr>
        <w:t>5、</w:t>
      </w:r>
      <w:r>
        <w:rPr>
          <w:rFonts w:hint="eastAsia" w:ascii="仿宋_GB2312" w:hAnsi="仿宋_GB2312" w:eastAsia="仿宋_GB2312" w:cs="仿宋_GB2312"/>
          <w:sz w:val="32"/>
          <w:szCs w:val="32"/>
        </w:rPr>
        <w:t xml:space="preserve"> 组织开展好“文化活动+旅游节庆”系列活动。3月26日-28日，组织开展“春满中国.醉西安”阎良区第二届梨花文化旅游节系列文艺演出活动；3月29日组织开展西安阎良航空旅游推介会文艺演出；4月4日至7日组织开展“印象谭家 唤您回乡”第五届山东移民文化节文艺演出。</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根据全区扫黑除恶专项斗争整体部署，组织文艺演出小分队到社区、广场、街道、村组开展“扫黑除恶 弘扬正气”阎良区扫黑除恶文艺宣传小分队走基层活动，演出中，文艺小分队将扫黑除恶的重大意义与文艺演出结合起来，三句半、小品、歌曲、舞蹈等一批接地气、小而精、群众喜闻乐见的文艺作品走进新农村，在百姓家门口绚丽绽放，赢得群众纷纷叫好、连连点赞。同时开展扫黑除恶有奖知识问答，还通过发放宣传资料、现场讲解扫黑除恶重点打击对象等方式，让更多群众近距离的了解了扫黑除恶专项斗争的相关知识；组织文艺演出小分队到社区、广场、街道、村组开展阎良创文文艺宣传小分队走基层活动，演出中，文艺小分队将创文的重大意义与文艺演出结合起来，为营造平安、和谐的社会环境起到了积极的推动作用。</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组织开展“壮丽七十年 我和我的祖国”系列文化活动，其中有第二届酥梨采摘节启动仪式暨“壮丽70年 我和我的祖国”、壮丽70年 我和我的祖国”阎良汉唐古乐北屯梨园诗会、“壮丽70年 我和我的祖国”中秋节专场演出、壮丽70年 我和我的祖国”阎良区群众文艺系列巡回展演、第七届陕西省阅读文化节阎良分会场启动仪式暨“壮丽70年 我和我的祖国”阎良区群众文艺巡回展演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及书画展等。</w:t>
      </w:r>
    </w:p>
    <w:p>
      <w:pPr>
        <w:spacing w:line="6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加强培训力度，为公共文化发展提供智力和技术支持。一是组织干部职工相继参加了省市文化馆、图书馆、文化资源共享工程参加业务培训学习，认真查找工作中的差距和不足，确立新的发展理念、发展定位、发展目标和工作标准主动创新转变工作思路，提高服务职能;二是成立公共文化服务预约办公室，设立专人负责，向社会公示预约电话，采用菜单式预约培训服务；三是建立"阎良区文化馆图书馆"公众服务平台，加大培训服务宣传；四是设立公共文化培训日（周六），目前开设课程有舞蹈、声乐等，目前开展免费培训105场次；在航飞社区、凌云路社区、红旗社区等设立基层服务点，逢周三开展培训，开展公共培训36场次。</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加强文物及非遗保护宣传。</w:t>
      </w:r>
    </w:p>
    <w:p>
      <w:pPr>
        <w:ind w:firstLine="800" w:firstLineChars="250"/>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做好文物日夜间管理巡查，做好了文物日间、夜间管理巡查管理工作。3月份在巡查中发现北塬有疑似盗洞痕迹及时向公安部门举报提供案件线索并协作开展案件侦破工作，7月份破获跨境域文物犯罪案件，并追回文物30余件；二是于5月8日召开2019年文物安全工作会，学习了《阎良区群众文物保护员管理办法》，向群众文保员代表颁发了聘任证书，向各街道文化站、全区文物保护员进行了文物安全保护业务培训；三世界文化遗产日前夕，开展“保护革命文物 传承红色基因-许景先烈士革命文物专题展”，</w:t>
      </w:r>
      <w:r>
        <w:rPr>
          <w:rFonts w:hint="eastAsia"/>
        </w:rPr>
        <w:t xml:space="preserve"> </w:t>
      </w:r>
      <w:r>
        <w:rPr>
          <w:rFonts w:hint="eastAsia" w:ascii="仿宋_GB2312" w:hAnsi="仿宋_GB2312" w:eastAsia="仿宋_GB2312" w:cs="仿宋_GB2312"/>
          <w:sz w:val="32"/>
          <w:szCs w:val="32"/>
        </w:rPr>
        <w:t>展览分为“春风哺育”“尧中烽火”“故里传薪”“边区历练” “眉县建功”“耀县殉难”“无限缅怀”“革命传人”“殷切关怀”9个篇章，积极开创我区革命文物保护和红色文化旅游工作的新局面。</w:t>
      </w:r>
    </w:p>
    <w:p>
      <w:pPr>
        <w:ind w:firstLine="620" w:firstLineChars="200"/>
        <w:rPr>
          <w:rFonts w:hint="eastAsia" w:ascii="仿宋" w:hAnsi="仿宋" w:eastAsia="仿宋" w:cs="仿宋"/>
          <w:color w:val="000000"/>
          <w:sz w:val="32"/>
          <w:szCs w:val="32"/>
        </w:rPr>
      </w:pPr>
      <w:r>
        <w:rPr>
          <w:rFonts w:ascii="仿宋_GB2312" w:hAnsi="仿宋_GB2312" w:eastAsia="仿宋_GB2312" w:cs="仿宋_GB2312"/>
          <w:color w:val="000000"/>
          <w:kern w:val="0"/>
          <w:sz w:val="31"/>
          <w:szCs w:val="31"/>
          <w:lang w:bidi="ar"/>
        </w:rPr>
        <w:t>发现的问题及原因：</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1、财政投入方面</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阎良区人口30万，根据市考指标人均一元标准计算，应拨付业务费30万元，实际拨付4.75万元，财政投入力度还需加大。</w:t>
      </w:r>
    </w:p>
    <w:p>
      <w:pPr>
        <w:numPr>
          <w:ilvl w:val="0"/>
          <w:numId w:val="4"/>
        </w:numPr>
        <w:ind w:leftChars="200"/>
        <w:rPr>
          <w:rFonts w:hint="default"/>
          <w:lang w:val="en-US" w:eastAsia="zh-CN"/>
        </w:rPr>
      </w:pPr>
      <w:r>
        <w:rPr>
          <w:rFonts w:hint="eastAsia" w:ascii="仿宋" w:hAnsi="仿宋" w:eastAsia="仿宋" w:cs="仿宋"/>
          <w:color w:val="000000"/>
          <w:sz w:val="32"/>
          <w:szCs w:val="32"/>
          <w:lang w:val="en-US" w:eastAsia="zh-CN"/>
        </w:rPr>
        <w:t>人员方面</w:t>
      </w:r>
    </w:p>
    <w:p>
      <w:pPr>
        <w:numPr>
          <w:ilvl w:val="0"/>
          <w:numId w:val="0"/>
        </w:numPr>
        <w:ind w:firstLine="640" w:firstLineChars="200"/>
        <w:rPr>
          <w:rFonts w:hint="default"/>
          <w:lang w:val="en-US" w:eastAsia="zh-CN"/>
        </w:rPr>
      </w:pPr>
      <w:r>
        <w:rPr>
          <w:rFonts w:hint="eastAsia" w:ascii="仿宋" w:hAnsi="仿宋" w:eastAsia="仿宋" w:cs="仿宋"/>
          <w:color w:val="000000"/>
          <w:sz w:val="32"/>
          <w:szCs w:val="32"/>
          <w:lang w:val="en-US" w:eastAsia="zh-CN"/>
        </w:rPr>
        <w:t>人员力量还需加强。</w:t>
      </w:r>
    </w:p>
    <w:p>
      <w:pPr>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1、财政投入方面</w:t>
      </w:r>
    </w:p>
    <w:p>
      <w:pPr>
        <w:numPr>
          <w:ilvl w:val="0"/>
          <w:numId w:val="0"/>
        </w:numPr>
        <w:ind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积极争取上级资金支持，加大财政对文化事业的投入力度。</w:t>
      </w:r>
    </w:p>
    <w:p>
      <w:pPr>
        <w:numPr>
          <w:ilvl w:val="0"/>
          <w:numId w:val="0"/>
        </w:numPr>
        <w:ind w:leftChars="200"/>
        <w:rPr>
          <w:rFonts w:hint="eastAsia" w:ascii="宋体" w:hAnsi="宋体" w:eastAsia="宋体" w:cs="宋体"/>
          <w:sz w:val="32"/>
          <w:szCs w:val="32"/>
          <w:lang w:val="en-US" w:eastAsia="zh-CN"/>
        </w:rPr>
      </w:pPr>
      <w:r>
        <w:rPr>
          <w:rFonts w:hint="eastAsia" w:ascii="仿宋" w:hAnsi="仿宋" w:eastAsia="仿宋" w:cs="仿宋"/>
          <w:color w:val="000000"/>
          <w:sz w:val="32"/>
          <w:szCs w:val="32"/>
          <w:lang w:val="en-US" w:eastAsia="zh-CN"/>
        </w:rPr>
        <w:t>2、人员方面</w:t>
      </w:r>
    </w:p>
    <w:p>
      <w:pPr>
        <w:numPr>
          <w:ilvl w:val="0"/>
          <w:numId w:val="0"/>
        </w:numPr>
        <w:ind w:leftChars="200"/>
        <w:rPr>
          <w:rFonts w:hint="eastAsia" w:ascii="宋体" w:hAnsi="宋体" w:eastAsia="仿宋" w:cs="宋体"/>
          <w:sz w:val="32"/>
          <w:szCs w:val="32"/>
          <w:lang w:val="en-US" w:eastAsia="zh-CN"/>
        </w:rPr>
      </w:pPr>
      <w:r>
        <w:rPr>
          <w:rFonts w:hint="eastAsia" w:ascii="仿宋" w:hAnsi="仿宋" w:eastAsia="仿宋" w:cs="仿宋"/>
          <w:color w:val="000000"/>
          <w:sz w:val="32"/>
          <w:szCs w:val="32"/>
          <w:lang w:val="en-US" w:eastAsia="zh-CN"/>
        </w:rPr>
        <w:t>通过招考配备业务人员。</w:t>
      </w:r>
    </w:p>
    <w:p>
      <w:pPr>
        <w:pStyle w:val="2"/>
        <w:rPr>
          <w:rFonts w:hint="default"/>
          <w:lang w:val="en-US" w:eastAsia="zh-CN"/>
        </w:rPr>
      </w:pPr>
    </w:p>
    <w:p>
      <w:pPr>
        <w:widowControl/>
        <w:jc w:val="left"/>
        <w:rPr>
          <w:rFonts w:hint="eastAsia" w:ascii="仿宋_GB2312" w:hAnsi="仿宋_GB2312" w:eastAsia="仿宋_GB2312" w:cs="仿宋_GB2312"/>
          <w:color w:val="000000"/>
          <w:sz w:val="31"/>
          <w:szCs w:val="31"/>
          <w:lang w:bidi="ar"/>
        </w:rPr>
      </w:pPr>
      <w:bookmarkStart w:id="0" w:name="_1662907596"/>
      <w:bookmarkEnd w:id="0"/>
      <w:bookmarkStart w:id="1" w:name="_1662907080"/>
      <w:bookmarkEnd w:id="1"/>
      <w:bookmarkStart w:id="2" w:name="_1662907161"/>
      <w:bookmarkEnd w:id="2"/>
      <w:r>
        <w:rPr>
          <w:rFonts w:hint="eastAsia" w:ascii="仿宋_GB2312" w:hAnsi="仿宋_GB2312" w:eastAsia="仿宋_GB2312" w:cs="仿宋_GB2312"/>
          <w:color w:val="000000"/>
          <w:sz w:val="31"/>
          <w:szCs w:val="31"/>
          <w:lang w:bidi="ar"/>
        </w:rPr>
        <w:object>
          <v:shape id="_x0000_i1025" o:spt="75" type="#_x0000_t75" style="height:665.1pt;width:436.8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rPr>
          <w:rFonts w:hint="eastAsia" w:ascii="仿宋_GB2312" w:hAnsi="仿宋_GB2312" w:eastAsia="仿宋_GB2312" w:cs="仿宋_GB2312"/>
          <w:color w:val="00000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pPr w:leftFromText="180" w:rightFromText="180" w:horzAnchor="margin" w:tblpXSpec="center" w:tblpY="-1800"/>
        <w:tblW w:w="16120" w:type="dxa"/>
        <w:tblInd w:w="0" w:type="dxa"/>
        <w:tblLayout w:type="fixed"/>
        <w:tblCellMar>
          <w:top w:w="0" w:type="dxa"/>
          <w:left w:w="108" w:type="dxa"/>
          <w:bottom w:w="0" w:type="dxa"/>
          <w:right w:w="108" w:type="dxa"/>
        </w:tblCellMar>
      </w:tblPr>
      <w:tblGrid>
        <w:gridCol w:w="818"/>
        <w:gridCol w:w="835"/>
        <w:gridCol w:w="834"/>
        <w:gridCol w:w="784"/>
        <w:gridCol w:w="2963"/>
        <w:gridCol w:w="395"/>
        <w:gridCol w:w="2015"/>
        <w:gridCol w:w="2094"/>
        <w:gridCol w:w="1290"/>
        <w:gridCol w:w="870"/>
        <w:gridCol w:w="960"/>
        <w:gridCol w:w="600"/>
        <w:gridCol w:w="862"/>
        <w:gridCol w:w="800"/>
      </w:tblGrid>
      <w:tr>
        <w:tblPrEx>
          <w:tblCellMar>
            <w:top w:w="0" w:type="dxa"/>
            <w:left w:w="108" w:type="dxa"/>
            <w:bottom w:w="0" w:type="dxa"/>
            <w:right w:w="108" w:type="dxa"/>
          </w:tblCellMar>
        </w:tblPrEx>
        <w:trPr>
          <w:trHeight w:val="510" w:hRule="atLeast"/>
        </w:trPr>
        <w:tc>
          <w:tcPr>
            <w:tcW w:w="16120" w:type="dxa"/>
            <w:gridSpan w:val="14"/>
            <w:tcBorders>
              <w:top w:val="nil"/>
              <w:left w:val="nil"/>
              <w:bottom w:val="nil"/>
              <w:right w:val="nil"/>
            </w:tcBorders>
            <w:shd w:val="clear" w:color="auto" w:fill="auto"/>
            <w:vAlign w:val="center"/>
          </w:tcPr>
          <w:p>
            <w:pPr>
              <w:widowControl/>
              <w:jc w:val="center"/>
              <w:rPr>
                <w:rFonts w:ascii="黑体" w:hAnsi="黑体" w:eastAsia="黑体" w:cs="Arial"/>
                <w:kern w:val="0"/>
                <w:sz w:val="40"/>
                <w:szCs w:val="40"/>
              </w:rPr>
            </w:pPr>
          </w:p>
          <w:p>
            <w:pPr>
              <w:widowControl/>
              <w:jc w:val="center"/>
              <w:rPr>
                <w:rFonts w:ascii="黑体" w:hAnsi="黑体" w:eastAsia="黑体" w:cs="Arial"/>
                <w:kern w:val="0"/>
                <w:sz w:val="40"/>
                <w:szCs w:val="40"/>
              </w:rPr>
            </w:pPr>
            <w:r>
              <w:rPr>
                <w:rFonts w:hint="eastAsia" w:ascii="黑体" w:hAnsi="黑体" w:eastAsia="黑体" w:cs="Arial"/>
                <w:kern w:val="0"/>
                <w:sz w:val="40"/>
                <w:szCs w:val="40"/>
              </w:rPr>
              <w:t>部门整体支出绩效自评表</w:t>
            </w:r>
            <w:r>
              <w:rPr>
                <w:rFonts w:hint="eastAsia" w:ascii="黑体" w:hAnsi="黑体" w:eastAsia="黑体" w:cs="Arial"/>
                <w:kern w:val="0"/>
                <w:sz w:val="40"/>
                <w:szCs w:val="40"/>
              </w:rPr>
              <w:br w:type="textWrapping"/>
            </w:r>
            <w:r>
              <w:rPr>
                <w:rFonts w:hint="eastAsia" w:ascii="黑体" w:hAnsi="黑体" w:eastAsia="黑体" w:cs="Arial"/>
                <w:kern w:val="0"/>
                <w:sz w:val="20"/>
              </w:rPr>
              <w:t>（2019年度）</w:t>
            </w:r>
          </w:p>
        </w:tc>
      </w:tr>
      <w:tr>
        <w:tblPrEx>
          <w:tblCellMar>
            <w:top w:w="0" w:type="dxa"/>
            <w:left w:w="108" w:type="dxa"/>
            <w:bottom w:w="0" w:type="dxa"/>
            <w:right w:w="108" w:type="dxa"/>
          </w:tblCellMar>
        </w:tblPrEx>
        <w:trPr>
          <w:trHeight w:val="855" w:hRule="atLeast"/>
        </w:trPr>
        <w:tc>
          <w:tcPr>
            <w:tcW w:w="6629" w:type="dxa"/>
            <w:gridSpan w:val="6"/>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szCs w:val="24"/>
                <w:lang w:eastAsia="zh-CN"/>
              </w:rPr>
            </w:pPr>
            <w:r>
              <w:rPr>
                <w:rFonts w:hint="eastAsia" w:ascii="仿宋_GB2312" w:hAnsi="Arial" w:eastAsia="仿宋_GB2312" w:cs="Arial"/>
                <w:kern w:val="0"/>
                <w:sz w:val="24"/>
                <w:szCs w:val="24"/>
              </w:rPr>
              <w:t>填报单位:</w:t>
            </w:r>
            <w:r>
              <w:rPr>
                <w:rFonts w:hint="eastAsia" w:ascii="仿宋_GB2312" w:hAnsi="Arial" w:eastAsia="仿宋_GB2312" w:cs="Arial"/>
                <w:kern w:val="0"/>
                <w:sz w:val="24"/>
                <w:szCs w:val="24"/>
                <w:lang w:eastAsia="zh-CN"/>
              </w:rPr>
              <w:t>西安市阎良区文化馆</w:t>
            </w:r>
          </w:p>
        </w:tc>
        <w:tc>
          <w:tcPr>
            <w:tcW w:w="2015"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r>
              <w:rPr>
                <w:rFonts w:hint="eastAsia" w:ascii="仿宋_GB2312" w:hAnsi="Arial" w:eastAsia="仿宋_GB2312" w:cs="Arial"/>
                <w:kern w:val="0"/>
                <w:sz w:val="24"/>
                <w:szCs w:val="24"/>
              </w:rPr>
              <w:t>自评得分：95分</w:t>
            </w:r>
          </w:p>
        </w:tc>
        <w:tc>
          <w:tcPr>
            <w:tcW w:w="3384" w:type="dxa"/>
            <w:gridSpan w:val="2"/>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870"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960"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600"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862"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c>
          <w:tcPr>
            <w:tcW w:w="800"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（一）简要概述部门职能与职责。</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szCs w:val="22"/>
              </w:rPr>
              <w:t>1、组织群众文化活动，繁荣文化事业。2、文化宣传、文艺活动组织；业余创作团体管理；村级文化室业务指导；文化交流；民间文化艺术遗产收集整理与保护；文物保护管理。</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（二）简要概述部门支出情况，按活动内容分类。</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群众文化支出5.18万元、文化创作与保护支出16万元、其他文化和旅游支出117.38万元、机关服务支出4.75万元、机关事业单位基本养老保险缴费支出8.10万元、事业单位医疗缴费支出2.17万元。</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（三）简要概述当年市委市政府下达的重点工作。</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Arial" w:eastAsia="仿宋_GB2312" w:cs="Arial"/>
                <w:kern w:val="0"/>
                <w:sz w:val="20"/>
                <w:lang w:eastAsia="zh-CN"/>
              </w:rPr>
            </w:pPr>
          </w:p>
        </w:tc>
      </w:tr>
      <w:tr>
        <w:tblPrEx>
          <w:tblCellMar>
            <w:top w:w="0" w:type="dxa"/>
            <w:left w:w="108" w:type="dxa"/>
            <w:bottom w:w="0" w:type="dxa"/>
            <w:right w:w="108" w:type="dxa"/>
          </w:tblCellMar>
        </w:tblPrEx>
        <w:trPr>
          <w:trHeight w:val="960"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一级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二级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三级指标</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分值</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指标说明</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评分标准</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指标值计算公式和数据获取方式</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年初目标值</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实际完成值</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得分</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未完成原因分析与改进措施</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绩效指标分析与建议</w:t>
            </w:r>
          </w:p>
        </w:tc>
      </w:tr>
      <w:tr>
        <w:tblPrEx>
          <w:tblCellMar>
            <w:top w:w="0" w:type="dxa"/>
            <w:left w:w="108" w:type="dxa"/>
            <w:bottom w:w="0" w:type="dxa"/>
            <w:right w:w="108" w:type="dxa"/>
          </w:tblCellMar>
        </w:tblPrEx>
        <w:trPr>
          <w:trHeight w:val="2234"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w:t>
            </w:r>
            <w:r>
              <w:rPr>
                <w:rFonts w:hint="eastAsia" w:ascii="楷体_GB2312" w:hAnsi="Arial" w:eastAsia="楷体_GB2312" w:cs="Arial"/>
                <w:kern w:val="0"/>
                <w:sz w:val="20"/>
              </w:rPr>
              <w:br w:type="textWrapping"/>
            </w:r>
            <w:r>
              <w:rPr>
                <w:rFonts w:hint="eastAsia" w:ascii="楷体_GB2312" w:hAnsi="Arial" w:eastAsia="楷体_GB2312" w:cs="Arial"/>
                <w:kern w:val="0"/>
                <w:sz w:val="20"/>
              </w:rPr>
              <w:t>完成率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（10分）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预算完成率=（预算完成数/预算数）×100%，用以反映和考核部门（单位）预算完成程度。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预算完成数：部门（单位）本年度实际完成的预算数。</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预算数：财政部门批复的本年度部门（单位）预算数。</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预算完成率＝100%的，得10分。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预算完成率≥95%的，得9分。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预算完成率在90%（含）和95%之间，得8分。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预算完成率在85%（含）和90%之间，得7分。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预算完成率在80%（含）和85%之间，得6分。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预算完成率在70%（含）和80%之间，得4分。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预算完成率＜70%的，得0分。</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78.93/78.93×100%=100%部门决算</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78.93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78.93</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预算调整率=（预算调整数/预算数）×100%，用以反映和考核部门（单位）预算的调整程度。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预算调整数：部门（单位）在本年度内涉及预算的追加、追减或结构调整的资金总和（因落实国家政策、发生不可抗力、上级部门或本级党委政府临时交办而产生的调整除外）。</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预算包括一般公共预算与政府性基金预算。</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预算调整率绝对值≤5%，得5分。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预算调整率绝对值＞5%的，每增加0.1个百分点扣0.1分，扣完为止。</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74.64/78.93×100%=94.56%部门决算</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78.93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74.64</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lang w:eastAsia="zh-CN"/>
              </w:rPr>
              <w:t>免费开放</w:t>
            </w:r>
            <w:r>
              <w:rPr>
                <w:rFonts w:hint="eastAsia" w:ascii="仿宋_GB2312" w:hAnsi="Arial" w:eastAsia="仿宋_GB2312" w:cs="Arial"/>
                <w:kern w:val="0"/>
                <w:sz w:val="20"/>
              </w:rPr>
              <w:t>项目</w:t>
            </w:r>
            <w:r>
              <w:rPr>
                <w:rFonts w:hint="eastAsia" w:ascii="仿宋_GB2312" w:hAnsi="Arial" w:eastAsia="仿宋_GB2312" w:cs="Arial"/>
                <w:kern w:val="0"/>
                <w:sz w:val="20"/>
                <w:lang w:eastAsia="zh-CN"/>
              </w:rPr>
              <w:t>、文化创作与保护</w:t>
            </w:r>
            <w:r>
              <w:rPr>
                <w:rFonts w:hint="eastAsia" w:ascii="仿宋_GB2312" w:hAnsi="Arial" w:eastAsia="仿宋_GB2312" w:cs="Arial"/>
                <w:kern w:val="0"/>
                <w:sz w:val="20"/>
              </w:rPr>
              <w:t>追加较大，导致调整率较大</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支出进度率=（实际支出/支出预算）×100%，用以反映和考核部门（单位）预算执行的及时性和均衡性程度。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半年支出进度＝部门上半年实际支出/（上年结余结转+本年部门预算安排+上半年执行中追加追减）*100%。</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前三季度支出进度＝部门前三季度实际支出/（上年结余结转+本年部门预算安排+前三季度执行中追加追减）*100%。</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半年进度：进度率≥45%，得2分；进度率在40%（含）和45%之间，得1分；进度率＜40%，得0分。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前三季度进度：进度率≥75%，得3分；进度率在60%（含）和75%之间，得2分；进度率＜60%，得0分。</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153.57/78.93×100%=194.56%部门决算</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78.93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153.57</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41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部门预算中除财政拨款外的其他收入预算与决算差异率。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预算编制准确率＝其他收入决算数/其他收入预算数×100%-100%。</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预算编制准确率≤20%，得5分。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预算编制准确率在20%和40%（含）之间，得3分。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预算编制准确率＞40%，得0分。</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2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“三公经费”控制率=（“三公经费”实际支出数/“三公经费”预算安排数）×100%，用以反映和考核部门（单位）对“三公经费”的实际控制程度。</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 ≤100%，得5分，每增加0.1个百分点扣0.5分，扣完为止。</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0.2</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0.61</w:t>
            </w:r>
            <w:r>
              <w:rPr>
                <w:rFonts w:hint="eastAsia" w:ascii="楷体_GB2312" w:hAnsi="Arial" w:eastAsia="楷体_GB2312" w:cs="Arial"/>
                <w:kern w:val="0"/>
                <w:sz w:val="20"/>
              </w:rPr>
              <w:t>*100%=</w:t>
            </w:r>
            <w:r>
              <w:rPr>
                <w:rFonts w:hint="eastAsia" w:ascii="楷体_GB2312" w:hAnsi="Arial" w:eastAsia="楷体_GB2312" w:cs="Arial"/>
                <w:kern w:val="0"/>
                <w:sz w:val="20"/>
                <w:lang w:val="en-US" w:eastAsia="zh-CN"/>
              </w:rPr>
              <w:t>32.79</w:t>
            </w:r>
            <w:r>
              <w:rPr>
                <w:rFonts w:hint="eastAsia" w:ascii="楷体_GB2312" w:hAnsi="Arial" w:eastAsia="楷体_GB2312" w:cs="Arial"/>
                <w:kern w:val="0"/>
                <w:sz w:val="20"/>
              </w:rPr>
              <w:t>%</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0.61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0.2</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Arial" w:eastAsia="楷体_GB2312" w:cs="Arial"/>
                <w:kern w:val="0"/>
                <w:sz w:val="20"/>
                <w:lang w:eastAsia="zh-CN"/>
              </w:rPr>
            </w:pPr>
            <w:r>
              <w:rPr>
                <w:rFonts w:hint="eastAsia" w:ascii="楷体_GB2312" w:hAnsi="Arial" w:eastAsia="楷体_GB2312" w:cs="Arial"/>
                <w:kern w:val="0"/>
                <w:sz w:val="20"/>
                <w:lang w:val="en-US" w:eastAsia="zh-CN"/>
              </w:rPr>
              <w:t>5</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Arial" w:eastAsia="仿宋_GB2312" w:cs="Arial"/>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98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资产管理规范性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部门（单位）资产管理是否规范，用以反映和考核部门（单位）资产管理情况。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1.新增资产配置按预算执行。</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2.资产有偿使用、处置按规定程序审批。</w:t>
            </w:r>
            <w:r>
              <w:rPr>
                <w:rFonts w:hint="eastAsia" w:ascii="楷体_GB2312" w:hAnsi="Arial" w:eastAsia="楷体_GB2312" w:cs="Arial"/>
                <w:kern w:val="0"/>
                <w:sz w:val="20"/>
              </w:rPr>
              <w:br w:type="textWrapping"/>
            </w:r>
            <w:r>
              <w:rPr>
                <w:rFonts w:hint="eastAsia" w:ascii="楷体_GB2312" w:hAnsi="Arial" w:eastAsia="楷体_GB2312" w:cs="Arial"/>
                <w:kern w:val="0"/>
                <w:sz w:val="20"/>
              </w:rPr>
              <w:t>3.资产收益及时、足额上缴财政。</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全部符合5分，有1项不符扣2分,扣完为止。</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2445" w:hRule="atLeast"/>
        </w:trPr>
        <w:tc>
          <w:tcPr>
            <w:tcW w:w="818" w:type="dxa"/>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资金使用合规性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部门（单位）使用预算资金是否符合相关的预算财务管理制度的规定，用以反映和考核部门（单位）预算资金的规范运行情况。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1.符合国家财经法规和财务管理制度规定以及有关专项资金管理办法的规定；</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2.资金的拨付有完整的审批程序和手续；</w:t>
            </w:r>
            <w:r>
              <w:rPr>
                <w:rFonts w:hint="eastAsia" w:ascii="楷体_GB2312" w:hAnsi="Arial" w:eastAsia="楷体_GB2312" w:cs="Arial"/>
                <w:kern w:val="0"/>
                <w:sz w:val="20"/>
              </w:rPr>
              <w:br w:type="textWrapping"/>
            </w:r>
            <w:r>
              <w:rPr>
                <w:rFonts w:hint="eastAsia" w:ascii="楷体_GB2312" w:hAnsi="Arial" w:eastAsia="楷体_GB2312" w:cs="Arial"/>
                <w:kern w:val="0"/>
                <w:sz w:val="20"/>
              </w:rPr>
              <w:t>3.重大项目开支经过评估论证；</w:t>
            </w:r>
            <w:r>
              <w:rPr>
                <w:rFonts w:hint="eastAsia" w:ascii="楷体_GB2312" w:hAnsi="Arial" w:eastAsia="楷体_GB2312" w:cs="Arial"/>
                <w:kern w:val="0"/>
                <w:sz w:val="20"/>
              </w:rPr>
              <w:br w:type="textWrapping"/>
            </w:r>
            <w:r>
              <w:rPr>
                <w:rFonts w:hint="eastAsia" w:ascii="楷体_GB2312" w:hAnsi="Arial" w:eastAsia="楷体_GB2312" w:cs="Arial"/>
                <w:kern w:val="0"/>
                <w:sz w:val="20"/>
              </w:rPr>
              <w:t>4.符合部门预算批复的用途；</w:t>
            </w:r>
            <w:r>
              <w:rPr>
                <w:rFonts w:hint="eastAsia" w:ascii="楷体_GB2312" w:hAnsi="Arial" w:eastAsia="楷体_GB2312" w:cs="Arial"/>
                <w:kern w:val="0"/>
                <w:sz w:val="20"/>
              </w:rPr>
              <w:br w:type="textWrapping"/>
            </w:r>
            <w:r>
              <w:rPr>
                <w:rFonts w:hint="eastAsia" w:ascii="楷体_GB2312" w:hAnsi="Arial" w:eastAsia="楷体_GB2312" w:cs="Arial"/>
                <w:kern w:val="0"/>
                <w:sz w:val="20"/>
              </w:rPr>
              <w:t>5.不存在截留、挤占、挪用、虚列支出等情况。</w:t>
            </w:r>
          </w:p>
        </w:tc>
        <w:tc>
          <w:tcPr>
            <w:tcW w:w="4109"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效果</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履职尽责（60分）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项目产出</w:t>
            </w:r>
            <w:r>
              <w:rPr>
                <w:rFonts w:hint="eastAsia" w:ascii="楷体_GB2312" w:hAnsi="Arial" w:eastAsia="楷体_GB2312" w:cs="Arial"/>
                <w:kern w:val="0"/>
                <w:sz w:val="20"/>
              </w:rPr>
              <w:br w:type="textWrapping"/>
            </w:r>
            <w:r>
              <w:rPr>
                <w:rFonts w:hint="eastAsia" w:ascii="楷体_GB2312" w:hAnsi="Arial" w:eastAsia="楷体_GB2312" w:cs="Arial"/>
                <w:kern w:val="0"/>
                <w:sz w:val="20"/>
              </w:rPr>
              <w:t>（40分）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1.若为定性指标，根据“三档”原则分别按照指标分值的100-80%（含）、80-50%（含）、50-10%来记分；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项目效益</w:t>
            </w:r>
            <w:r>
              <w:rPr>
                <w:rFonts w:hint="eastAsia" w:ascii="楷体_GB2312" w:hAnsi="Arial" w:eastAsia="楷体_GB2312" w:cs="Arial"/>
                <w:kern w:val="0"/>
                <w:sz w:val="20"/>
              </w:rPr>
              <w:br w:type="textWrapping"/>
            </w:r>
            <w:r>
              <w:rPr>
                <w:rFonts w:hint="eastAsia" w:ascii="楷体_GB2312" w:hAnsi="Arial" w:eastAsia="楷体_GB2312" w:cs="Arial"/>
                <w:kern w:val="0"/>
                <w:sz w:val="20"/>
              </w:rPr>
              <w:t>（20分）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bookmarkStart w:id="3" w:name="_1662907696"/>
      <w:bookmarkEnd w:id="3"/>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w:t>
      </w:r>
      <w:r>
        <w:rPr>
          <w:rFonts w:hint="eastAsia" w:ascii="仿宋_GB2312" w:eastAsia="仿宋_GB2312"/>
          <w:bCs/>
          <w:sz w:val="32"/>
          <w:szCs w:val="32"/>
          <w:lang w:eastAsia="zh-CN"/>
        </w:rPr>
        <w:t>预算调减数。</w:t>
      </w:r>
    </w:p>
    <w:p>
      <w:pPr>
        <w:pStyle w:val="2"/>
        <w:rPr>
          <w:rFonts w:hint="eastAsia" w:ascii="仿宋_GB2312" w:eastAsia="仿宋_GB2312"/>
          <w:bCs/>
          <w:sz w:val="32"/>
          <w:szCs w:val="32"/>
        </w:rPr>
      </w:pPr>
    </w:p>
    <w:p>
      <w:pPr>
        <w:rPr>
          <w:rFonts w:hint="eastAsia"/>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711"/>
        </w:tabs>
        <w:kinsoku/>
        <w:wordWrap/>
        <w:overflowPunct/>
        <w:topLinePunct w:val="0"/>
        <w:autoSpaceDE/>
        <w:autoSpaceDN/>
        <w:bidi w:val="0"/>
        <w:adjustRightInd/>
        <w:snapToGrid/>
        <w:spacing w:line="560" w:lineRule="exact"/>
        <w:jc w:val="left"/>
        <w:textAlignment w:val="auto"/>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56E4E"/>
    <w:multiLevelType w:val="singleLevel"/>
    <w:tmpl w:val="98256E4E"/>
    <w:lvl w:ilvl="0" w:tentative="0">
      <w:start w:val="6"/>
      <w:numFmt w:val="decimal"/>
      <w:lvlText w:val="%1."/>
      <w:lvlJc w:val="left"/>
      <w:pPr>
        <w:tabs>
          <w:tab w:val="left" w:pos="312"/>
        </w:tabs>
      </w:p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abstractNum w:abstractNumId="3">
    <w:nsid w:val="5F65E823"/>
    <w:multiLevelType w:val="singleLevel"/>
    <w:tmpl w:val="5F65E823"/>
    <w:lvl w:ilvl="0" w:tentative="0">
      <w:start w:val="1"/>
      <w:numFmt w:val="decimal"/>
      <w:suff w:val="nothing"/>
      <w:lvlText w:val="（%1）"/>
      <w:lvlJc w:val="left"/>
    </w:lvl>
  </w:abstractNum>
  <w:abstractNum w:abstractNumId="4">
    <w:nsid w:val="79083E00"/>
    <w:multiLevelType w:val="singleLevel"/>
    <w:tmpl w:val="79083E00"/>
    <w:lvl w:ilvl="0" w:tentative="0">
      <w:start w:val="2"/>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54F4"/>
    <w:rsid w:val="03671B5A"/>
    <w:rsid w:val="04011728"/>
    <w:rsid w:val="05986671"/>
    <w:rsid w:val="061A77B5"/>
    <w:rsid w:val="0B9D35E0"/>
    <w:rsid w:val="12D76541"/>
    <w:rsid w:val="14DA6BF9"/>
    <w:rsid w:val="163D6513"/>
    <w:rsid w:val="16471AEC"/>
    <w:rsid w:val="16F6655D"/>
    <w:rsid w:val="18313086"/>
    <w:rsid w:val="189C2381"/>
    <w:rsid w:val="19340BCC"/>
    <w:rsid w:val="1A73084E"/>
    <w:rsid w:val="1D204DB9"/>
    <w:rsid w:val="1E3F261E"/>
    <w:rsid w:val="1EF83B12"/>
    <w:rsid w:val="1F6B5519"/>
    <w:rsid w:val="22CC3087"/>
    <w:rsid w:val="231E1BEC"/>
    <w:rsid w:val="25B4351E"/>
    <w:rsid w:val="271F31E7"/>
    <w:rsid w:val="280C45BD"/>
    <w:rsid w:val="29EB3E97"/>
    <w:rsid w:val="29FF74D9"/>
    <w:rsid w:val="2B8E3713"/>
    <w:rsid w:val="2C0E74B9"/>
    <w:rsid w:val="2DB02E8C"/>
    <w:rsid w:val="2DE239C1"/>
    <w:rsid w:val="2F735C5D"/>
    <w:rsid w:val="34462BC9"/>
    <w:rsid w:val="39443C69"/>
    <w:rsid w:val="3D4D346A"/>
    <w:rsid w:val="3D6B3161"/>
    <w:rsid w:val="3DF87B6E"/>
    <w:rsid w:val="3F336DA4"/>
    <w:rsid w:val="46A4142F"/>
    <w:rsid w:val="47EC7C2F"/>
    <w:rsid w:val="488F63C7"/>
    <w:rsid w:val="4AB17499"/>
    <w:rsid w:val="4CD8617F"/>
    <w:rsid w:val="4CDC457A"/>
    <w:rsid w:val="4CE25A36"/>
    <w:rsid w:val="4E3C6EF9"/>
    <w:rsid w:val="52520BD6"/>
    <w:rsid w:val="54442E04"/>
    <w:rsid w:val="5514717D"/>
    <w:rsid w:val="5A385967"/>
    <w:rsid w:val="5A63233B"/>
    <w:rsid w:val="5D026EB0"/>
    <w:rsid w:val="5D0C295F"/>
    <w:rsid w:val="5DD4486C"/>
    <w:rsid w:val="5E851F14"/>
    <w:rsid w:val="65451401"/>
    <w:rsid w:val="656859DB"/>
    <w:rsid w:val="664D1E97"/>
    <w:rsid w:val="674B695B"/>
    <w:rsid w:val="685D34B0"/>
    <w:rsid w:val="69322118"/>
    <w:rsid w:val="6DCA5430"/>
    <w:rsid w:val="6F0D7B0E"/>
    <w:rsid w:val="760F00BE"/>
    <w:rsid w:val="77900C57"/>
    <w:rsid w:val="78AA49A3"/>
    <w:rsid w:val="7A89414B"/>
    <w:rsid w:val="7CA9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单位人员情况表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5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行政编制数</c:v>
                </c:pt>
                <c:pt idx="1">
                  <c:v>事业编制数</c:v>
                </c:pt>
              </c:strCache>
            </c:strRef>
          </c:cat>
          <c:val>
            <c:numRef>
              <c:f>Sheet1!$B$2:$B$3</c:f>
              <c:numCache>
                <c:formatCode>General</c:formatCode>
                <c:ptCount val="2"/>
                <c:pt idx="0">
                  <c:v>0</c:v>
                </c:pt>
                <c:pt idx="1">
                  <c:v>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收入支出决算情况</a:t>
            </a:r>
            <a:endParaRPr altLang="en-US"/>
          </a:p>
        </c:rich>
      </c:tx>
      <c:layout/>
      <c:overlay val="0"/>
      <c:spPr>
        <a:noFill/>
        <a:ln>
          <a:noFill/>
        </a:ln>
        <a:effectLst/>
      </c:spPr>
    </c:title>
    <c:autoTitleDeleted val="0"/>
    <c:plotArea>
      <c:layout>
        <c:manualLayout>
          <c:layoutTarget val="inner"/>
          <c:xMode val="edge"/>
          <c:yMode val="edge"/>
          <c:x val="0.0452"/>
          <c:y val="0.1145"/>
          <c:w val="0.927925"/>
          <c:h val="0.716566666666667"/>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200.5</c:v>
                </c:pt>
                <c:pt idx="1">
                  <c:v>200.5</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153.57</c:v>
                </c:pt>
                <c:pt idx="1">
                  <c:v>153.57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48378802"/>
        <c:axId val="369000785"/>
      </c:barChart>
      <c:catAx>
        <c:axId val="5483788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000785"/>
        <c:crosses val="autoZero"/>
        <c:auto val="1"/>
        <c:lblAlgn val="ctr"/>
        <c:lblOffset val="100"/>
        <c:noMultiLvlLbl val="0"/>
      </c:catAx>
      <c:valAx>
        <c:axId val="3690007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37880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2019年收入情况表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经营收入</c:v>
                </c:pt>
                <c:pt idx="3">
                  <c:v>其他收入</c:v>
                </c:pt>
              </c:strCache>
            </c:strRef>
          </c:cat>
          <c:val>
            <c:numRef>
              <c:f>Sheet1!$B$2:$B$5</c:f>
              <c:numCache>
                <c:formatCode>General</c:formatCode>
                <c:ptCount val="4"/>
                <c:pt idx="0">
                  <c:v>153.57</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6839788732394"/>
          <c:y val="0.8993764781767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6950998185118"/>
          <c:y val="0.194238900634249"/>
          <c:w val="0.392014519056261"/>
          <c:h val="0.570824524312896"/>
        </c:manualLayout>
      </c:layout>
      <c:pieChart>
        <c:varyColors val="1"/>
        <c:ser>
          <c:idx val="0"/>
          <c:order val="0"/>
          <c:tx>
            <c:strRef>
              <c:f>Sheet1!$B$1</c:f>
              <c:strCache>
                <c:ptCount val="1"/>
                <c:pt idx="0">
                  <c:v>2019年支出情况表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112.82</c:v>
                </c:pt>
                <c:pt idx="1">
                  <c:v>40.75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200.5</c:v>
                </c:pt>
                <c:pt idx="1">
                  <c:v>200.5</c:v>
                </c:pt>
              </c:numCache>
            </c:numRef>
          </c:val>
        </c:ser>
        <c:ser>
          <c:idx val="1"/>
          <c:order val="1"/>
          <c:tx>
            <c:strRef>
              <c:f>Sheet1!$C$1</c:f>
              <c:strCache>
                <c:ptCount val="1"/>
                <c:pt idx="0">
                  <c:v>2019年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153.57</c:v>
                </c:pt>
                <c:pt idx="1">
                  <c:v>153.57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17299921"/>
        <c:axId val="790522622"/>
      </c:barChart>
      <c:catAx>
        <c:axId val="1172999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522622"/>
        <c:crosses val="autoZero"/>
        <c:auto val="1"/>
        <c:lblAlgn val="ctr"/>
        <c:lblOffset val="100"/>
        <c:noMultiLvlLbl val="0"/>
      </c:catAx>
      <c:valAx>
        <c:axId val="7905226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29992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361875"/>
          <c:y val="0.908376963350785"/>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支出决算总体情况表</a:t>
            </a:r>
          </a:p>
        </c:rich>
      </c:tx>
      <c:layout>
        <c:manualLayout>
          <c:xMode val="edge"/>
          <c:yMode val="edge"/>
          <c:x val="0.287424140256237"/>
          <c:y val="0.032248157248157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200.5</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153.57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0090260"/>
        <c:axId val="460769936"/>
      </c:barChart>
      <c:catAx>
        <c:axId val="900902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769936"/>
        <c:crosses val="autoZero"/>
        <c:auto val="1"/>
        <c:lblAlgn val="ctr"/>
        <c:lblOffset val="100"/>
        <c:noMultiLvlLbl val="0"/>
      </c:catAx>
      <c:valAx>
        <c:axId val="46076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9026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2019年财政拨款“三公经费”支出</c:v>
                </c:pt>
              </c:strCache>
            </c:strRef>
          </c:tx>
          <c:spPr>
            <a:solidFill>
              <a:schemeClr val="accent1"/>
            </a:solidFill>
            <a:ln>
              <a:noFill/>
            </a:ln>
            <a:effectLst/>
          </c:spPr>
          <c:invertIfNegative val="0"/>
          <c:dLbls>
            <c:delete val="1"/>
          </c:dLbls>
          <c:cat>
            <c:strRef>
              <c:f>Sheet1!$A$2:$A$6</c:f>
              <c:strCache>
                <c:ptCount val="5"/>
                <c:pt idx="0">
                  <c:v>因公出国（境）费用</c:v>
                </c:pt>
                <c:pt idx="1">
                  <c:v>公务接待费</c:v>
                </c:pt>
                <c:pt idx="2">
                  <c:v>公务用车购置及运行维护费</c:v>
                </c:pt>
                <c:pt idx="3">
                  <c:v>会议费</c:v>
                </c:pt>
                <c:pt idx="4">
                  <c:v>培训费</c:v>
                </c:pt>
              </c:strCache>
            </c:strRef>
          </c:cat>
          <c:val>
            <c:numRef>
              <c:f>Sheet1!$B$2:$B$6</c:f>
              <c:numCache>
                <c:formatCode>General</c:formatCode>
                <c:ptCount val="5"/>
                <c:pt idx="0">
                  <c:v>0</c:v>
                </c:pt>
                <c:pt idx="1">
                  <c:v>0.2</c:v>
                </c:pt>
                <c:pt idx="2">
                  <c:v>0</c:v>
                </c:pt>
                <c:pt idx="3">
                  <c:v>0</c:v>
                </c:pt>
                <c:pt idx="4">
                  <c:v>0</c:v>
                </c:pt>
              </c:numCache>
            </c:numRef>
          </c:val>
        </c:ser>
        <c:dLbls>
          <c:showLegendKey val="0"/>
          <c:showVal val="0"/>
          <c:showCatName val="0"/>
          <c:showSerName val="0"/>
          <c:showPercent val="0"/>
          <c:showBubbleSize val="0"/>
        </c:dLbls>
        <c:gapWidth val="182"/>
        <c:overlap val="0"/>
        <c:axId val="78645431"/>
        <c:axId val="405060420"/>
      </c:barChart>
      <c:catAx>
        <c:axId val="78645431"/>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060420"/>
        <c:crosses val="autoZero"/>
        <c:auto val="1"/>
        <c:lblAlgn val="ctr"/>
        <c:lblOffset val="100"/>
        <c:noMultiLvlLbl val="0"/>
      </c:catAx>
      <c:valAx>
        <c:axId val="4050604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454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2020-10-12T02:44:00Z</dcterms:created>
  <dc:creator>Administrator</dc:creator>
  <cp:lastModifiedBy>sunshine@贝</cp:lastModifiedBy>
  <cp:lastPrinted>2021-05-12T07:31:52Z</cp:lastPrinted>
  <dcterms:modified xsi:type="dcterms:W3CDTF">2021-05-12T07:32:18Z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A81A47810DD44E3F93F829604FB50565</vt:lpwstr>
  </property>
</Properties>
</file>