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15" w:afterLines="20" w:line="576" w:lineRule="exact"/>
        <w:jc w:val="center"/>
        <w:rPr>
          <w:rFonts w:hint="eastAsia" w:ascii="方正小标宋简体" w:eastAsia="方正小标宋简体"/>
          <w:spacing w:val="30"/>
          <w:sz w:val="44"/>
          <w:szCs w:val="44"/>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val="en-US" w:eastAsia="zh-CN"/>
        </w:rPr>
      </w:pPr>
      <w:r>
        <w:rPr>
          <w:rStyle w:val="9"/>
          <w:rFonts w:hint="eastAsia" w:ascii="方正小标宋简体" w:hAnsi="方正小标宋简体" w:eastAsia="方正小标宋简体" w:cs="方正小标宋简体"/>
          <w:sz w:val="44"/>
          <w:szCs w:val="44"/>
          <w:lang w:eastAsia="zh-CN"/>
        </w:rPr>
        <w:t>阎良区供销合作社联合社</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bookmarkStart w:id="4" w:name="_GoBack"/>
      <w:bookmarkEnd w:id="4"/>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已审签</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olor w:val="000000"/>
          <w:kern w:val="0"/>
          <w:sz w:val="44"/>
          <w:szCs w:val="44"/>
        </w:rPr>
      </w:pPr>
      <w:r>
        <w:rPr>
          <w:rFonts w:hint="eastAsia" w:ascii="仿宋_GB2312" w:hAnsi="宋体" w:eastAsia="仿宋_GB2312" w:cs="宋体"/>
          <w:color w:val="000000"/>
          <w:kern w:val="0"/>
          <w:sz w:val="32"/>
          <w:szCs w:val="32"/>
          <w:lang w:val="en-US" w:eastAsia="zh-CN" w:bidi="ar-SA"/>
        </w:rPr>
        <w:t>西安市阎良区供销合作社联合社2019年度部门决算公开说明</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numPr>
          <w:ilvl w:val="0"/>
          <w:numId w:val="0"/>
        </w:numPr>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r>
        <w:rPr>
          <w:rFonts w:hint="eastAsia" w:ascii="仿宋_GB2312" w:hAnsi="仿宋_GB2312" w:eastAsia="仿宋_GB2312" w:cs="仿宋_GB2312"/>
          <w:sz w:val="32"/>
          <w:szCs w:val="32"/>
          <w:lang w:eastAsia="zh-CN"/>
        </w:rPr>
        <w:t>贯彻落实陕西省供销合作总社、西安市供销合作社和区委区政府的决策部署，承担组织实施基层社改造、强化市场运营，搞好面向农民的生产生活服务网点建设和对成员社资产的监管等职责。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eastAsia="zh-CN" w:bidi="ar"/>
        </w:rPr>
        <w:t>（二）</w:t>
      </w:r>
      <w:r>
        <w:rPr>
          <w:rFonts w:hint="eastAsia" w:ascii="楷体" w:hAnsi="楷体" w:eastAsia="楷体" w:cs="楷体"/>
          <w:b/>
          <w:bCs/>
          <w:color w:val="000000"/>
          <w:kern w:val="0"/>
          <w:sz w:val="32"/>
          <w:szCs w:val="32"/>
          <w:lang w:bidi="ar"/>
        </w:rPr>
        <w:t>内设机构</w:t>
      </w:r>
    </w:p>
    <w:p>
      <w:pPr>
        <w:numPr>
          <w:ilvl w:val="0"/>
          <w:numId w:val="0"/>
        </w:num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阎良区供销合作社联合社无内设机构。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个，包括本级及所属</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阎良区供销合作社联合社</w:t>
            </w:r>
            <w:r>
              <w:rPr>
                <w:rFonts w:hint="eastAsia" w:ascii="仿宋_GB2312" w:hAnsi="仿宋_GB2312" w:eastAsia="仿宋_GB2312" w:cs="仿宋_GB2312"/>
                <w:sz w:val="32"/>
                <w:szCs w:val="32"/>
              </w:rPr>
              <w:t>部门本级（机关）</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截止2019年底，本部门事业编制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其他人员</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，共计实际在岗</w:t>
      </w:r>
      <w:r>
        <w:rPr>
          <w:rFonts w:hint="eastAsia" w:ascii="仿宋_GB2312" w:hAnsi="仿宋_GB2312" w:eastAsia="仿宋_GB2312" w:cs="仿宋_GB2312"/>
          <w:sz w:val="32"/>
          <w:szCs w:val="32"/>
          <w:lang w:val="en-US" w:eastAsia="zh-CN"/>
        </w:rPr>
        <w:t>17人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414020</wp:posOffset>
            </wp:positionH>
            <wp:positionV relativeFrom="paragraph">
              <wp:posOffset>169545</wp:posOffset>
            </wp:positionV>
            <wp:extent cx="4229735" cy="2047875"/>
            <wp:effectExtent l="4445" t="5080" r="13970" b="444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rFonts w:ascii="黑体" w:hAnsi="宋体" w:eastAsia="黑体"/>
          <w:color w:val="000000"/>
          <w:kern w:val="0"/>
          <w:sz w:val="44"/>
          <w:szCs w:val="44"/>
        </w:rPr>
      </w:pPr>
      <w:r>
        <mc:AlternateContent>
          <mc:Choice Requires="wps">
            <w:drawing>
              <wp:anchor distT="0" distB="0" distL="114300" distR="114300" simplePos="0" relativeHeight="251660288" behindDoc="0" locked="0" layoutInCell="1" allowOverlap="1">
                <wp:simplePos x="0" y="0"/>
                <wp:positionH relativeFrom="column">
                  <wp:posOffset>3038475</wp:posOffset>
                </wp:positionH>
                <wp:positionV relativeFrom="paragraph">
                  <wp:posOffset>9525</wp:posOffset>
                </wp:positionV>
                <wp:extent cx="1833880" cy="290830"/>
                <wp:effectExtent l="0" t="0" r="0" b="0"/>
                <wp:wrapNone/>
                <wp:docPr id="5" name="矩形 4"/>
                <wp:cNvGraphicFramePr/>
                <a:graphic xmlns:a="http://schemas.openxmlformats.org/drawingml/2006/main">
                  <a:graphicData uri="http://schemas.microsoft.com/office/word/2010/wordprocessingShape">
                    <wps:wsp>
                      <wps:cNvSpPr/>
                      <wps:spPr>
                        <a:xfrm>
                          <a:off x="0" y="0"/>
                          <a:ext cx="1833880" cy="2908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pPr>
                              <w:pStyle w:val="5"/>
                              <w:kinsoku/>
                              <w:ind w:left="0"/>
                              <w:jc w:val="center"/>
                              <w:rPr>
                                <w:color w:val="auto"/>
                              </w:rPr>
                            </w:pPr>
                            <w:r>
                              <w:rPr>
                                <w:rFonts w:hint="eastAsia" w:asciiTheme="minorAscii" w:hAnsiTheme="minorBidi" w:eastAsiaTheme="minorEastAsia"/>
                                <w:b/>
                                <w:color w:val="auto"/>
                                <w:kern w:val="24"/>
                                <w:sz w:val="24"/>
                                <w:szCs w:val="24"/>
                                <w:lang w:eastAsia="zh-CN"/>
                                <w14:shadow w14:blurRad="38100" w14:dist="25400" w14:dir="5400000" w14:algn="ctr">
                                  <w14:srgbClr w14:val="6E747A">
                                    <w14:alpha w14:val="57000"/>
                                  </w14:srgbClr>
                                </w14:shadow>
                              </w:rPr>
                              <w:t>实际</w:t>
                            </w:r>
                            <w:r>
                              <w:rPr>
                                <w:rFonts w:asciiTheme="minorAscii" w:hAnsiTheme="minorBidi" w:eastAsiaTheme="minorEastAsia"/>
                                <w:b/>
                                <w:color w:val="auto"/>
                                <w:kern w:val="24"/>
                                <w:sz w:val="24"/>
                                <w:szCs w:val="24"/>
                                <w14:shadow w14:blurRad="38100" w14:dist="25400" w14:dir="5400000" w14:algn="ctr">
                                  <w14:srgbClr w14:val="6E747A">
                                    <w14:alpha w14:val="57000"/>
                                  </w14:srgbClr>
                                </w14:shadow>
                              </w:rPr>
                              <w:t>在岗人员17人</w:t>
                            </w:r>
                          </w:p>
                        </w:txbxContent>
                      </wps:txbx>
                      <wps:bodyPr vertOverflow="overflow" horzOverflow="overflow" wrap="square" rtlCol="0" anchor="t">
                        <a:spAutoFit/>
                      </wps:bodyPr>
                    </wps:wsp>
                  </a:graphicData>
                </a:graphic>
              </wp:anchor>
            </w:drawing>
          </mc:Choice>
          <mc:Fallback>
            <w:pict>
              <v:rect id="矩形 4" o:spid="_x0000_s1026" o:spt="1" style="position:absolute;left:0pt;margin-left:239.25pt;margin-top:0.75pt;height:22.9pt;width:144.4pt;z-index:251660288;mso-width-relative:page;mso-height-relative:page;" filled="f" stroked="f" coordsize="21600,21600" o:gfxdata="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wPKiNcAAAAIAQAADwAA&#10;AAAAAAABACAAAAAiAAAAZHJzL2Rvd25yZXYueG1sUEsBAhQAFAAAAAgAh07iQMgtFRXeAQAAtwMA&#10;AA4AAAAAAAAAAQAgAAAAJgEAAGRycy9lMm9Eb2MueG1sUEsFBgAAAAAGAAYAWQEAAHYFAAAAAA==&#10;">
                <v:fill on="f" focussize="0,0"/>
                <v:stroke on="f"/>
                <v:imagedata o:title=""/>
                <o:lock v:ext="edit" aspectratio="f"/>
                <v:textbox style="mso-fit-shape-to-text:t;">
                  <w:txbxContent>
                    <w:p>
                      <w:pPr>
                        <w:pStyle w:val="5"/>
                        <w:kinsoku/>
                        <w:ind w:left="0"/>
                        <w:jc w:val="center"/>
                        <w:rPr>
                          <w:color w:val="auto"/>
                        </w:rPr>
                      </w:pPr>
                      <w:r>
                        <w:rPr>
                          <w:rFonts w:hint="eastAsia" w:asciiTheme="minorAscii" w:hAnsiTheme="minorBidi" w:eastAsiaTheme="minorEastAsia"/>
                          <w:b/>
                          <w:color w:val="auto"/>
                          <w:kern w:val="24"/>
                          <w:sz w:val="24"/>
                          <w:szCs w:val="24"/>
                          <w:lang w:eastAsia="zh-CN"/>
                          <w14:shadow w14:blurRad="38100" w14:dist="25400" w14:dir="5400000" w14:algn="ctr">
                            <w14:srgbClr w14:val="6E747A">
                              <w14:alpha w14:val="57000"/>
                            </w14:srgbClr>
                          </w14:shadow>
                        </w:rPr>
                        <w:t>实际</w:t>
                      </w:r>
                      <w:r>
                        <w:rPr>
                          <w:rFonts w:asciiTheme="minorAscii" w:hAnsiTheme="minorBidi" w:eastAsiaTheme="minorEastAsia"/>
                          <w:b/>
                          <w:color w:val="auto"/>
                          <w:kern w:val="24"/>
                          <w:sz w:val="24"/>
                          <w:szCs w:val="24"/>
                          <w14:shadow w14:blurRad="38100" w14:dist="25400" w14:dir="5400000" w14:algn="ctr">
                            <w14:srgbClr w14:val="6E747A">
                              <w14:alpha w14:val="57000"/>
                            </w14:srgbClr>
                          </w14:shadow>
                        </w:rPr>
                        <w:t>在岗人员17人</w:t>
                      </w:r>
                    </w:p>
                  </w:txbxContent>
                </v:textbox>
              </v:rect>
            </w:pict>
          </mc:Fallback>
        </mc:AlternateContent>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1"/>
                <w:szCs w:val="21"/>
                <w:lang w:eastAsia="zh-CN"/>
              </w:rPr>
              <w:t>无政府性基金</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133.04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133.04</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2244"/>
        <w:gridCol w:w="810"/>
        <w:gridCol w:w="735"/>
        <w:gridCol w:w="600"/>
        <w:gridCol w:w="645"/>
        <w:gridCol w:w="825"/>
        <w:gridCol w:w="675"/>
        <w:gridCol w:w="720"/>
        <w:gridCol w:w="686"/>
      </w:tblGrid>
      <w:tr>
        <w:tblPrEx>
          <w:tblCellMar>
            <w:top w:w="15" w:type="dxa"/>
            <w:left w:w="15" w:type="dxa"/>
            <w:bottom w:w="15" w:type="dxa"/>
            <w:right w:w="15" w:type="dxa"/>
          </w:tblCellMar>
        </w:tblPrEx>
        <w:trPr>
          <w:trHeight w:val="439" w:hRule="atLeast"/>
        </w:trPr>
        <w:tc>
          <w:tcPr>
            <w:tcW w:w="31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24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31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商业服务业等支出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商业流通事务</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82.67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82.67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2160201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行政运行</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2160202</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一般行政管理事务支出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2160299</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其他商业流通事务支出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其他商业服务业等支出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2169999</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其他商业服务业等支出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2189"/>
        <w:gridCol w:w="1170"/>
        <w:gridCol w:w="975"/>
        <w:gridCol w:w="915"/>
        <w:gridCol w:w="840"/>
        <w:gridCol w:w="690"/>
        <w:gridCol w:w="1120"/>
      </w:tblGrid>
      <w:tr>
        <w:tblPrEx>
          <w:tblCellMar>
            <w:top w:w="15" w:type="dxa"/>
            <w:left w:w="15" w:type="dxa"/>
            <w:bottom w:w="15" w:type="dxa"/>
            <w:right w:w="15" w:type="dxa"/>
          </w:tblCellMar>
        </w:tblPrEx>
        <w:trPr>
          <w:trHeight w:val="372" w:hRule="atLeast"/>
        </w:trPr>
        <w:tc>
          <w:tcPr>
            <w:tcW w:w="31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1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1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商业流通事务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82.67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82.67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2160201</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行政运行</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2160202</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一般行政管理事务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56.25</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56.25</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2160299</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其他商业流通事务支出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4.75</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4.75</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21699</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2169999</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16</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商业服务业等支出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1602</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商业流通事务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82.67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160201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2160202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其他商业流通事务支出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21.67</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20.78</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0.89</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19.52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19.52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302</w:t>
            </w:r>
            <w:r>
              <w:rPr>
                <w:rFonts w:hint="eastAsia" w:ascii="宋体" w:hAnsi="宋体" w:eastAsia="宋体" w:cs="宋体"/>
                <w:color w:val="000000"/>
                <w:kern w:val="0"/>
                <w:sz w:val="21"/>
                <w:szCs w:val="21"/>
                <w:lang w:val="en-US" w:eastAsia="zh-CN"/>
              </w:rPr>
              <w:t>39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对个人和家庭补助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2.65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2.65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度本年</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上年增长</w:t>
      </w:r>
      <w:r>
        <w:rPr>
          <w:rFonts w:hint="eastAsia" w:ascii="仿宋_GB2312" w:hAnsi="仿宋" w:eastAsia="仿宋_GB2312"/>
          <w:sz w:val="32"/>
          <w:szCs w:val="32"/>
          <w:lang w:val="en-US" w:eastAsia="zh-CN"/>
        </w:rPr>
        <w:t>21.65万元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是项目收入增加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w:t>
      </w:r>
      <w:r>
        <w:rPr>
          <w:rFonts w:hint="eastAsia" w:ascii="仿宋_GB2312" w:hAnsi="仿宋" w:eastAsia="仿宋_GB2312"/>
          <w:sz w:val="32"/>
          <w:szCs w:val="32"/>
          <w:lang w:eastAsia="zh-CN"/>
        </w:rPr>
        <w:t>度</w:t>
      </w:r>
      <w:r>
        <w:rPr>
          <w:rFonts w:hint="eastAsia" w:ascii="仿宋_GB2312" w:hAnsi="仿宋" w:eastAsia="仿宋_GB2312"/>
          <w:sz w:val="32"/>
          <w:szCs w:val="32"/>
        </w:rPr>
        <w:t>年</w:t>
      </w:r>
      <w:r>
        <w:rPr>
          <w:rFonts w:hint="eastAsia" w:ascii="仿宋_GB2312" w:hAnsi="仿宋" w:eastAsia="仿宋_GB2312"/>
          <w:sz w:val="32"/>
          <w:szCs w:val="32"/>
          <w:lang w:eastAsia="zh-CN"/>
        </w:rPr>
        <w:t>本年</w:t>
      </w:r>
      <w:r>
        <w:rPr>
          <w:rFonts w:hint="eastAsia" w:ascii="仿宋_GB2312" w:hAnsi="仿宋" w:eastAsia="仿宋_GB2312"/>
          <w:sz w:val="32"/>
          <w:szCs w:val="32"/>
        </w:rPr>
        <w:t>支出</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上年增长</w:t>
      </w:r>
      <w:r>
        <w:rPr>
          <w:rFonts w:hint="eastAsia" w:ascii="仿宋_GB2312" w:hAnsi="仿宋" w:eastAsia="仿宋_GB2312"/>
          <w:sz w:val="32"/>
          <w:szCs w:val="32"/>
          <w:lang w:val="en-US" w:eastAsia="zh-CN"/>
        </w:rPr>
        <w:t>21.65万元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是项目收入增加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drawing>
          <wp:anchor distT="0" distB="0" distL="114300" distR="114300" simplePos="0" relativeHeight="251661312" behindDoc="0" locked="0" layoutInCell="1" allowOverlap="1">
            <wp:simplePos x="0" y="0"/>
            <wp:positionH relativeFrom="column">
              <wp:posOffset>330200</wp:posOffset>
            </wp:positionH>
            <wp:positionV relativeFrom="paragraph">
              <wp:posOffset>233680</wp:posOffset>
            </wp:positionV>
            <wp:extent cx="4699000" cy="3810000"/>
            <wp:effectExtent l="0" t="0" r="6350" b="0"/>
            <wp:wrapSquare wrapText="bothSides"/>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7"/>
                    <a:stretch>
                      <a:fillRect/>
                    </a:stretch>
                  </pic:blipFill>
                  <pic:spPr>
                    <a:xfrm>
                      <a:off x="0" y="0"/>
                      <a:ext cx="4699000" cy="38100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总收入的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drawing>
          <wp:anchor distT="0" distB="0" distL="114300" distR="114300" simplePos="0" relativeHeight="251662336" behindDoc="0" locked="0" layoutInCell="1" allowOverlap="1">
            <wp:simplePos x="0" y="0"/>
            <wp:positionH relativeFrom="column">
              <wp:posOffset>273050</wp:posOffset>
            </wp:positionH>
            <wp:positionV relativeFrom="paragraph">
              <wp:posOffset>133350</wp:posOffset>
            </wp:positionV>
            <wp:extent cx="4572000" cy="2743200"/>
            <wp:effectExtent l="0" t="0" r="0" b="5715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14:textFill>
            <w14:no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21.67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16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是</w:t>
      </w:r>
      <w:r>
        <w:rPr>
          <w:rFonts w:hint="eastAsia" w:ascii="仿宋_GB2312" w:hAnsi="华文仿宋" w:eastAsia="仿宋_GB2312" w:cs="华文仿宋"/>
          <w:sz w:val="32"/>
          <w:szCs w:val="32"/>
        </w:rPr>
        <w:t>保障机构正常运转、完成日常工作任务而发生的各项支出，包括人员经费</w:t>
      </w:r>
      <w:r>
        <w:rPr>
          <w:rFonts w:hint="eastAsia" w:ascii="仿宋_GB2312" w:hAnsi="华文仿宋" w:eastAsia="仿宋_GB2312" w:cs="华文仿宋"/>
          <w:sz w:val="32"/>
          <w:szCs w:val="32"/>
          <w:lang w:val="en-US" w:eastAsia="zh-CN"/>
        </w:rPr>
        <w:t>20.68</w:t>
      </w:r>
      <w:r>
        <w:rPr>
          <w:rFonts w:hint="eastAsia" w:ascii="仿宋_GB2312" w:hAnsi="华文仿宋" w:eastAsia="仿宋_GB2312" w:cs="华文仿宋"/>
          <w:sz w:val="32"/>
          <w:szCs w:val="32"/>
        </w:rPr>
        <w:t>万元和公用经费0.</w:t>
      </w:r>
      <w:r>
        <w:rPr>
          <w:rFonts w:hint="eastAsia" w:ascii="仿宋_GB2312" w:hAnsi="华文仿宋" w:eastAsia="仿宋_GB2312" w:cs="华文仿宋"/>
          <w:sz w:val="32"/>
          <w:szCs w:val="32"/>
          <w:lang w:val="en-US" w:eastAsia="zh-CN"/>
        </w:rPr>
        <w:t>89</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111.37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84</w:t>
      </w:r>
      <w:r>
        <w:rPr>
          <w:rFonts w:ascii="仿宋_GB2312" w:hAnsi="宋体" w:eastAsia="仿宋_GB2312" w:cs="仿宋_GB2312"/>
          <w:color w:val="000000"/>
          <w:kern w:val="0"/>
          <w:sz w:val="32"/>
          <w:szCs w:val="32"/>
          <w:lang w:bidi="ar"/>
        </w:rPr>
        <w:t>%。</w:t>
      </w:r>
      <w:r>
        <w:rPr>
          <w:rFonts w:hint="eastAsia" w:ascii="仿宋_GB2312" w:hAnsi="华文仿宋" w:eastAsia="仿宋_GB2312" w:cs="华文仿宋"/>
          <w:sz w:val="32"/>
          <w:szCs w:val="32"/>
        </w:rPr>
        <w:t>主要包括3个项目103万元，分别是业务费</w:t>
      </w:r>
      <w:r>
        <w:rPr>
          <w:rFonts w:hint="eastAsia" w:ascii="仿宋_GB2312" w:hAnsi="华文仿宋" w:eastAsia="仿宋_GB2312" w:cs="华文仿宋"/>
          <w:sz w:val="32"/>
          <w:szCs w:val="32"/>
          <w:lang w:val="en-US" w:eastAsia="zh-CN"/>
        </w:rPr>
        <w:t>48</w:t>
      </w:r>
      <w:r>
        <w:rPr>
          <w:rFonts w:hint="eastAsia" w:ascii="仿宋_GB2312" w:hAnsi="华文仿宋" w:eastAsia="仿宋_GB2312" w:cs="华文仿宋"/>
          <w:sz w:val="32"/>
          <w:szCs w:val="32"/>
        </w:rPr>
        <w:t>万元、慰问困难职工</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再生资源网络建设项目</w:t>
      </w:r>
      <w:r>
        <w:rPr>
          <w:rFonts w:hint="eastAsia" w:ascii="仿宋_GB2312" w:hAnsi="华文仿宋" w:eastAsia="仿宋_GB2312" w:cs="华文仿宋"/>
          <w:sz w:val="32"/>
          <w:szCs w:val="32"/>
        </w:rPr>
        <w:t>5万元</w:t>
      </w:r>
      <w:r>
        <w:rPr>
          <w:rFonts w:hint="eastAsia" w:ascii="仿宋_GB2312" w:hAnsi="华文仿宋" w:eastAsia="仿宋_GB2312" w:cs="华文仿宋"/>
          <w:sz w:val="32"/>
          <w:szCs w:val="32"/>
          <w:lang w:eastAsia="zh-CN"/>
        </w:rPr>
        <w:t>、退役军人生活补助</w:t>
      </w:r>
      <w:r>
        <w:rPr>
          <w:rFonts w:hint="eastAsia" w:ascii="仿宋_GB2312" w:hAnsi="华文仿宋" w:eastAsia="仿宋_GB2312" w:cs="华文仿宋"/>
          <w:sz w:val="32"/>
          <w:szCs w:val="32"/>
          <w:lang w:val="en-US" w:eastAsia="zh-CN"/>
        </w:rPr>
        <w:t>50.37万元</w:t>
      </w:r>
      <w:r>
        <w:rPr>
          <w:rFonts w:hint="eastAsia" w:ascii="仿宋_GB2312" w:hAnsi="华文仿宋" w:eastAsia="仿宋_GB2312" w:cs="华文仿宋"/>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drawing>
          <wp:anchor distT="0" distB="0" distL="114300" distR="114300" simplePos="0" relativeHeight="251663360" behindDoc="0" locked="0" layoutInCell="1" allowOverlap="1">
            <wp:simplePos x="0" y="0"/>
            <wp:positionH relativeFrom="column">
              <wp:posOffset>354330</wp:posOffset>
            </wp:positionH>
            <wp:positionV relativeFrom="paragraph">
              <wp:posOffset>12065</wp:posOffset>
            </wp:positionV>
            <wp:extent cx="4572000" cy="2743200"/>
            <wp:effectExtent l="4445" t="4445" r="14605" b="71755"/>
            <wp:wrapSquare wrapText="bothSides"/>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w:t>
      </w:r>
      <w:r>
        <w:rPr>
          <w:rFonts w:hint="eastAsia" w:ascii="仿宋_GB2312" w:hAnsi="仿宋" w:eastAsia="仿宋_GB2312"/>
          <w:sz w:val="32"/>
          <w:szCs w:val="32"/>
          <w:lang w:eastAsia="zh-CN"/>
        </w:rPr>
        <w:t>加</w:t>
      </w:r>
      <w:r>
        <w:rPr>
          <w:rFonts w:hint="eastAsia" w:ascii="仿宋_GB2312" w:hAnsi="仿宋" w:eastAsia="仿宋_GB2312"/>
          <w:sz w:val="32"/>
          <w:szCs w:val="32"/>
          <w:lang w:val="en-US" w:eastAsia="zh-CN"/>
        </w:rPr>
        <w:t>21.67万元</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增加退役军人生活补助</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w:t>
      </w:r>
      <w:r>
        <w:rPr>
          <w:rFonts w:hint="eastAsia" w:ascii="仿宋_GB2312" w:hAnsi="仿宋" w:eastAsia="仿宋_GB2312"/>
          <w:sz w:val="32"/>
          <w:szCs w:val="32"/>
          <w:lang w:eastAsia="zh-CN"/>
        </w:rPr>
        <w:t>加</w:t>
      </w:r>
      <w:r>
        <w:rPr>
          <w:rFonts w:hint="eastAsia" w:ascii="仿宋_GB2312" w:hAnsi="仿宋" w:eastAsia="仿宋_GB2312"/>
          <w:sz w:val="32"/>
          <w:szCs w:val="32"/>
          <w:lang w:val="en-US" w:eastAsia="zh-CN"/>
        </w:rPr>
        <w:t>21.67万元，</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是增加退役军人生活补助</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drawing>
          <wp:anchor distT="0" distB="0" distL="114300" distR="114300" simplePos="0" relativeHeight="251664384" behindDoc="0" locked="0" layoutInCell="1" allowOverlap="1">
            <wp:simplePos x="0" y="0"/>
            <wp:positionH relativeFrom="column">
              <wp:posOffset>387350</wp:posOffset>
            </wp:positionH>
            <wp:positionV relativeFrom="paragraph">
              <wp:posOffset>231775</wp:posOffset>
            </wp:positionV>
            <wp:extent cx="4699000" cy="3810000"/>
            <wp:effectExtent l="0" t="0" r="6350" b="0"/>
            <wp:wrapSquare wrapText="bothSides"/>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4699000" cy="38100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21.65</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19</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eastAsia="zh-CN" w:bidi="ar"/>
        </w:rPr>
        <w:t>增加退役军人生活补助</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drawing>
          <wp:anchor distT="0" distB="0" distL="114300" distR="114300" simplePos="0" relativeHeight="251665408" behindDoc="0" locked="0" layoutInCell="1" allowOverlap="1">
            <wp:simplePos x="0" y="0"/>
            <wp:positionH relativeFrom="column">
              <wp:posOffset>420370</wp:posOffset>
            </wp:positionH>
            <wp:positionV relativeFrom="paragraph">
              <wp:posOffset>166370</wp:posOffset>
            </wp:positionV>
            <wp:extent cx="4572000" cy="2743200"/>
            <wp:effectExtent l="4445" t="4445" r="14605" b="14605"/>
            <wp:wrapSquare wrapText="bothSides"/>
            <wp:docPr id="1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49.5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269</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21.67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1444</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val="en-US" w:eastAsia="zh-CN" w:bidi="ar"/>
        </w:rPr>
        <w:t>2019年年初预算无人员工资，2019年7月增加编制6人，增加人员工资和目标奖</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2、一般公共支出（类）财政事务（款）一般行政管理事务（项）。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年初预算43万元，支出决算56.25万元，完成年初决算的131%。决算数大于预算数的主要原因是财政追加13万元业务费。0.25万元是其他商业流通事务科目款。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3、一般公共支出（类）财政事务（款）其他商业流通事务（项）。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年初预算5万元，支出决算4.75万元，完成年初决算的95%。决算数小于预算数的主要原因是财政拨款下拨到一般行政管理事务科目。</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一般公共支出（类）财政事务（款）其他商业服务业等支出（项）。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rPr>
      </w:pPr>
      <w:r>
        <w:rPr>
          <w:rFonts w:hint="eastAsia" w:ascii="仿宋_GB2312" w:hAnsi="宋体" w:eastAsia="仿宋_GB2312" w:cs="仿宋_GB2312"/>
          <w:b/>
          <w:bCs/>
          <w:color w:val="000000"/>
          <w:kern w:val="0"/>
          <w:sz w:val="32"/>
          <w:szCs w:val="32"/>
          <w:lang w:val="en-US" w:eastAsia="zh-CN" w:bidi="ar"/>
        </w:rPr>
        <w:t xml:space="preserve"> </w:t>
      </w:r>
      <w:r>
        <w:rPr>
          <w:rFonts w:hint="eastAsia" w:ascii="仿宋_GB2312" w:hAnsi="宋体" w:eastAsia="仿宋_GB2312" w:cs="仿宋_GB2312"/>
          <w:b w:val="0"/>
          <w:bCs w:val="0"/>
          <w:color w:val="000000"/>
          <w:kern w:val="0"/>
          <w:sz w:val="32"/>
          <w:szCs w:val="32"/>
          <w:lang w:val="en-US" w:eastAsia="zh-CN" w:bidi="ar"/>
        </w:rPr>
        <w:t xml:space="preserve">   年初无预算，支出决算50.37万元，主要是退役军人生活补助。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21.67</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20.79</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1.89</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20.79</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基本工资</w:t>
      </w:r>
      <w:r>
        <w:rPr>
          <w:rFonts w:hint="eastAsia" w:ascii="仿宋_GB2312" w:hAnsi="宋体" w:eastAsia="仿宋_GB2312" w:cs="仿宋_GB2312"/>
          <w:color w:val="000000"/>
          <w:kern w:val="0"/>
          <w:sz w:val="32"/>
          <w:szCs w:val="32"/>
          <w:lang w:val="en-US" w:eastAsia="zh-CN" w:bidi="ar"/>
        </w:rPr>
        <w:t>2.56</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2.94、奖金12万元、养老、医疗等4.17万元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0.89</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办公费</w:t>
      </w:r>
      <w:r>
        <w:rPr>
          <w:rFonts w:hint="eastAsia" w:ascii="仿宋_GB2312" w:hAnsi="宋体" w:eastAsia="仿宋_GB2312" w:cs="仿宋_GB2312"/>
          <w:color w:val="000000"/>
          <w:kern w:val="0"/>
          <w:sz w:val="32"/>
          <w:szCs w:val="32"/>
          <w:lang w:val="en-US" w:eastAsia="zh-CN" w:bidi="ar"/>
        </w:rPr>
        <w:t>0.29</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、其他交通费用</w:t>
      </w:r>
      <w:r>
        <w:rPr>
          <w:rFonts w:hint="eastAsia" w:ascii="仿宋_GB2312" w:hAnsi="宋体" w:eastAsia="仿宋_GB2312" w:cs="仿宋_GB2312"/>
          <w:color w:val="000000"/>
          <w:kern w:val="0"/>
          <w:sz w:val="32"/>
          <w:szCs w:val="32"/>
          <w:lang w:val="en-US" w:eastAsia="zh-CN" w:bidi="ar"/>
        </w:rPr>
        <w:t>0.6万元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eastAsia="zh-CN" w:bidi="ar"/>
        </w:rPr>
        <w:t>对个人和家庭的补助</w:t>
      </w:r>
      <w:r>
        <w:rPr>
          <w:rFonts w:hint="eastAsia" w:ascii="仿宋_GB2312" w:hAnsi="宋体" w:eastAsia="仿宋_GB2312" w:cs="仿宋_GB2312"/>
          <w:color w:val="000000"/>
          <w:kern w:val="0"/>
          <w:sz w:val="32"/>
          <w:szCs w:val="32"/>
          <w:lang w:val="en-US" w:eastAsia="zh-CN" w:bidi="ar"/>
        </w:rPr>
        <w:t>1.26万元，主要是3名遗属人员生活补助。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无增减</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2019年无预算，无人员出国</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2019年无“三公”经费预算，无人员出国</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2019年无“三公”经费预算，无人员出国</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1.5</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1.5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2019年未预算培训费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2019年未预算会议费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示例：根据预算绩效管理要求，本部门组织对2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61</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本部门机关单位进行了绩效自评，涉及资金</w:t>
      </w:r>
      <w:r>
        <w:rPr>
          <w:rFonts w:hint="eastAsia" w:ascii="仿宋_GB2312" w:hAnsi="仿宋_GB2312" w:eastAsia="仿宋_GB2312" w:cs="仿宋_GB2312"/>
          <w:color w:val="000000"/>
          <w:kern w:val="0"/>
          <w:sz w:val="31"/>
          <w:szCs w:val="31"/>
          <w:lang w:val="en-US" w:eastAsia="zh-CN" w:bidi="ar"/>
        </w:rPr>
        <w:t>61</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慰问困难职工</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后保障了供销系统下岗、退休职工、困难职工春节的慰问，得到了党和政府的温暖</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预算分配不均匀，主要实施在一季度</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再生资源网络建设项目</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后建立废品回收站，方便了群众。</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预算费用少。</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3、</w:t>
      </w:r>
      <w:r>
        <w:rPr>
          <w:rFonts w:hint="eastAsia" w:ascii="仿宋_GB2312" w:hAnsi="仿宋_GB2312" w:eastAsia="仿宋_GB2312" w:cs="仿宋_GB2312"/>
          <w:color w:val="000000"/>
          <w:kern w:val="0"/>
          <w:sz w:val="31"/>
          <w:szCs w:val="31"/>
          <w:lang w:eastAsia="zh-CN" w:bidi="ar"/>
        </w:rPr>
        <w:t>业务费项目</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后保障本级供销社临聘人员办公经费和人员工资，从而保证了供销社的正常运转。</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临聘人员多，工资和办公费有缺口。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或部门机关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bidi="ar"/>
        </w:rPr>
        <w:t>或所属二级单位</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49.5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133.04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269</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取得了良好的社会效益。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保障供销联社临聘人员办公经费和人员工资，从而保证了供销联社的正常运转。保障了供销系统下岗、退休职工、困难职工春节的慰问，得到了党和政府的温暖</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预算分配不均匀，预算金额少。</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object>
          <v:shape id="_x0000_i1025" o:spt="75" type="#_x0000_t75" style="height:658.65pt;width:387.9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5" r:id="rId12">
            <o:LockedField>false</o:LockedField>
          </o:OLEObject>
        </w:object>
      </w:r>
    </w:p>
    <w:p>
      <w:pPr>
        <w:widowControl/>
        <w:jc w:val="left"/>
        <w:rPr>
          <w:rFonts w:hint="eastAsia" w:ascii="仿宋_GB2312" w:hAnsi="仿宋_GB2312" w:eastAsia="仿宋_GB2312" w:cs="仿宋_GB2312"/>
          <w:color w:val="00000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left"/>
        <w:rPr>
          <w:rFonts w:hint="eastAsia" w:ascii="仿宋_GB2312" w:hAnsi="仿宋_GB2312" w:eastAsia="仿宋_GB2312" w:cs="仿宋_GB2312"/>
          <w:color w:val="000000"/>
          <w:kern w:val="0"/>
          <w:sz w:val="31"/>
          <w:szCs w:val="31"/>
          <w:lang w:bidi="ar"/>
        </w:rPr>
        <w:sectPr>
          <w:pgSz w:w="16838" w:h="11906" w:orient="landscape"/>
          <w:pgMar w:top="1800" w:right="1440" w:bottom="1800" w:left="1440" w:header="851" w:footer="992" w:gutter="0"/>
          <w:cols w:space="425" w:num="1"/>
          <w:docGrid w:type="lines" w:linePitch="312" w:charSpace="0"/>
        </w:sectPr>
      </w:pPr>
      <w:bookmarkStart w:id="0" w:name="_1662907161"/>
      <w:bookmarkEnd w:id="0"/>
      <w:bookmarkStart w:id="1" w:name="_1662907596"/>
      <w:bookmarkEnd w:id="1"/>
      <w:bookmarkStart w:id="2" w:name="_1662907080"/>
      <w:bookmarkEnd w:id="2"/>
      <w:r>
        <w:rPr>
          <w:rFonts w:hint="eastAsia" w:ascii="仿宋_GB2312" w:hAnsi="仿宋_GB2312" w:eastAsia="仿宋_GB2312" w:cs="仿宋_GB2312"/>
          <w:color w:val="000000"/>
          <w:kern w:val="0"/>
          <w:sz w:val="31"/>
          <w:szCs w:val="31"/>
          <w:lang w:bidi="ar"/>
        </w:rPr>
        <w:object>
          <v:shape id="_x0000_i1026" o:spt="75" type="#_x0000_t75" style="height:1005.25pt;width:697.8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6" r:id="rId14">
            <o:LockedField>false</o:LockedField>
          </o:OLEObject>
        </w:object>
      </w:r>
    </w:p>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eastAsia="zh-CN" w:bidi="ar"/>
        </w:rPr>
        <w:object>
          <v:shape id="_x0000_i1027" o:spt="75" type="#_x0000_t75" style="height:630pt;width:701.25pt;" o:ole="t" filled="f" o:preferrelative="t" stroked="f" coordsize="21600,21600">
            <v:path/>
            <v:fill on="f" focussize="0,0"/>
            <v:stroke on="f"/>
            <v:imagedata r:id="rId17" o:title=""/>
            <o:lock v:ext="edit" aspectratio="t"/>
            <w10:wrap type="none"/>
            <w10:anchorlock/>
          </v:shape>
          <o:OLEObject Type="Embed" ProgID="Excel.Sheet.12" ShapeID="_x0000_i1027" DrawAspect="Content" ObjectID="_1468075727" r:id="rId16">
            <o:LockedField>false</o:LockedField>
          </o:OLEObject>
        </w:object>
      </w:r>
      <w:bookmarkStart w:id="3" w:name="_1662907696"/>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rPr>
        <w:t>示例：</w:t>
      </w: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49.55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269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83.54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增加退役军人生活补助和在编人员工资</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示例：截至2019年末，本部门机关及所属单位共有车辆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5E41E"/>
    <w:multiLevelType w:val="singleLevel"/>
    <w:tmpl w:val="8FE5E41E"/>
    <w:lvl w:ilvl="0" w:tentative="0">
      <w:start w:val="1"/>
      <w:numFmt w:val="chineseCounting"/>
      <w:suff w:val="nothing"/>
      <w:lvlText w:val="%1、"/>
      <w:lvlJc w:val="left"/>
      <w:rPr>
        <w:rFonts w:hint="eastAsia"/>
      </w:r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B2CC8341"/>
    <w:multiLevelType w:val="singleLevel"/>
    <w:tmpl w:val="B2CC8341"/>
    <w:lvl w:ilvl="0" w:tentative="0">
      <w:start w:val="4"/>
      <w:numFmt w:val="decimal"/>
      <w:suff w:val="nothing"/>
      <w:lvlText w:val="%1、"/>
      <w:lvlJc w:val="left"/>
    </w:lvl>
  </w:abstractNum>
  <w:abstractNum w:abstractNumId="3">
    <w:nsid w:val="35EDAB28"/>
    <w:multiLevelType w:val="singleLevel"/>
    <w:tmpl w:val="35EDAB28"/>
    <w:lvl w:ilvl="0" w:tentative="0">
      <w:start w:val="2"/>
      <w:numFmt w:val="decimal"/>
      <w:suff w:val="nothing"/>
      <w:lvlText w:val="%1、"/>
      <w:lvlJc w:val="left"/>
    </w:lvl>
  </w:abstractNum>
  <w:abstractNum w:abstractNumId="4">
    <w:nsid w:val="39BEA4A8"/>
    <w:multiLevelType w:val="singleLevel"/>
    <w:tmpl w:val="39BEA4A8"/>
    <w:lvl w:ilvl="0" w:tentative="0">
      <w:start w:val="4"/>
      <w:numFmt w:val="chineseCounting"/>
      <w:suff w:val="space"/>
      <w:lvlText w:val="第%1部分"/>
      <w:lvlJc w:val="left"/>
      <w:rPr>
        <w:rFonts w:hint="eastAsia"/>
      </w:rPr>
    </w:lvl>
  </w:abstractNum>
  <w:abstractNum w:abstractNumId="5">
    <w:nsid w:val="4E290741"/>
    <w:multiLevelType w:val="singleLevel"/>
    <w:tmpl w:val="4E290741"/>
    <w:lvl w:ilvl="0" w:tentative="0">
      <w:start w:val="3"/>
      <w:numFmt w:val="decimal"/>
      <w:suff w:val="nothing"/>
      <w:lvlText w:val="%1．"/>
      <w:lvlJc w:val="left"/>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D48A8"/>
    <w:rsid w:val="010E3361"/>
    <w:rsid w:val="02D735AF"/>
    <w:rsid w:val="04524531"/>
    <w:rsid w:val="04B41FD6"/>
    <w:rsid w:val="04CA3C33"/>
    <w:rsid w:val="05D24B62"/>
    <w:rsid w:val="05ED30DC"/>
    <w:rsid w:val="06176162"/>
    <w:rsid w:val="068B7849"/>
    <w:rsid w:val="06DF60D3"/>
    <w:rsid w:val="081C2A60"/>
    <w:rsid w:val="086C1E64"/>
    <w:rsid w:val="09F56D6B"/>
    <w:rsid w:val="0BEB7302"/>
    <w:rsid w:val="0D52243B"/>
    <w:rsid w:val="0F5C2E55"/>
    <w:rsid w:val="10F93595"/>
    <w:rsid w:val="11215677"/>
    <w:rsid w:val="15916C1F"/>
    <w:rsid w:val="16A33DC0"/>
    <w:rsid w:val="16CB3CDF"/>
    <w:rsid w:val="17AB3BA8"/>
    <w:rsid w:val="18634A0D"/>
    <w:rsid w:val="1A025521"/>
    <w:rsid w:val="1A1A62BB"/>
    <w:rsid w:val="1A845CBE"/>
    <w:rsid w:val="1AF22409"/>
    <w:rsid w:val="1BF94634"/>
    <w:rsid w:val="1C7D478F"/>
    <w:rsid w:val="1D8B0C78"/>
    <w:rsid w:val="1ED0414F"/>
    <w:rsid w:val="20B96E79"/>
    <w:rsid w:val="20E506C4"/>
    <w:rsid w:val="21272AED"/>
    <w:rsid w:val="21830B4B"/>
    <w:rsid w:val="21FD739E"/>
    <w:rsid w:val="2256467C"/>
    <w:rsid w:val="23890E6D"/>
    <w:rsid w:val="25345097"/>
    <w:rsid w:val="256264C3"/>
    <w:rsid w:val="256E59C9"/>
    <w:rsid w:val="26474C49"/>
    <w:rsid w:val="2660352B"/>
    <w:rsid w:val="2868497F"/>
    <w:rsid w:val="28722106"/>
    <w:rsid w:val="287C13F1"/>
    <w:rsid w:val="28FB2AB2"/>
    <w:rsid w:val="2AC34009"/>
    <w:rsid w:val="2B1B6F46"/>
    <w:rsid w:val="2B4118A8"/>
    <w:rsid w:val="2C484332"/>
    <w:rsid w:val="2C573E24"/>
    <w:rsid w:val="2CA877C5"/>
    <w:rsid w:val="2CC11FE2"/>
    <w:rsid w:val="2CF44D37"/>
    <w:rsid w:val="2D6B6714"/>
    <w:rsid w:val="2F5630FB"/>
    <w:rsid w:val="2FE8361B"/>
    <w:rsid w:val="30097E05"/>
    <w:rsid w:val="30DF4759"/>
    <w:rsid w:val="350A5D93"/>
    <w:rsid w:val="3669223E"/>
    <w:rsid w:val="366C12FC"/>
    <w:rsid w:val="36A30F7B"/>
    <w:rsid w:val="37AB6C45"/>
    <w:rsid w:val="37D53807"/>
    <w:rsid w:val="3BFC6DCC"/>
    <w:rsid w:val="3C7A6DAB"/>
    <w:rsid w:val="3CC32444"/>
    <w:rsid w:val="3D170993"/>
    <w:rsid w:val="3D904069"/>
    <w:rsid w:val="3FCA23EC"/>
    <w:rsid w:val="40CA7113"/>
    <w:rsid w:val="41942E54"/>
    <w:rsid w:val="424D60E4"/>
    <w:rsid w:val="428412F2"/>
    <w:rsid w:val="42FA4769"/>
    <w:rsid w:val="4374393D"/>
    <w:rsid w:val="43BC1030"/>
    <w:rsid w:val="451F7AE3"/>
    <w:rsid w:val="45DA58C8"/>
    <w:rsid w:val="4672325E"/>
    <w:rsid w:val="46730A61"/>
    <w:rsid w:val="47964FBE"/>
    <w:rsid w:val="47E30F6A"/>
    <w:rsid w:val="49FE2936"/>
    <w:rsid w:val="4A1752A2"/>
    <w:rsid w:val="4A371339"/>
    <w:rsid w:val="4B18398F"/>
    <w:rsid w:val="4E2A740E"/>
    <w:rsid w:val="4F1418F8"/>
    <w:rsid w:val="5055722B"/>
    <w:rsid w:val="50C46A00"/>
    <w:rsid w:val="52AC7AB3"/>
    <w:rsid w:val="54207C4C"/>
    <w:rsid w:val="54356B93"/>
    <w:rsid w:val="544D3043"/>
    <w:rsid w:val="54754541"/>
    <w:rsid w:val="59190E17"/>
    <w:rsid w:val="596D661C"/>
    <w:rsid w:val="5A7E4113"/>
    <w:rsid w:val="5C5949AD"/>
    <w:rsid w:val="5D321BF4"/>
    <w:rsid w:val="5D427E76"/>
    <w:rsid w:val="5E0E64DE"/>
    <w:rsid w:val="5ED86D91"/>
    <w:rsid w:val="5F236081"/>
    <w:rsid w:val="5F5027A5"/>
    <w:rsid w:val="60AA3768"/>
    <w:rsid w:val="62BB4716"/>
    <w:rsid w:val="64A30CEA"/>
    <w:rsid w:val="65706DA4"/>
    <w:rsid w:val="657157EC"/>
    <w:rsid w:val="69A157A9"/>
    <w:rsid w:val="6ACF6865"/>
    <w:rsid w:val="6B3B79EC"/>
    <w:rsid w:val="6B627153"/>
    <w:rsid w:val="6B8D087C"/>
    <w:rsid w:val="6EAC6681"/>
    <w:rsid w:val="6F094735"/>
    <w:rsid w:val="6F6F6E44"/>
    <w:rsid w:val="70CC1C0C"/>
    <w:rsid w:val="71202E40"/>
    <w:rsid w:val="71840673"/>
    <w:rsid w:val="71C312BB"/>
    <w:rsid w:val="73252919"/>
    <w:rsid w:val="73431FE5"/>
    <w:rsid w:val="765457BD"/>
    <w:rsid w:val="778B0394"/>
    <w:rsid w:val="7959450D"/>
    <w:rsid w:val="7A2274B7"/>
    <w:rsid w:val="7B6D5E4A"/>
    <w:rsid w:val="7E2C6D1E"/>
    <w:rsid w:val="7E41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3.bin"/><Relationship Id="rId15" Type="http://schemas.openxmlformats.org/officeDocument/2006/relationships/image" Target="media/image4.emf"/><Relationship Id="rId14" Type="http://schemas.openxmlformats.org/officeDocument/2006/relationships/oleObject" Target="embeddings/oleObject2.bin"/><Relationship Id="rId13" Type="http://schemas.openxmlformats.org/officeDocument/2006/relationships/image" Target="media/image3.emf"/><Relationship Id="rId12" Type="http://schemas.openxmlformats.org/officeDocument/2006/relationships/oleObject" Target="embeddings/oleObject1.bin"/><Relationship Id="rId11" Type="http://schemas.openxmlformats.org/officeDocument/2006/relationships/chart" Target="charts/chart4.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54;&#21592;&#22270;&#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5910;&#25903;&#39044;&#31639;&#24635;&#20307;&#24773;&#20917;&#2227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file:///C:\Users\Administrator\Desktop\&#25910;&#25903;&#39044;&#31639;&#24635;&#20307;&#24773;&#20917;&#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5910;&#25903;&#39044;&#31639;&#24635;&#20307;&#24773;&#20917;&#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人员情况</a:t>
            </a:r>
            <a:endParaRPr lang="zh-CN" altLang="en-US"/>
          </a:p>
        </c:rich>
      </c:tx>
      <c:layout/>
      <c:overlay val="0"/>
    </c:title>
    <c:autoTitleDeleted val="0"/>
    <c:plotArea>
      <c:layout>
        <c:manualLayout>
          <c:layoutTarget val="inner"/>
          <c:xMode val="edge"/>
          <c:yMode val="edge"/>
          <c:x val="0.301877777777778"/>
          <c:y val="0.240166666666667"/>
          <c:w val="0.396244444444444"/>
          <c:h val="0.660407407407407"/>
        </c:manualLayout>
      </c:layout>
      <c:pieChart>
        <c:varyColors val="1"/>
        <c:ser>
          <c:idx val="0"/>
          <c:order val="0"/>
          <c:explosion val="0"/>
          <c:dPt>
            <c:idx val="0"/>
            <c:bubble3D val="0"/>
          </c:dPt>
          <c:dPt>
            <c:idx val="1"/>
            <c:bubble3D val="0"/>
          </c:dPt>
          <c:dLbls>
            <c:dLbl>
              <c:idx val="0"/>
              <c:layout>
                <c:manualLayout>
                  <c:x val="-0.0882281985136539"/>
                  <c:y val="0.1786345347431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其它人员</a:t>
                    </a:r>
                    <a:endParaRPr lang="zh-CN" altLang="en-US"/>
                  </a:p>
                  <a:p>
                    <a:pPr>
                      <a:defRPr lang="zh-CN" sz="1000" b="0" i="0" u="none" strike="noStrike" kern="1200" baseline="0">
                        <a:solidFill>
                          <a:schemeClr val="tx1"/>
                        </a:solidFill>
                        <a:latin typeface="+mn-lt"/>
                        <a:ea typeface="+mn-ea"/>
                        <a:cs typeface="+mn-cs"/>
                      </a:defRPr>
                    </a:pPr>
                    <a:r>
                      <a:rPr lang="en-US" altLang="zh-CN"/>
                      <a:t>13</a:t>
                    </a:r>
                    <a:r>
                      <a:rPr lang="zh-CN" altLang="en-US"/>
                      <a:t>人</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73397387779613"/>
                  <c:y val="-0.14883720930232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实有编制人数
</a:t>
                    </a:r>
                    <a:r>
                      <a:rPr lang="en-US" altLang="zh-CN"/>
                      <a:t>4</a:t>
                    </a:r>
                    <a:r>
                      <a:rPr lang="zh-CN" altLang="en-US"/>
                      <a:t>人</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0987839663714"/>
                      <c:h val="0.24186046511627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[人员图表.xlsx]Sheet1!$A$1:$A$2</c:f>
              <c:strCache>
                <c:ptCount val="2"/>
                <c:pt idx="0">
                  <c:v>实有编制人数</c:v>
                </c:pt>
                <c:pt idx="1">
                  <c:v>其它人员</c:v>
                </c:pt>
              </c:strCache>
            </c:strRef>
          </c:cat>
          <c:val>
            <c:numRef>
              <c:f>[人员图表.xlsx]Sheet1!$B$1:$B$2</c:f>
              <c:numCache>
                <c:formatCode>General</c:formatCode>
                <c:ptCount val="2"/>
                <c:pt idx="0">
                  <c:v>4</c:v>
                </c:pt>
                <c:pt idx="1">
                  <c:v>13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lang="en-US" altLang="zh-CN"/>
              <a:t>2019</a:t>
            </a:r>
            <a:r>
              <a:rPr altLang="en-US"/>
              <a:t>年度收入</a:t>
            </a:r>
            <a:endParaRPr altLang="en-US"/>
          </a:p>
        </c:rich>
      </c:tx>
      <c:layout/>
      <c:overlay val="0"/>
      <c:spPr>
        <a:noFill/>
        <a:ln>
          <a:noFill/>
        </a:ln>
        <a:effectLst/>
      </c:spPr>
    </c:title>
    <c:autoTitleDeleted val="0"/>
    <c:plotArea>
      <c:layout/>
      <c:pieChart>
        <c:varyColors val="1"/>
        <c:ser>
          <c:idx val="0"/>
          <c:order val="0"/>
          <c:tx>
            <c:strRef>
              <c:f>[收支预算总体情况图.xlsx]Sheet3!$A$2</c:f>
              <c:strCache>
                <c:ptCount val="1"/>
                <c:pt idx="0">
                  <c:v>2019年度总收入</c:v>
                </c:pt>
              </c:strCache>
            </c:strRef>
          </c:tx>
          <c:spPr>
            <a:ln w="15875">
              <a:solidFill>
                <a:schemeClr val="bg1"/>
              </a:solidFill>
            </a:ln>
            <a:effectLst>
              <a:outerShdw blurRad="63500" sx="102000" sy="102000" algn="ctr" rotWithShape="0">
                <a:schemeClr val="bg1"/>
              </a:outerShdw>
            </a:effectLst>
          </c:spPr>
          <c:explosion val="0"/>
          <c:dPt>
            <c:idx val="0"/>
            <c:bubble3D val="0"/>
            <c:spPr>
              <a:solidFill>
                <a:srgbClr val="72C901"/>
              </a:solidFill>
              <a:ln w="15875">
                <a:solidFill>
                  <a:schemeClr val="bg1"/>
                </a:solidFill>
              </a:ln>
              <a:effectLst>
                <a:outerShdw blurRad="63500" sx="102000" sy="102000" algn="ctr" rotWithShape="0">
                  <a:schemeClr val="bg1"/>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[收支预算总体情况图.xlsx]Sheet3!$B$1</c:f>
              <c:strCache>
                <c:ptCount val="1"/>
                <c:pt idx="0">
                  <c:v>2019年度总收入</c:v>
                </c:pt>
              </c:strCache>
            </c:strRef>
          </c:cat>
          <c:val>
            <c:numRef>
              <c:f>[收支预算总体情况图.xlsx]Sheet3!$B$2</c:f>
              <c:numCache>
                <c:formatCode>General</c:formatCode>
                <c:ptCount val="1"/>
                <c:pt idx="0">
                  <c:v>133.04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legend>
    <c:plotVisOnly val="1"/>
    <c:dispBlanksAs val="gap"/>
    <c:showDLblsOverMax val="0"/>
  </c:chart>
  <c:spPr>
    <a:gradFill flip="none" rotWithShape="1">
      <a:gsLst>
        <a:gs pos="50000">
          <a:srgbClr val="D5D5D5"/>
        </a:gs>
        <a:gs pos="50000">
          <a:srgbClr val="C5C5C3"/>
        </a:gs>
      </a:gsLst>
      <a:lin ang="8100000" scaled="1"/>
      <a:tileRect/>
    </a:grad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solidFill>
                <a:latin typeface="微软雅黑" panose="020B0503020204020204" charset="-122"/>
                <a:ea typeface="微软雅黑" panose="020B0503020204020204" charset="-122"/>
                <a:cs typeface="+mn-cs"/>
              </a:defRPr>
            </a:pPr>
            <a:r>
              <a:rPr lang="en-US" altLang="zh-CN"/>
              <a:t>2019</a:t>
            </a:r>
            <a:r>
              <a:rPr altLang="en-US"/>
              <a:t>年支出情况</a:t>
            </a:r>
            <a:endParaRPr altLang="en-US"/>
          </a:p>
        </c:rich>
      </c:tx>
      <c:layout/>
      <c:overlay val="0"/>
      <c:spPr>
        <a:noFill/>
        <a:ln>
          <a:noFill/>
        </a:ln>
        <a:effectLst/>
      </c:spPr>
    </c:title>
    <c:autoTitleDeleted val="0"/>
    <c:plotArea>
      <c:layout>
        <c:manualLayout>
          <c:layoutTarget val="inner"/>
          <c:xMode val="edge"/>
          <c:yMode val="edge"/>
          <c:x val="0.307682257643062"/>
          <c:y val="0.189489751417357"/>
          <c:w val="0.391821269924223"/>
          <c:h val="0.653946794592237"/>
        </c:manualLayout>
      </c:layout>
      <c:pieChart>
        <c:varyColors val="1"/>
        <c:ser>
          <c:idx val="0"/>
          <c:order val="0"/>
          <c:spPr>
            <a:ln w="19050">
              <a:noFill/>
            </a:ln>
            <a:effectLst>
              <a:outerShdw blurRad="76200" dir="13500000" sy="23000" kx="1200000" algn="br" rotWithShape="0">
                <a:prstClr val="black">
                  <a:alpha val="20000"/>
                </a:prstClr>
              </a:outerShdw>
            </a:effectLst>
          </c:spPr>
          <c:explosion val="0"/>
          <c:dPt>
            <c:idx val="0"/>
            <c:bubble3D val="0"/>
            <c:spPr>
              <a:solidFill>
                <a:srgbClr val="F79646">
                  <a:lumMod val="60000"/>
                  <a:lumOff val="40000"/>
                </a:srgbClr>
              </a:solidFill>
              <a:ln w="76200" cap="sq">
                <a:noFill/>
                <a:miter lim="800000"/>
              </a:ln>
              <a:effectLst>
                <a:outerShdw blurRad="76200" dir="13500000" sy="23000" kx="1200000" algn="br" rotWithShape="0">
                  <a:prstClr val="black">
                    <a:alpha val="20000"/>
                  </a:prstClr>
                </a:outerShdw>
              </a:effectLst>
            </c:spPr>
          </c:dPt>
          <c:dPt>
            <c:idx val="1"/>
            <c:bubble3D val="0"/>
            <c:spPr>
              <a:solidFill>
                <a:srgbClr val="9BBB59"/>
              </a:solidFill>
              <a:ln w="50800" cap="sq">
                <a:noFill/>
                <a:miter lim="800000"/>
              </a:ln>
              <a:effectLst>
                <a:outerShdw blurRad="76200" dir="13500000" sy="23000" kx="1200000" algn="br"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[收支预算总体情况图.xlsx]Sheet4!$B$1:$C$1</c:f>
              <c:strCache>
                <c:ptCount val="2"/>
                <c:pt idx="0">
                  <c:v>基本支出</c:v>
                </c:pt>
                <c:pt idx="1">
                  <c:v>项目支出</c:v>
                </c:pt>
              </c:strCache>
            </c:strRef>
          </c:cat>
          <c:val>
            <c:numRef>
              <c:f>[收支预算总体情况图.xlsx]Sheet4!$B$2:$C$2</c:f>
              <c:numCache>
                <c:formatCode>General</c:formatCode>
                <c:ptCount val="2"/>
                <c:pt idx="0">
                  <c:v>21.67</c:v>
                </c:pt>
                <c:pt idx="1">
                  <c:v>111.37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legend>
    <c:plotVisOnly val="1"/>
    <c:dispBlanksAs val="gap"/>
    <c:showDLblsOverMax val="0"/>
  </c:chart>
  <c:spPr>
    <a:solidFill>
      <a:sysClr val="window" lastClr="FFFFFF">
        <a:lumMod val="65000"/>
      </a:sysClr>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2019-2018</a:t>
            </a:r>
            <a:r>
              <a:rPr altLang="en-US"/>
              <a:t>年财政拨款支出</a:t>
            </a:r>
            <a:endParaRPr altLang="en-US"/>
          </a:p>
        </c:rich>
      </c:tx>
      <c:layout/>
      <c:overlay val="0"/>
      <c:spPr>
        <a:noFill/>
        <a:ln>
          <a:noFill/>
        </a:ln>
        <a:effectLst/>
      </c:spPr>
    </c:title>
    <c:autoTitleDeleted val="0"/>
    <c:plotArea>
      <c:layout>
        <c:manualLayout>
          <c:layoutTarget val="inner"/>
          <c:xMode val="edge"/>
          <c:yMode val="edge"/>
          <c:x val="0.107523720432981"/>
          <c:y val="0.201942397856664"/>
          <c:w val="0.769798209274355"/>
          <c:h val="0.679816923420406"/>
        </c:manualLayout>
      </c:layout>
      <c:barChart>
        <c:barDir val="col"/>
        <c:grouping val="clustered"/>
        <c:varyColors val="0"/>
        <c:ser>
          <c:idx val="0"/>
          <c:order val="0"/>
          <c:tx>
            <c:strRef>
              <c:f>[收支预算总体情况图.xlsx]Sheet5!$A$2</c:f>
              <c:strCache>
                <c:ptCount val="1"/>
                <c:pt idx="0">
                  <c:v>支出对比</c:v>
                </c:pt>
              </c:strCache>
            </c:strRef>
          </c:tx>
          <c:spPr>
            <a:solidFill>
              <a:schemeClr val="accent1"/>
            </a:solidFill>
            <a:ln>
              <a:noFill/>
            </a:ln>
            <a:effectLst/>
          </c:spPr>
          <c:invertIfNegative val="0"/>
          <c:dLbls>
            <c:delete val="1"/>
          </c:dLbls>
          <c:cat>
            <c:strRef>
              <c:f>[收支预算总体情况图.xlsx]Sheet5!$B$1:$C$1</c:f>
              <c:strCache>
                <c:ptCount val="2"/>
                <c:pt idx="0">
                  <c:v>2019年</c:v>
                </c:pt>
                <c:pt idx="1">
                  <c:v>2018年</c:v>
                </c:pt>
              </c:strCache>
            </c:strRef>
          </c:cat>
          <c:val>
            <c:numRef>
              <c:f>[收支预算总体情况图.xlsx]Sheet5!$B$2:$C$2</c:f>
              <c:numCache>
                <c:formatCode>General</c:formatCode>
                <c:ptCount val="2"/>
                <c:pt idx="0">
                  <c:v>133.04</c:v>
                </c:pt>
                <c:pt idx="1">
                  <c:v>111.39</c:v>
                </c:pt>
              </c:numCache>
            </c:numRef>
          </c:val>
        </c:ser>
        <c:dLbls>
          <c:showLegendKey val="0"/>
          <c:showVal val="0"/>
          <c:showCatName val="0"/>
          <c:showSerName val="0"/>
          <c:showPercent val="0"/>
          <c:showBubbleSize val="0"/>
        </c:dLbls>
        <c:gapWidth val="219"/>
        <c:overlap val="-27"/>
        <c:axId val="776599962"/>
        <c:axId val="415815931"/>
      </c:barChart>
      <c:catAx>
        <c:axId val="7765999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815931"/>
        <c:crosses val="autoZero"/>
        <c:auto val="1"/>
        <c:lblAlgn val="ctr"/>
        <c:lblOffset val="100"/>
        <c:noMultiLvlLbl val="0"/>
      </c:catAx>
      <c:valAx>
        <c:axId val="415815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65999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佳思</cp:lastModifiedBy>
  <cp:lastPrinted>2020-10-09T08:01:00Z</cp:lastPrinted>
  <dcterms:modified xsi:type="dcterms:W3CDTF">2021-05-13T08:12:44Z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89DE68587D67438BB66953BD9C27F423</vt:lpwstr>
  </property>
</Properties>
</file>