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ind w:firstLine="880" w:firstLineChars="200"/>
        <w:jc w:val="center"/>
        <w:rPr>
          <w:rFonts w:ascii="方正小标宋简体" w:eastAsia="方正小标宋简体"/>
          <w:color w:val="000000"/>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农业生产总体平稳 存在问题不容忽视</w:t>
      </w:r>
    </w:p>
    <w:p>
      <w:pPr>
        <w:jc w:val="center"/>
        <w:rPr>
          <w:rFonts w:ascii="楷体_GB2312" w:eastAsia="楷体_GB2312"/>
          <w:sz w:val="32"/>
          <w:szCs w:val="32"/>
        </w:rPr>
      </w:pPr>
      <w:r>
        <w:rPr>
          <w:rFonts w:hint="eastAsia" w:ascii="楷体_GB2312" w:eastAsia="楷体_GB2312"/>
          <w:sz w:val="32"/>
          <w:szCs w:val="32"/>
        </w:rPr>
        <w:t>——2021年阎良区一季度农业生产形势分析</w:t>
      </w:r>
    </w:p>
    <w:p>
      <w:pPr>
        <w:spacing w:line="560" w:lineRule="exact"/>
        <w:rPr>
          <w:rFonts w:ascii="仿宋_GB2312" w:eastAsia="仿宋_GB2312"/>
          <w:sz w:val="32"/>
          <w:szCs w:val="32"/>
        </w:rPr>
      </w:pPr>
    </w:p>
    <w:p>
      <w:pPr>
        <w:spacing w:line="640" w:lineRule="exact"/>
        <w:ind w:firstLine="640"/>
        <w:rPr>
          <w:rFonts w:hint="eastAsia" w:ascii="仿宋_GB2312" w:eastAsia="仿宋_GB2312"/>
          <w:sz w:val="32"/>
          <w:szCs w:val="32"/>
        </w:rPr>
      </w:pPr>
      <w:r>
        <w:rPr>
          <w:rFonts w:hint="eastAsia" w:ascii="仿宋_GB2312" w:eastAsia="仿宋_GB2312"/>
          <w:sz w:val="32"/>
          <w:szCs w:val="32"/>
        </w:rPr>
        <w:t>阎良区</w:t>
      </w:r>
      <w:r>
        <w:rPr>
          <w:rFonts w:hint="eastAsia" w:ascii="仿宋_GB2312" w:hAnsi="仿宋_GB2312" w:eastAsia="仿宋_GB2312" w:cs="仿宋_GB2312"/>
          <w:color w:val="000000"/>
          <w:sz w:val="32"/>
          <w:szCs w:val="32"/>
        </w:rPr>
        <w:t>认真贯彻落实</w:t>
      </w:r>
      <w:r>
        <w:rPr>
          <w:rFonts w:hint="eastAsia" w:ascii="仿宋_GB2312" w:hAnsi="仿宋_GB2312" w:eastAsia="仿宋_GB2312" w:cs="仿宋_GB2312"/>
          <w:sz w:val="32"/>
          <w:szCs w:val="32"/>
        </w:rPr>
        <w:t>中省市一号</w:t>
      </w:r>
      <w:r>
        <w:rPr>
          <w:rFonts w:hint="eastAsia" w:ascii="仿宋_GB2312" w:hAnsi="仿宋_GB2312" w:eastAsia="仿宋_GB2312" w:cs="仿宋_GB2312"/>
          <w:color w:val="000000"/>
          <w:sz w:val="32"/>
          <w:szCs w:val="32"/>
        </w:rPr>
        <w:t>文件和习近平来陕考察重要讲话精神，以实施乡村振兴战略为总抓手，以促进农业高质高效、农村宜业宜居、农民富裕富足为目标，2021年农业生产实现</w:t>
      </w:r>
      <w:r>
        <w:rPr>
          <w:rFonts w:hint="eastAsia" w:ascii="仿宋_GB2312" w:hAnsi="仿宋_GB2312" w:eastAsia="仿宋_GB2312" w:cs="仿宋_GB2312"/>
          <w:color w:val="000000"/>
          <w:sz w:val="32"/>
          <w:szCs w:val="32"/>
          <w:lang w:eastAsia="zh-CN"/>
        </w:rPr>
        <w:t>平稳</w:t>
      </w:r>
      <w:r>
        <w:rPr>
          <w:rFonts w:hint="eastAsia" w:ascii="仿宋_GB2312" w:hAnsi="仿宋_GB2312" w:eastAsia="仿宋_GB2312" w:cs="仿宋_GB2312"/>
          <w:color w:val="000000"/>
          <w:sz w:val="32"/>
          <w:szCs w:val="32"/>
        </w:rPr>
        <w:t>开局。</w:t>
      </w:r>
      <w:r>
        <w:rPr>
          <w:rFonts w:hint="eastAsia" w:ascii="仿宋_GB2312" w:eastAsia="仿宋_GB2312"/>
          <w:sz w:val="32"/>
          <w:szCs w:val="32"/>
        </w:rPr>
        <w:t>阎良区一季度农林牧渔及服务业总产值完成35807万元，同比增长7.1%；增加值21808万元，增长4.6%,低于全市0.9个百分点；总产值和增加值两年平均增速分别为2.8%和1.5%。自2020年起，受疫情和种植业增速减缓的实际影响，农业生产存在问题日益凸显，主要是粮食作物和经济作物种植面积矛盾日益尖锐，蔬菜瓜果单产增长模式难以为继等，阎良区农业仍需直面存在问题，加快种植业结构调整。</w:t>
      </w:r>
    </w:p>
    <w:p>
      <w:pPr>
        <w:spacing w:line="640" w:lineRule="exact"/>
        <w:ind w:firstLine="640"/>
        <w:rPr>
          <w:rFonts w:ascii="楷体_GB2312" w:eastAsia="楷体_GB2312"/>
          <w:b/>
          <w:sz w:val="32"/>
          <w:szCs w:val="32"/>
        </w:rPr>
      </w:pPr>
      <w:r>
        <w:rPr>
          <w:rFonts w:hint="eastAsia" w:ascii="黑体" w:hAnsi="黑体" w:eastAsia="黑体" w:cs="黑体"/>
          <w:sz w:val="32"/>
          <w:szCs w:val="32"/>
        </w:rPr>
        <w:t>一、农业总体形势</w:t>
      </w:r>
    </w:p>
    <w:p>
      <w:pPr>
        <w:spacing w:line="640" w:lineRule="exact"/>
        <w:rPr>
          <w:rFonts w:ascii="仿宋_GB2312" w:eastAsia="仿宋_GB2312"/>
          <w:spacing w:val="-6"/>
          <w:sz w:val="32"/>
          <w:szCs w:val="32"/>
        </w:rPr>
      </w:pPr>
      <w:r>
        <w:rPr>
          <w:rFonts w:hint="eastAsia" w:ascii="仿宋_GB2312" w:eastAsia="仿宋_GB2312"/>
          <w:sz w:val="32"/>
          <w:szCs w:val="32"/>
        </w:rPr>
        <w:t xml:space="preserve">    </w:t>
      </w:r>
      <w:r>
        <w:rPr>
          <w:rFonts w:hint="eastAsia" w:ascii="仿宋_GB2312" w:eastAsia="仿宋_GB2312"/>
          <w:spacing w:val="-6"/>
          <w:sz w:val="32"/>
          <w:szCs w:val="32"/>
        </w:rPr>
        <w:t>分行业看，2021年一季度农业产值13680万元，林业575万元，畜牧业15593万元，渔业29万元，农林牧渔服务业5930万元，占比分别为38.2%，1.6%，43.5%，0.1%，16.6%，而上年同期占比依次为39.5%，1.2%，43.1%，0.1%，16.1%，呈现出牧业、服务业、林业占比上升，渔业占比持平，农业占比下降的态势。</w:t>
      </w:r>
    </w:p>
    <w:tbl>
      <w:tblPr>
        <w:tblStyle w:val="6"/>
        <w:tblW w:w="8820" w:type="dxa"/>
        <w:tblInd w:w="108" w:type="dxa"/>
        <w:tblLayout w:type="fixed"/>
        <w:tblCellMar>
          <w:top w:w="0" w:type="dxa"/>
          <w:left w:w="108" w:type="dxa"/>
          <w:bottom w:w="0" w:type="dxa"/>
          <w:right w:w="108" w:type="dxa"/>
        </w:tblCellMar>
      </w:tblPr>
      <w:tblGrid>
        <w:gridCol w:w="1134"/>
        <w:gridCol w:w="1995"/>
        <w:gridCol w:w="1995"/>
        <w:gridCol w:w="1847"/>
        <w:gridCol w:w="1849"/>
      </w:tblGrid>
      <w:tr>
        <w:tblPrEx>
          <w:tblCellMar>
            <w:top w:w="0" w:type="dxa"/>
            <w:left w:w="108" w:type="dxa"/>
            <w:bottom w:w="0" w:type="dxa"/>
            <w:right w:w="108" w:type="dxa"/>
          </w:tblCellMar>
        </w:tblPrEx>
        <w:trPr>
          <w:trHeight w:val="668" w:hRule="atLeast"/>
        </w:trPr>
        <w:tc>
          <w:tcPr>
            <w:tcW w:w="8820" w:type="dxa"/>
            <w:gridSpan w:val="5"/>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2021年一季度农林牧渔业分行业比重</w:t>
            </w:r>
          </w:p>
        </w:tc>
      </w:tr>
      <w:tr>
        <w:tblPrEx>
          <w:tblCellMar>
            <w:top w:w="0" w:type="dxa"/>
            <w:left w:w="108" w:type="dxa"/>
            <w:bottom w:w="0" w:type="dxa"/>
            <w:right w:w="108" w:type="dxa"/>
          </w:tblCellMar>
        </w:tblPrEx>
        <w:trPr>
          <w:trHeight w:val="480" w:hRule="atLeast"/>
        </w:trPr>
        <w:tc>
          <w:tcPr>
            <w:tcW w:w="1134"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行业</w:t>
            </w:r>
          </w:p>
        </w:tc>
        <w:tc>
          <w:tcPr>
            <w:tcW w:w="39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产值（万元）</w:t>
            </w:r>
          </w:p>
        </w:tc>
        <w:tc>
          <w:tcPr>
            <w:tcW w:w="3696" w:type="dxa"/>
            <w:gridSpan w:val="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比重（%）</w:t>
            </w:r>
          </w:p>
        </w:tc>
      </w:tr>
      <w:tr>
        <w:tblPrEx>
          <w:tblCellMar>
            <w:top w:w="0" w:type="dxa"/>
            <w:left w:w="108" w:type="dxa"/>
            <w:bottom w:w="0" w:type="dxa"/>
            <w:right w:w="108" w:type="dxa"/>
          </w:tblCellMar>
        </w:tblPrEx>
        <w:trPr>
          <w:trHeight w:val="480" w:hRule="atLeast"/>
        </w:trPr>
        <w:tc>
          <w:tcPr>
            <w:tcW w:w="113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2021年一季度</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2020年一季度</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2021年一季度</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2020年一季度</w:t>
            </w:r>
          </w:p>
        </w:tc>
      </w:tr>
      <w:tr>
        <w:tblPrEx>
          <w:tblCellMar>
            <w:top w:w="0" w:type="dxa"/>
            <w:left w:w="108" w:type="dxa"/>
            <w:bottom w:w="0" w:type="dxa"/>
            <w:right w:w="108" w:type="dxa"/>
          </w:tblCellMar>
        </w:tblPrEx>
        <w:trPr>
          <w:trHeight w:val="480"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总计</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35807</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33713</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w:t>
            </w:r>
          </w:p>
        </w:tc>
      </w:tr>
      <w:tr>
        <w:tblPrEx>
          <w:tblCellMar>
            <w:top w:w="0" w:type="dxa"/>
            <w:left w:w="108" w:type="dxa"/>
            <w:bottom w:w="0" w:type="dxa"/>
            <w:right w:w="108" w:type="dxa"/>
          </w:tblCellMar>
        </w:tblPrEx>
        <w:trPr>
          <w:trHeight w:val="480"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农业</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13680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13322</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38.2</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39.5</w:t>
            </w:r>
          </w:p>
        </w:tc>
      </w:tr>
      <w:tr>
        <w:tblPrEx>
          <w:tblCellMar>
            <w:top w:w="0" w:type="dxa"/>
            <w:left w:w="108" w:type="dxa"/>
            <w:bottom w:w="0" w:type="dxa"/>
            <w:right w:w="108" w:type="dxa"/>
          </w:tblCellMar>
        </w:tblPrEx>
        <w:trPr>
          <w:trHeight w:val="480"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林业</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575</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404</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r>
      <w:tr>
        <w:tblPrEx>
          <w:tblCellMar>
            <w:top w:w="0" w:type="dxa"/>
            <w:left w:w="108" w:type="dxa"/>
            <w:bottom w:w="0" w:type="dxa"/>
            <w:right w:w="108" w:type="dxa"/>
          </w:tblCellMar>
        </w:tblPrEx>
        <w:trPr>
          <w:trHeight w:val="480"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牧业</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15593</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14514</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43.5</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43.1</w:t>
            </w:r>
          </w:p>
        </w:tc>
      </w:tr>
      <w:tr>
        <w:tblPrEx>
          <w:tblCellMar>
            <w:top w:w="0" w:type="dxa"/>
            <w:left w:w="108" w:type="dxa"/>
            <w:bottom w:w="0" w:type="dxa"/>
            <w:right w:w="108" w:type="dxa"/>
          </w:tblCellMar>
        </w:tblPrEx>
        <w:trPr>
          <w:trHeight w:val="480"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渔业</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0.1</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0.1</w:t>
            </w:r>
          </w:p>
        </w:tc>
      </w:tr>
      <w:tr>
        <w:tblPrEx>
          <w:tblCellMar>
            <w:top w:w="0" w:type="dxa"/>
            <w:left w:w="108" w:type="dxa"/>
            <w:bottom w:w="0" w:type="dxa"/>
            <w:right w:w="108" w:type="dxa"/>
          </w:tblCellMar>
        </w:tblPrEx>
        <w:trPr>
          <w:trHeight w:val="491" w:hRule="atLeast"/>
        </w:trPr>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服务业</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5930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5452</w:t>
            </w:r>
          </w:p>
        </w:tc>
        <w:tc>
          <w:tcPr>
            <w:tcW w:w="18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16.6</w:t>
            </w:r>
          </w:p>
        </w:tc>
        <w:tc>
          <w:tcPr>
            <w:tcW w:w="1849"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16.1</w:t>
            </w:r>
          </w:p>
        </w:tc>
      </w:tr>
    </w:tbl>
    <w:p>
      <w:pPr>
        <w:spacing w:line="560" w:lineRule="exact"/>
        <w:rPr>
          <w:rFonts w:hint="eastAsia" w:ascii="仿宋_GB2312" w:eastAsia="仿宋_GB2312"/>
          <w:sz w:val="32"/>
          <w:szCs w:val="32"/>
        </w:rPr>
      </w:pPr>
      <w:r>
        <w:rPr>
          <w:rFonts w:hint="eastAsia" w:ascii="仿宋_GB2312" w:eastAsia="仿宋_GB2312"/>
          <w:sz w:val="32"/>
          <w:szCs w:val="32"/>
        </w:rPr>
        <w:t xml:space="preserve">农业增加值8986万元，同比下降0.6%，拉低农林牧渔业0.2个百分点；林业323万元，增长41.7%，拉动增长0.4个百分点；畜牧业8807万元，增长9.0%，拉动增长3.6个百分点；渔业19万元，增长35.7%，拉动增长0.0个百分点；服务业3673万元，增长5.0%，拉动增长0.8个百分点。与上年相比，从拉动农林牧渔服务业增长的行业来看，除农业负向拉动外，牧业、服务业、林业、渔业均属于正向拉动。    </w:t>
      </w:r>
    </w:p>
    <w:p>
      <w:pPr>
        <w:pStyle w:val="2"/>
      </w:pPr>
    </w:p>
    <w:p>
      <w:pPr>
        <w:pStyle w:val="2"/>
      </w:pPr>
    </w:p>
    <w:tbl>
      <w:tblPr>
        <w:tblStyle w:val="6"/>
        <w:tblW w:w="0" w:type="auto"/>
        <w:tblInd w:w="108" w:type="dxa"/>
        <w:tblLayout w:type="fixed"/>
        <w:tblCellMar>
          <w:top w:w="0" w:type="dxa"/>
          <w:left w:w="108" w:type="dxa"/>
          <w:bottom w:w="0" w:type="dxa"/>
          <w:right w:w="108" w:type="dxa"/>
        </w:tblCellMar>
      </w:tblPr>
      <w:tblGrid>
        <w:gridCol w:w="2566"/>
        <w:gridCol w:w="3176"/>
        <w:gridCol w:w="3178"/>
      </w:tblGrid>
      <w:tr>
        <w:trPr>
          <w:trHeight w:val="714" w:hRule="atLeast"/>
        </w:trPr>
        <w:tc>
          <w:tcPr>
            <w:tcW w:w="8920" w:type="dxa"/>
            <w:gridSpan w:val="3"/>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2021年一季度农林牧渔业增加值分行业贡献率</w:t>
            </w:r>
          </w:p>
        </w:tc>
      </w:tr>
      <w:tr>
        <w:tblPrEx>
          <w:tblCellMar>
            <w:top w:w="0" w:type="dxa"/>
            <w:left w:w="108" w:type="dxa"/>
            <w:bottom w:w="0" w:type="dxa"/>
            <w:right w:w="108" w:type="dxa"/>
          </w:tblCellMar>
        </w:tblPrEx>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2021年一季度</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2020年</w:t>
            </w: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季度</w:t>
            </w:r>
          </w:p>
        </w:tc>
      </w:tr>
      <w:tr>
        <w:tblPrEx>
          <w:tblCellMar>
            <w:top w:w="0" w:type="dxa"/>
            <w:left w:w="108" w:type="dxa"/>
            <w:bottom w:w="0" w:type="dxa"/>
            <w:right w:w="108" w:type="dxa"/>
          </w:tblCellMar>
        </w:tblPrEx>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贡献率（%）</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贡献率（%）</w:t>
            </w:r>
          </w:p>
        </w:tc>
      </w:tr>
      <w:tr>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农业</w:t>
            </w: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25.7</w:t>
            </w:r>
          </w:p>
        </w:tc>
      </w:tr>
      <w:tr>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林业</w:t>
            </w: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9.2</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r>
      <w:tr>
        <w:tblPrEx>
          <w:tblCellMar>
            <w:top w:w="0" w:type="dxa"/>
            <w:left w:w="108" w:type="dxa"/>
            <w:bottom w:w="0" w:type="dxa"/>
            <w:right w:w="108" w:type="dxa"/>
          </w:tblCellMar>
        </w:tblPrEx>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牧业</w:t>
            </w: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77.7</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-135.4</w:t>
            </w:r>
          </w:p>
        </w:tc>
      </w:tr>
      <w:tr>
        <w:tblPrEx>
          <w:tblCellMar>
            <w:top w:w="0" w:type="dxa"/>
            <w:left w:w="108" w:type="dxa"/>
            <w:bottom w:w="0" w:type="dxa"/>
            <w:right w:w="108" w:type="dxa"/>
          </w:tblCellMar>
        </w:tblPrEx>
        <w:trPr>
          <w:trHeight w:val="493"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渔业</w:t>
            </w: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r>
      <w:tr>
        <w:trPr>
          <w:trHeight w:val="526" w:hRule="atLeast"/>
        </w:trPr>
        <w:tc>
          <w:tcPr>
            <w:tcW w:w="25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服务业</w:t>
            </w:r>
          </w:p>
        </w:tc>
        <w:tc>
          <w:tcPr>
            <w:tcW w:w="31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17.7</w:t>
            </w:r>
          </w:p>
        </w:tc>
        <w:tc>
          <w:tcPr>
            <w:tcW w:w="3178"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-28.4</w:t>
            </w:r>
          </w:p>
        </w:tc>
      </w:tr>
    </w:tbl>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楷体_GB2312" w:eastAsia="楷体_GB2312"/>
          <w:b/>
          <w:sz w:val="32"/>
          <w:szCs w:val="32"/>
        </w:rPr>
      </w:pPr>
      <w:r>
        <w:rPr>
          <w:rFonts w:hint="eastAsia" w:ascii="黑体" w:hAnsi="黑体" w:eastAsia="黑体" w:cs="黑体"/>
          <w:bCs/>
          <w:sz w:val="32"/>
          <w:szCs w:val="32"/>
        </w:rPr>
        <w:t xml:space="preserve">二、农业生产情况 </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楷体_GB2312" w:hAnsi="楷体_GB2312" w:eastAsia="楷体_GB2312" w:cs="楷体_GB2312"/>
          <w:sz w:val="32"/>
          <w:szCs w:val="32"/>
        </w:rPr>
        <w:t xml:space="preserve">   （一）种植业面积中夏粮增加</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蔬菜减少</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仿宋_GB2312" w:eastAsia="仿宋_GB2312"/>
          <w:sz w:val="32"/>
          <w:szCs w:val="32"/>
        </w:rPr>
        <w:t xml:space="preserve">    小麦播种面积为13.81万亩，较上年增长0.4%，较2019年增长1.45%。</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仿宋_GB2312" w:eastAsia="仿宋_GB2312"/>
          <w:sz w:val="32"/>
          <w:szCs w:val="32"/>
        </w:rPr>
        <w:t xml:space="preserve">    蔬菜面积为30016亩，较上年下降2.7%，较2019年下降7.7%；蔬菜产量为24671吨，较上年下降2.7%，较2019年下降1.7%。</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果用瓜面积为65654亩，较上年下降5.4%，较2019年下降7.2%；</w:t>
      </w:r>
      <w:r>
        <w:rPr>
          <w:rFonts w:hint="eastAsia" w:ascii="仿宋_GB2312" w:eastAsia="仿宋_GB2312"/>
          <w:sz w:val="32"/>
          <w:szCs w:val="32"/>
          <w:lang w:eastAsia="zh-CN"/>
        </w:rPr>
        <w:t>其中</w:t>
      </w:r>
      <w:r>
        <w:rPr>
          <w:rFonts w:hint="eastAsia" w:ascii="仿宋_GB2312" w:eastAsia="仿宋_GB2312"/>
          <w:sz w:val="32"/>
          <w:szCs w:val="32"/>
        </w:rPr>
        <w:t>甜瓜面积为63315亩，较上年下降7.1%，较2019年下降6.2%。瓜菜面积减少主要原因是</w:t>
      </w:r>
      <w:r>
        <w:rPr>
          <w:rFonts w:hint="eastAsia" w:ascii="仿宋_GB2312" w:eastAsia="仿宋_GB2312"/>
          <w:sz w:val="32"/>
          <w:szCs w:val="32"/>
          <w:lang w:eastAsia="zh-CN"/>
        </w:rPr>
        <w:t>：一是</w:t>
      </w:r>
      <w:r>
        <w:rPr>
          <w:rFonts w:hint="eastAsia" w:ascii="仿宋_GB2312" w:eastAsia="仿宋_GB2312"/>
          <w:sz w:val="32"/>
          <w:szCs w:val="32"/>
        </w:rPr>
        <w:t>基建占地即“十四运”沿线征地、西安航空基地综合保税区等国家基建占地等导致2020年全区耕地面积减少1649亩</w:t>
      </w:r>
      <w:r>
        <w:rPr>
          <w:rFonts w:hint="eastAsia" w:ascii="仿宋_GB2312" w:eastAsia="仿宋_GB2312"/>
          <w:sz w:val="32"/>
          <w:szCs w:val="32"/>
          <w:lang w:eastAsia="zh-CN"/>
        </w:rPr>
        <w:t>；二是粮食面积</w:t>
      </w:r>
      <w:r>
        <w:rPr>
          <w:rFonts w:hint="eastAsia" w:ascii="仿宋_GB2312" w:eastAsia="仿宋_GB2312"/>
          <w:sz w:val="32"/>
          <w:szCs w:val="32"/>
        </w:rPr>
        <w:t>增加</w:t>
      </w:r>
      <w:r>
        <w:rPr>
          <w:rFonts w:hint="eastAsia" w:ascii="仿宋_GB2312" w:eastAsia="仿宋_GB2312"/>
          <w:sz w:val="32"/>
          <w:szCs w:val="32"/>
          <w:lang w:eastAsia="zh-CN"/>
        </w:rPr>
        <w:t>挤压</w:t>
      </w:r>
      <w:r>
        <w:rPr>
          <w:rFonts w:hint="eastAsia" w:ascii="仿宋_GB2312" w:eastAsia="仿宋_GB2312"/>
          <w:sz w:val="32"/>
          <w:szCs w:val="32"/>
        </w:rPr>
        <w:t>瓜菜面积。</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果用瓜产量为</w:t>
      </w:r>
      <w:r>
        <w:rPr>
          <w:rFonts w:hint="eastAsia" w:ascii="仿宋_GB2312" w:eastAsia="仿宋_GB2312"/>
          <w:color w:val="000000" w:themeColor="text1"/>
          <w:sz w:val="32"/>
          <w:szCs w:val="32"/>
        </w:rPr>
        <w:t>68</w:t>
      </w:r>
      <w:r>
        <w:rPr>
          <w:rFonts w:hint="eastAsia" w:ascii="仿宋_GB2312" w:eastAsia="仿宋_GB2312"/>
          <w:sz w:val="32"/>
          <w:szCs w:val="32"/>
        </w:rPr>
        <w:t>吨，较上年下降66%，较2019年下降63.8%，果用瓜产量下降幅度大的原因是由于根据农业统计核算要求，草莓等其他水果一季度生产量少，所以统一放在二季度一次性计算。</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仿宋_GB2312" w:eastAsia="仿宋_GB2312"/>
          <w:sz w:val="32"/>
          <w:szCs w:val="32"/>
        </w:rPr>
      </w:pPr>
      <w:r>
        <w:rPr>
          <w:rFonts w:hint="eastAsia" w:ascii="楷体_GB2312" w:hAnsi="楷体_GB2312" w:eastAsia="楷体_GB2312" w:cs="楷体_GB2312"/>
          <w:sz w:val="32"/>
          <w:szCs w:val="32"/>
        </w:rPr>
        <w:t>（二）畜牧业生产总体形势良好</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仿宋_GB2312" w:eastAsia="仿宋_GB2312"/>
          <w:sz w:val="32"/>
          <w:szCs w:val="32"/>
        </w:rPr>
        <w:t xml:space="preserve">    2021年一季度，生猪、羊、家禽出栏分别为6385头、2371只</w:t>
      </w:r>
      <w:r>
        <w:rPr>
          <w:rFonts w:hint="eastAsia" w:ascii="仿宋_GB2312" w:eastAsia="仿宋_GB2312"/>
          <w:sz w:val="32"/>
          <w:szCs w:val="32"/>
          <w:lang w:eastAsia="zh-CN"/>
        </w:rPr>
        <w:t>、</w:t>
      </w:r>
      <w:r>
        <w:rPr>
          <w:rFonts w:hint="eastAsia" w:ascii="仿宋_GB2312" w:eastAsia="仿宋_GB2312"/>
          <w:sz w:val="32"/>
          <w:szCs w:val="32"/>
        </w:rPr>
        <w:t>12.6万只，分别较上年增长38.6%、17.1%、5.0%；分别较2019年增长36.4%、-17.1%、-3.1%。牛出栏为992头，较上年下降36%，较2019年下降45.8%。奶类产量为5254.1吨，禽蛋产量为1052.7吨，分别较上年增长5.5%、40.7%，较2019年分别增长9.9%、47.0%。</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楷体_GB2312" w:hAnsi="楷体_GB2312" w:eastAsia="楷体_GB2312" w:cs="楷体_GB2312"/>
          <w:sz w:val="32"/>
          <w:szCs w:val="32"/>
        </w:rPr>
        <w:t xml:space="preserve">   （三）畜牧业调查生猪、家禽仍在盈利空间</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color w:val="000000"/>
          <w:sz w:val="32"/>
          <w:szCs w:val="32"/>
        </w:rPr>
      </w:pPr>
      <w:r>
        <w:rPr>
          <w:rFonts w:hint="eastAsia" w:ascii="仿宋_GB2312" w:eastAsia="仿宋_GB2312"/>
          <w:color w:val="000000"/>
          <w:sz w:val="32"/>
          <w:szCs w:val="32"/>
        </w:rPr>
        <w:t xml:space="preserve">    生猪养殖效益回落。今年以来，生猪销售价格高位回落，养殖效益仍处于良好状态。根据生猪监测点数据显示，今年1-3月份，生猪销售价格分别为34.0元/公斤</w:t>
      </w:r>
      <w:r>
        <w:rPr>
          <w:rFonts w:hint="eastAsia" w:ascii="仿宋_GB2312" w:eastAsia="仿宋_GB2312"/>
          <w:color w:val="000000"/>
          <w:sz w:val="32"/>
          <w:szCs w:val="32"/>
          <w:lang w:eastAsia="zh-CN"/>
        </w:rPr>
        <w:t>、</w:t>
      </w:r>
      <w:r>
        <w:rPr>
          <w:rFonts w:hint="eastAsia" w:ascii="仿宋_GB2312" w:eastAsia="仿宋_GB2312"/>
          <w:color w:val="000000"/>
          <w:sz w:val="32"/>
          <w:szCs w:val="32"/>
        </w:rPr>
        <w:t>29元/公斤</w:t>
      </w:r>
      <w:r>
        <w:rPr>
          <w:rFonts w:hint="eastAsia" w:ascii="仿宋_GB2312" w:eastAsia="仿宋_GB2312"/>
          <w:color w:val="000000"/>
          <w:sz w:val="32"/>
          <w:szCs w:val="32"/>
          <w:lang w:eastAsia="zh-CN"/>
        </w:rPr>
        <w:t>、</w:t>
      </w:r>
      <w:r>
        <w:rPr>
          <w:rFonts w:hint="eastAsia" w:ascii="仿宋_GB2312" w:eastAsia="仿宋_GB2312"/>
          <w:color w:val="000000"/>
          <w:sz w:val="32"/>
          <w:szCs w:val="32"/>
        </w:rPr>
        <w:t>27元/公斤，环比分别增长了6.3%、-14.7%、-6.9%。3月份生猪销售价格保持在27元/公斤，按照玉米价格3.08元/公斤计算，猪粮比为8.8:1。猪粮比达到6.8:1左右才能达到盈亏平衡，目前全区生猪养殖处于盈利状态。</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color w:val="000000"/>
          <w:sz w:val="32"/>
          <w:szCs w:val="32"/>
        </w:rPr>
      </w:pPr>
      <w:r>
        <w:rPr>
          <w:rFonts w:hint="eastAsia" w:ascii="仿宋_GB2312" w:hAnsi="楷体_GB2312" w:eastAsia="仿宋_GB2312" w:cs="楷体_GB2312"/>
          <w:bCs/>
          <w:color w:val="000000"/>
          <w:sz w:val="32"/>
          <w:szCs w:val="32"/>
        </w:rPr>
        <w:t xml:space="preserve">    家禽饲养效益提高。</w:t>
      </w:r>
      <w:r>
        <w:rPr>
          <w:rFonts w:hint="eastAsia" w:ascii="仿宋_GB2312" w:eastAsia="仿宋_GB2312"/>
          <w:bCs/>
          <w:color w:val="000000"/>
          <w:sz w:val="32"/>
          <w:szCs w:val="32"/>
        </w:rPr>
        <w:t>家禽月度</w:t>
      </w:r>
      <w:r>
        <w:rPr>
          <w:rFonts w:hint="eastAsia" w:ascii="仿宋_GB2312" w:eastAsia="仿宋_GB2312"/>
          <w:color w:val="000000"/>
          <w:sz w:val="32"/>
          <w:szCs w:val="32"/>
        </w:rPr>
        <w:t xml:space="preserve">监测数据显示，3月份我区蛋鸡养殖监测点的蛋鸡存栏1.1万只，较上月减少0.1万只，较去年同期增加0.3万只。饲料价格较上月持平，较上年同期增加，其中玉米价格为每公斤3.08元，预混料价格为每公斤3.78元，分别较上年同期增加1.02元、0.93元。  </w:t>
      </w:r>
    </w:p>
    <w:p>
      <w:pPr>
        <w:keepNext w:val="0"/>
        <w:keepLines w:val="0"/>
        <w:pageBreakBefore w:val="0"/>
        <w:widowControl w:val="0"/>
        <w:numPr>
          <w:ilvl w:val="0"/>
          <w:numId w:val="1"/>
        </w:numPr>
        <w:kinsoku/>
        <w:wordWrap/>
        <w:overflowPunct/>
        <w:topLinePunct w:val="0"/>
        <w:autoSpaceDN/>
        <w:bidi w:val="0"/>
        <w:adjustRightInd/>
        <w:snapToGrid/>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农业生产面临的问题</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一）粮食和经济作物赖以生存的常用耕地面积逐年减少，经济作物的规模扩张遭遇瓶颈。从2010年到2020年，常用耕地面积从237645亩减少到226022亩，面积减少11623亩，下降4.9%，年均下降0.5%。常用耕地面积数量的减少，导致粮食和经济作物播种面积相应减少。</w:t>
      </w:r>
    </w:p>
    <w:p>
      <w:pPr>
        <w:keepNext w:val="0"/>
        <w:keepLines w:val="0"/>
        <w:pageBreakBefore w:val="0"/>
        <w:widowControl w:val="0"/>
        <w:kinsoku/>
        <w:wordWrap/>
        <w:overflowPunct/>
        <w:topLinePunct w:val="0"/>
        <w:autoSpaceDN/>
        <w:bidi w:val="0"/>
        <w:adjustRightInd/>
        <w:snapToGrid/>
        <w:spacing w:line="576" w:lineRule="exact"/>
        <w:ind w:firstLine="640"/>
        <w:textAlignment w:val="auto"/>
        <w:rPr>
          <w:rFonts w:ascii="仿宋_GB2312" w:eastAsia="仿宋_GB2312"/>
          <w:sz w:val="32"/>
          <w:szCs w:val="32"/>
        </w:rPr>
      </w:pPr>
      <w:r>
        <w:rPr>
          <w:rFonts w:hint="eastAsia" w:ascii="仿宋_GB2312" w:eastAsia="仿宋_GB2312"/>
          <w:sz w:val="32"/>
          <w:szCs w:val="32"/>
        </w:rPr>
        <w:t>（二）随着粮食播种面积逐年增加，引领种植业增长的经济作物面积日益遭遇挤压。国家对粮食生产高度重视，粮食安全非常重要，国家出台了粮食安全各级责任制，我区夏粮播种面积自2019年开始处于增长态势，2019年小麦播种面积为13.75万亩，较上年增长1.1%；2020年小麦播种面积为13.81万亩，较上年增长0.4%</w:t>
      </w:r>
      <w:r>
        <w:rPr>
          <w:rFonts w:hint="eastAsia" w:ascii="仿宋_GB2312" w:eastAsia="仿宋_GB2312"/>
          <w:sz w:val="32"/>
          <w:szCs w:val="32"/>
          <w:lang w:eastAsia="zh-CN"/>
        </w:rPr>
        <w:t>。</w:t>
      </w:r>
      <w:r>
        <w:rPr>
          <w:rFonts w:hint="eastAsia" w:ascii="仿宋_GB2312" w:eastAsia="仿宋_GB2312"/>
          <w:sz w:val="32"/>
          <w:szCs w:val="32"/>
        </w:rPr>
        <w:t>粮食面积和经济作物是此长彼消的关系，粮食面积的稳定增长，导致经济作物面积下降。</w:t>
      </w:r>
    </w:p>
    <w:p>
      <w:pPr>
        <w:keepNext w:val="0"/>
        <w:keepLines w:val="0"/>
        <w:pageBreakBefore w:val="0"/>
        <w:widowControl w:val="0"/>
        <w:kinsoku/>
        <w:wordWrap/>
        <w:overflowPunct/>
        <w:topLinePunct w:val="0"/>
        <w:autoSpaceDN/>
        <w:bidi w:val="0"/>
        <w:adjustRightInd/>
        <w:snapToGrid/>
        <w:spacing w:line="576" w:lineRule="exact"/>
        <w:ind w:firstLine="640"/>
        <w:textAlignment w:val="auto"/>
        <w:rPr>
          <w:rFonts w:ascii="仿宋_GB2312" w:eastAsia="仿宋_GB2312"/>
          <w:sz w:val="32"/>
          <w:szCs w:val="32"/>
        </w:rPr>
      </w:pPr>
      <w:r>
        <w:rPr>
          <w:rFonts w:hint="eastAsia" w:ascii="仿宋_GB2312" w:eastAsia="仿宋_GB2312"/>
          <w:sz w:val="32"/>
          <w:szCs w:val="32"/>
        </w:rPr>
        <w:t xml:space="preserve">（三）蔬菜瓜果单产增长模式难以为继。一方面，在经济作物规模扩张遭遇瓶颈制约，走经济作物单产增长模式不失为一种方法，即利用科技方法等通过提高单产来增加产量来促进农业产量增长，但是通过近十几年的增长，尤其到了2020年，经济作物特别是蔬菜的单产增长已达到极值即亩产5000公斤的极限。2020年阎良区蔬菜播种面积15.5万亩，总产76.0 吨，亩产4896公斤。2020年阎良区蔬菜总产稳居全市（9个涉农区县合计）之首，高于高陵和临潼；2020年阎良区蔬菜面积占全市18.5 %，蔬菜产量占全市26.3 %；从2020年起，省统计局添加了控制蔬菜单产的审核公式，为蔬菜亩产划定了范围。要求蔬菜除叶菜类、油菜、菠菜外单产大于200公斤小于5000公斤；叶菜类、油菜、菠菜单产大于200公斤小于3000公斤。  </w:t>
      </w:r>
    </w:p>
    <w:p>
      <w:pPr>
        <w:keepNext w:val="0"/>
        <w:keepLines w:val="0"/>
        <w:pageBreakBefore w:val="0"/>
        <w:widowControl w:val="0"/>
        <w:kinsoku/>
        <w:wordWrap/>
        <w:overflowPunct/>
        <w:topLinePunct w:val="0"/>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四、对策和建议</w:t>
      </w:r>
    </w:p>
    <w:p>
      <w:pPr>
        <w:keepNext w:val="0"/>
        <w:keepLines w:val="0"/>
        <w:pageBreakBefore w:val="0"/>
        <w:widowControl w:val="0"/>
        <w:kinsoku/>
        <w:wordWrap/>
        <w:overflowPunct/>
        <w:topLinePunct w:val="0"/>
        <w:autoSpaceDN/>
        <w:bidi w:val="0"/>
        <w:adjustRightInd/>
        <w:snapToGrid/>
        <w:spacing w:line="576" w:lineRule="exact"/>
        <w:textAlignment w:val="auto"/>
        <w:rPr>
          <w:rFonts w:ascii="仿宋_GB2312" w:eastAsia="仿宋_GB2312"/>
          <w:sz w:val="32"/>
          <w:szCs w:val="32"/>
        </w:rPr>
      </w:pPr>
      <w:r>
        <w:rPr>
          <w:rFonts w:hint="eastAsia" w:ascii="仿宋_GB2312" w:eastAsia="仿宋_GB2312"/>
          <w:sz w:val="32"/>
          <w:szCs w:val="32"/>
        </w:rPr>
        <w:t xml:space="preserve">    经过近十几年的发展， 2020年阎良区蔬菜总产达到76万吨，蔬菜产值达到274789万元，占种植业的比例为64.5 %，占农林牧渔及服务业总产值的比例为49.3 %；2021年一季度，阎良区蔬菜产值12782万元，占种植业的比例为93.4%，占农林牧渔及服务业总产值的比例为35.7 %。蔬菜产量的波动对我区2021年种植业乃至农林牧渔业及服务业总产值的增加将会产生非常不利的影响。 </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sz w:val="32"/>
          <w:szCs w:val="32"/>
        </w:rPr>
        <w:t>为了进一步确保农业生产持续稳定发展，特提出以下五个方面建议：</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b/>
          <w:bCs/>
          <w:sz w:val="32"/>
          <w:szCs w:val="32"/>
        </w:rPr>
        <w:t>一是</w:t>
      </w:r>
      <w:r>
        <w:rPr>
          <w:rFonts w:hint="eastAsia" w:ascii="仿宋_GB2312"/>
          <w:sz w:val="32"/>
          <w:szCs w:val="32"/>
        </w:rPr>
        <w:t>高度重视耕地保护。严格耕地保护、坚决制止耕地“非农化”、防止“非粮化”，各级政府要建立耕地保护目标责任考核机制，明确责任部门，抓好问题整改、落实奖罚措施，推进耕地保护工作责任制落实。</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b/>
          <w:bCs/>
          <w:sz w:val="32"/>
          <w:szCs w:val="32"/>
        </w:rPr>
        <w:t>二是</w:t>
      </w:r>
      <w:r>
        <w:rPr>
          <w:rFonts w:hint="eastAsia" w:ascii="仿宋_GB2312"/>
          <w:sz w:val="32"/>
          <w:szCs w:val="32"/>
        </w:rPr>
        <w:t>扩大蔬菜、瓜果的种植面积，提高复种指数，实现应种尽种，稳住种植业基本盘。2020年，蔬菜、果用瓜的产值分别占种植业的比重分别为64.5 %</w:t>
      </w:r>
      <w:r>
        <w:rPr>
          <w:rFonts w:hint="eastAsia" w:ascii="仿宋_GB2312"/>
          <w:sz w:val="32"/>
          <w:szCs w:val="32"/>
          <w:lang w:eastAsia="zh-CN"/>
        </w:rPr>
        <w:t>、</w:t>
      </w:r>
      <w:r>
        <w:rPr>
          <w:rFonts w:hint="eastAsia" w:ascii="仿宋_GB2312"/>
          <w:sz w:val="32"/>
          <w:szCs w:val="32"/>
        </w:rPr>
        <w:t xml:space="preserve">21.2 %，2021年一季度，蔬菜的产值占种植业的比重分别为93.4%，占农林牧渔及服务业的比重为35.7%，在亩产已经很高的情况下，蔬菜、瓜果的产量只能通过种植面积的扩大和复种指数的提高来实现。 </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b/>
          <w:bCs/>
          <w:sz w:val="32"/>
          <w:szCs w:val="32"/>
        </w:rPr>
        <w:t>三是</w:t>
      </w:r>
      <w:r>
        <w:rPr>
          <w:rFonts w:hint="eastAsia" w:ascii="仿宋_GB2312"/>
          <w:sz w:val="32"/>
          <w:szCs w:val="32"/>
        </w:rPr>
        <w:t>加大对设施蔬菜、瓜果生产技术、政策研究，加大设施投入，提高设施建设档次，引导群众合理搞好品种搭配，增加高端特色蔬菜种植，同时加强市场监测，提前做好销售预案，确保蔬菜、瓜果销售渠道畅通，持续提升经济效益。</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b/>
          <w:bCs/>
          <w:sz w:val="32"/>
          <w:szCs w:val="32"/>
        </w:rPr>
        <w:t>四是</w:t>
      </w:r>
      <w:r>
        <w:rPr>
          <w:rFonts w:hint="eastAsia" w:ascii="仿宋_GB2312"/>
          <w:sz w:val="32"/>
          <w:szCs w:val="32"/>
        </w:rPr>
        <w:t>加大畜禽养殖的管理和扶持力度，用足用活惠农政策，依托百跃乳业等农产品加工企业，持续扩大奶山羊养殖规模，提供更加优质畜禽产品，不断提高科学管理水平，推动生猪、奶牛、家禽等畜牧业养殖迈上新台阶。</w:t>
      </w:r>
    </w:p>
    <w:p>
      <w:pPr>
        <w:pStyle w:val="9"/>
        <w:keepNext w:val="0"/>
        <w:keepLines w:val="0"/>
        <w:pageBreakBefore w:val="0"/>
        <w:widowControl w:val="0"/>
        <w:kinsoku/>
        <w:wordWrap/>
        <w:overflowPunct/>
        <w:topLinePunct w:val="0"/>
        <w:autoSpaceDE w:val="0"/>
        <w:autoSpaceDN/>
        <w:bidi w:val="0"/>
        <w:adjustRightInd/>
        <w:snapToGrid/>
        <w:spacing w:before="0" w:beforeAutospacing="0" w:after="0" w:afterAutospacing="0" w:line="576" w:lineRule="exact"/>
        <w:ind w:left="0" w:firstLine="640" w:firstLineChars="200"/>
        <w:textAlignment w:val="auto"/>
        <w:rPr>
          <w:rFonts w:ascii="仿宋_GB2312"/>
          <w:sz w:val="32"/>
          <w:szCs w:val="32"/>
        </w:rPr>
      </w:pPr>
      <w:r>
        <w:rPr>
          <w:rFonts w:hint="eastAsia" w:ascii="仿宋_GB2312"/>
          <w:b/>
          <w:bCs/>
          <w:sz w:val="32"/>
          <w:szCs w:val="32"/>
        </w:rPr>
        <w:t>五是</w:t>
      </w:r>
      <w:r>
        <w:rPr>
          <w:rFonts w:hint="eastAsia" w:ascii="仿宋_GB2312"/>
          <w:sz w:val="32"/>
          <w:szCs w:val="32"/>
        </w:rPr>
        <w:t>大力发展农业现代示范园区，提高园区的级别和设施档次。大力发展21家省、市农业现代示范园区，持续加大政府投资，撬动民间投资，动员更多农民加入合作社组织，利用合作社技术、信息等优势，盯紧市场，适应变化，调整结构，兴办加工、贮藏实体，延长产业链，增加附加值，推动农业生产持续健康发展。</w:t>
      </w:r>
    </w:p>
    <w:p>
      <w:pPr>
        <w:pStyle w:val="9"/>
        <w:autoSpaceDE w:val="0"/>
        <w:spacing w:before="0" w:beforeAutospacing="0" w:after="0" w:afterAutospacing="0" w:line="560" w:lineRule="exact"/>
        <w:ind w:left="0" w:firstLine="640" w:firstLineChars="200"/>
        <w:rPr>
          <w:rFonts w:ascii="仿宋_GB2312"/>
          <w:sz w:val="32"/>
          <w:szCs w:val="32"/>
        </w:rPr>
      </w:pPr>
    </w:p>
    <w:p>
      <w:pPr>
        <w:pStyle w:val="9"/>
        <w:autoSpaceDE w:val="0"/>
        <w:spacing w:before="0" w:beforeAutospacing="0" w:after="0" w:afterAutospacing="0" w:line="560" w:lineRule="exact"/>
        <w:ind w:left="0" w:firstLine="640" w:firstLineChars="200"/>
        <w:jc w:val="right"/>
      </w:pPr>
      <w:r>
        <w:rPr>
          <w:rFonts w:hint="eastAsia" w:ascii="仿宋_GB2312"/>
          <w:sz w:val="32"/>
          <w:szCs w:val="32"/>
          <w:lang w:val="en-US" w:eastAsia="zh-CN"/>
        </w:rPr>
        <w:t xml:space="preserve">                </w:t>
      </w:r>
      <w:bookmarkStart w:id="0" w:name="_GoBack"/>
      <w:bookmarkEnd w:id="0"/>
    </w:p>
    <w:sectPr>
      <w:footerReference r:id="rId3" w:type="default"/>
      <w:footerReference r:id="rId4" w:type="even"/>
      <w:pgSz w:w="11906" w:h="16838"/>
      <w:pgMar w:top="2098" w:right="1531" w:bottom="1984" w:left="1531"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Noto Sans CJK SC"/>
    <w:panose1 w:val="02010609030101010101"/>
    <w:charset w:val="86"/>
    <w:family w:val="modern"/>
    <w:pitch w:val="default"/>
    <w:sig w:usb0="00000000" w:usb1="00000000" w:usb2="00000000" w:usb3="00000000" w:csb0="00040000" w:csb1="00000000"/>
  </w:font>
  <w:font w:name="方正舒体简体">
    <w:altName w:val="CESI仿宋-GB13000"/>
    <w:panose1 w:val="02010601030101010101"/>
    <w:charset w:val="86"/>
    <w:family w:val="auto"/>
    <w:pitch w:val="default"/>
    <w:sig w:usb0="00000000" w:usb1="00000000" w:usb2="00000000" w:usb3="00000000" w:csb0="00040000" w:csb1="00000000"/>
  </w:font>
  <w:font w:name="楷体_GB2312">
    <w:altName w:val="Noto Sans CJK SC"/>
    <w:panose1 w:val="02010609030101010101"/>
    <w:charset w:val="86"/>
    <w:family w:val="modern"/>
    <w:pitch w:val="default"/>
    <w:sig w:usb0="00000000" w:usb1="00000000" w:usb2="00000000" w:usb3="00000000" w:csb0="00040000" w:csb1="00000000"/>
  </w:font>
  <w:font w:name="方正小标宋简体">
    <w:altName w:val="CESI仿宋-GB13000"/>
    <w:panose1 w:val="02010601030101010101"/>
    <w:charset w:val="86"/>
    <w:family w:val="script"/>
    <w:pitch w:val="default"/>
    <w:sig w:usb0="00000000" w:usb1="00000000" w:usb2="00000000" w:usb3="00000000" w:csb0="00040000"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w:pict>
        <v:shape id="_x0000_s2049" o:spid="_x0000_s2049" o:spt="202" type="#_x0000_t202" style="position:absolute;left:0pt;margin-left:303.6pt;margin-top:0pt;height:18.5pt;width:138.6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ind w:firstLine="1680" w:firstLineChars="6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p>
            </w:txbxContent>
          </v:textbox>
        </v:shape>
      </w:pict>
    </w:r>
    <w:sdt>
      <w:sdtPr>
        <w:id w:val="24217377"/>
      </w:sdtP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0" o:spid="_x0000_s2050" o:spt="202" type="#_x0000_t202" style="position:absolute;left:0pt;margin-left:2.7pt;margin-top:-5.55pt;height:18.4pt;width:439.5pt;mso-position-horizontal-relative:margin;z-index:251660288;mso-width-relative:page;mso-height-relative:page;" filled="f" stroked="f" coordsize="21600,21600">
          <v:path/>
          <v:fill on="f" focussize="0,0"/>
          <v:stroke on="f"/>
          <v:imagedata o:title=""/>
          <o:lock v:ext="edit" aspectratio="f"/>
          <v:textbox inset="0mm,0mm,0mm,0mm">
            <w:txbxContent>
              <w:p>
                <w:pPr>
                  <w:pStyle w:val="4"/>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21279"/>
    <w:multiLevelType w:val="singleLevel"/>
    <w:tmpl w:val="EA5212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70FC9"/>
    <w:rsid w:val="00273250"/>
    <w:rsid w:val="003118D6"/>
    <w:rsid w:val="003471B0"/>
    <w:rsid w:val="003943E5"/>
    <w:rsid w:val="00436444"/>
    <w:rsid w:val="004D63CF"/>
    <w:rsid w:val="00570FC9"/>
    <w:rsid w:val="005D7F15"/>
    <w:rsid w:val="006F263D"/>
    <w:rsid w:val="00810764"/>
    <w:rsid w:val="008E24D7"/>
    <w:rsid w:val="00C30099"/>
    <w:rsid w:val="00CB40C0"/>
    <w:rsid w:val="00D739D7"/>
    <w:rsid w:val="00F55666"/>
    <w:rsid w:val="014C4B00"/>
    <w:rsid w:val="0374380A"/>
    <w:rsid w:val="05EC1793"/>
    <w:rsid w:val="06ED2019"/>
    <w:rsid w:val="0EB2059A"/>
    <w:rsid w:val="189F44FC"/>
    <w:rsid w:val="1D6068BB"/>
    <w:rsid w:val="27511C10"/>
    <w:rsid w:val="28BC0B40"/>
    <w:rsid w:val="2C2A34CF"/>
    <w:rsid w:val="31EA1427"/>
    <w:rsid w:val="332B6E33"/>
    <w:rsid w:val="33820A70"/>
    <w:rsid w:val="36A10572"/>
    <w:rsid w:val="37657A2A"/>
    <w:rsid w:val="39D16201"/>
    <w:rsid w:val="3B4F3113"/>
    <w:rsid w:val="3F77C7A6"/>
    <w:rsid w:val="41F8042A"/>
    <w:rsid w:val="44CE2D8B"/>
    <w:rsid w:val="49B9260D"/>
    <w:rsid w:val="4E272115"/>
    <w:rsid w:val="64CD37A6"/>
    <w:rsid w:val="66BA7612"/>
    <w:rsid w:val="674A6BD0"/>
    <w:rsid w:val="6A2F06E2"/>
    <w:rsid w:val="6A8A217F"/>
    <w:rsid w:val="6C1052BF"/>
    <w:rsid w:val="7D895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99"/>
    <w:pPr>
      <w:widowControl w:val="0"/>
      <w:spacing w:line="576" w:lineRule="exact"/>
      <w:ind w:firstLine="420" w:firstLineChars="200"/>
      <w:jc w:val="both"/>
    </w:pPr>
    <w:rPr>
      <w:rFonts w:ascii="Calibri" w:hAnsi="Calibri" w:eastAsia="宋体" w:cs="黑体"/>
      <w:kern w:val="2"/>
      <w:sz w:val="32"/>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99"/>
    <w:rPr>
      <w:sz w:val="18"/>
      <w:szCs w:val="18"/>
    </w:rPr>
  </w:style>
  <w:style w:type="paragraph" w:customStyle="1" w:styleId="9">
    <w:name w:val="Char1"/>
    <w:basedOn w:val="1"/>
    <w:qFormat/>
    <w:uiPriority w:val="0"/>
    <w:pPr>
      <w:spacing w:before="100" w:beforeAutospacing="1" w:after="100" w:afterAutospacing="1"/>
      <w:ind w:left="840" w:hanging="420"/>
    </w:pPr>
    <w:rPr>
      <w:rFonts w:ascii="Times New Roman" w:hAnsi="Times New Roman" w:eastAsia="仿宋_GB2312" w:cs="Times New Roman"/>
      <w:sz w:val="24"/>
      <w:szCs w:val="24"/>
    </w:rPr>
  </w:style>
  <w:style w:type="character" w:customStyle="1" w:styleId="10">
    <w:name w:val="页眉 Char"/>
    <w:basedOn w:val="7"/>
    <w:link w:val="5"/>
    <w:semiHidden/>
    <w:qFormat/>
    <w:uiPriority w:val="99"/>
    <w:rPr>
      <w:sz w:val="18"/>
      <w:szCs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544</Words>
  <Characters>3104</Characters>
  <Lines>25</Lines>
  <Paragraphs>7</Paragraphs>
  <TotalTime>9</TotalTime>
  <ScaleCrop>false</ScaleCrop>
  <LinksUpToDate>false</LinksUpToDate>
  <CharactersWithSpaces>3641</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2021-04-22T15:11:00Z</dcterms:created>
  <dc:creator>微软用户</dc:creator>
  <cp:lastModifiedBy>guest</cp:lastModifiedBy>
  <cp:lastPrinted>2021-04-23T09:12:00Z</cp:lastPrinted>
  <dcterms:modified xsi:type="dcterms:W3CDTF">2021-05-21T14:30:12Z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83C88A707477476DA406A21D4F8E4757</vt:lpwstr>
  </property>
</Properties>
</file>