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阎良区文化和旅游体育局</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w:t>
      </w:r>
      <w:r>
        <w:rPr>
          <w:rStyle w:val="9"/>
          <w:rFonts w:hint="eastAsia" w:ascii="方正小标宋简体" w:hAnsi="方正小标宋简体" w:eastAsia="方正小标宋简体" w:cs="方正小标宋简体"/>
          <w:color w:val="000000"/>
          <w:sz w:val="44"/>
          <w:szCs w:val="44"/>
          <w:lang w:val="en-US" w:eastAsia="zh-CN"/>
        </w:rPr>
        <w:t>20</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249" w:firstLineChars="70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numPr>
          <w:ilvl w:val="0"/>
          <w:numId w:val="0"/>
        </w:numPr>
        <w:jc w:val="both"/>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78" w:lineRule="exact"/>
        <w:ind w:firstLine="640" w:firstLineChars="200"/>
        <w:rPr>
          <w:rFonts w:ascii="仿宋_GB2312" w:eastAsia="仿宋_GB2312"/>
          <w:szCs w:val="32"/>
        </w:rPr>
      </w:pPr>
      <w:r>
        <w:rPr>
          <w:rFonts w:hint="eastAsia" w:ascii="仿宋_GB2312" w:eastAsia="仿宋_GB2312"/>
          <w:szCs w:val="32"/>
        </w:rPr>
        <w:t>1.贯彻执行文化艺术、体育工作、旅游业、文物保护、广播电视事业的法律法规和方针政策；拟订全区文化艺术、体育工作、旅游、文物、非物质文化遗产保护、文化市场、广播电视事业的发展规划、年度计划并组织实施；拟订有关管理办法并组织实施。</w:t>
      </w:r>
    </w:p>
    <w:p>
      <w:pPr>
        <w:autoSpaceDE w:val="0"/>
        <w:autoSpaceDN w:val="0"/>
        <w:adjustRightInd w:val="0"/>
        <w:spacing w:line="578" w:lineRule="exact"/>
        <w:ind w:firstLine="640"/>
        <w:rPr>
          <w:rFonts w:ascii="仿宋_GB2312" w:eastAsia="仿宋_GB2312" w:cs="仿宋_GB2312"/>
          <w:kern w:val="0"/>
          <w:szCs w:val="32"/>
          <w:lang w:val="zh-CN"/>
        </w:rPr>
      </w:pPr>
      <w:r>
        <w:rPr>
          <w:rFonts w:hint="eastAsia" w:ascii="仿宋_GB2312" w:eastAsia="仿宋_GB2312"/>
          <w:szCs w:val="32"/>
        </w:rPr>
        <w:t>2.负责</w:t>
      </w:r>
      <w:r>
        <w:rPr>
          <w:rFonts w:hint="eastAsia" w:ascii="仿宋_GB2312" w:eastAsia="仿宋_GB2312" w:cs="仿宋_GB2312"/>
          <w:kern w:val="0"/>
          <w:szCs w:val="32"/>
          <w:lang w:val="zh-CN"/>
        </w:rPr>
        <w:t>推进文化和旅游融合发展以及与其他领域的融合发展，推进文化、广播电视、旅游、体育和文物领域体制机制改革；指导、推进全区文化、旅游、体育和文物创新发展，推进文化、旅游、体育和文物行业信息化、标准化建设。</w:t>
      </w:r>
    </w:p>
    <w:p>
      <w:pPr>
        <w:spacing w:line="578" w:lineRule="exact"/>
        <w:ind w:firstLine="640" w:firstLineChars="200"/>
        <w:rPr>
          <w:rFonts w:ascii="仿宋_GB2312" w:eastAsia="仿宋_GB2312"/>
          <w:szCs w:val="32"/>
        </w:rPr>
      </w:pPr>
      <w:r>
        <w:rPr>
          <w:rFonts w:hint="eastAsia" w:ascii="仿宋_GB2312" w:eastAsia="仿宋_GB2312"/>
          <w:szCs w:val="32"/>
        </w:rPr>
        <w:t>3.负责全区文化艺术事业，指导艺术创作与生产，组织管理全区重大文化活动；会同有关部门做好行业内文化产业发展工作；拟订全区文化设施建设布局。</w:t>
      </w:r>
    </w:p>
    <w:p>
      <w:pPr>
        <w:spacing w:line="578" w:lineRule="exact"/>
        <w:ind w:firstLine="640" w:firstLineChars="200"/>
        <w:rPr>
          <w:rFonts w:ascii="仿宋_GB2312" w:eastAsia="仿宋_GB2312"/>
          <w:szCs w:val="32"/>
        </w:rPr>
      </w:pPr>
      <w:r>
        <w:rPr>
          <w:rFonts w:hint="eastAsia" w:ascii="仿宋_GB2312" w:eastAsia="仿宋_GB2312"/>
          <w:szCs w:val="32"/>
        </w:rPr>
        <w:t>4.指导基层和驻区各单位的文化工作，指导区文化馆、图书馆和基层文化建设。</w:t>
      </w:r>
    </w:p>
    <w:p>
      <w:pPr>
        <w:spacing w:line="578" w:lineRule="exact"/>
        <w:ind w:firstLine="640" w:firstLineChars="200"/>
        <w:rPr>
          <w:rFonts w:ascii="仿宋_GB2312" w:eastAsia="仿宋_GB2312"/>
          <w:szCs w:val="32"/>
        </w:rPr>
      </w:pPr>
      <w:r>
        <w:rPr>
          <w:rFonts w:hint="eastAsia" w:ascii="仿宋_GB2312" w:eastAsia="仿宋_GB2312"/>
          <w:szCs w:val="32"/>
        </w:rPr>
        <w:t>5.组织实施非物质文化遗产保护和优秀民族文化的传承普及工作。</w:t>
      </w:r>
    </w:p>
    <w:p>
      <w:pPr>
        <w:spacing w:line="578" w:lineRule="exact"/>
        <w:ind w:firstLine="640" w:firstLineChars="200"/>
        <w:rPr>
          <w:rFonts w:ascii="仿宋_GB2312" w:eastAsia="仿宋_GB2312"/>
          <w:szCs w:val="32"/>
        </w:rPr>
      </w:pPr>
      <w:r>
        <w:rPr>
          <w:rFonts w:hint="eastAsia" w:ascii="仿宋_GB2312" w:eastAsia="仿宋_GB2312"/>
          <w:szCs w:val="32"/>
        </w:rPr>
        <w:t>6.统筹规划全区群众体育发展，负责推行全民健身计划，监督实施国家体育锻炼标准，推动国民体质监测和社会体育指导员队伍建设，指导公共体育设施的建设。</w:t>
      </w:r>
    </w:p>
    <w:p>
      <w:pPr>
        <w:spacing w:line="578" w:lineRule="exact"/>
        <w:ind w:firstLine="640" w:firstLineChars="200"/>
        <w:rPr>
          <w:rFonts w:ascii="仿宋_GB2312" w:eastAsia="仿宋_GB2312"/>
          <w:szCs w:val="32"/>
        </w:rPr>
      </w:pPr>
      <w:r>
        <w:rPr>
          <w:rFonts w:hint="eastAsia" w:ascii="仿宋_GB2312" w:eastAsia="仿宋_GB2312"/>
          <w:szCs w:val="32"/>
        </w:rPr>
        <w:t>7.统筹规划全区竞技体育发展及青少年体育发展，指导和推进青少年体育工作，加强体育后备人才队伍建设；统筹规划体育产业的发展，规范体育服务管理，推动体育标准化建设；负责体育彩票销售管理工作。</w:t>
      </w:r>
    </w:p>
    <w:p>
      <w:pPr>
        <w:spacing w:line="578" w:lineRule="exact"/>
        <w:ind w:firstLine="640" w:firstLineChars="200"/>
        <w:rPr>
          <w:rFonts w:ascii="仿宋_GB2312" w:eastAsia="仿宋_GB2312"/>
          <w:szCs w:val="32"/>
        </w:rPr>
      </w:pPr>
      <w:r>
        <w:rPr>
          <w:rFonts w:hint="eastAsia" w:ascii="仿宋_GB2312" w:eastAsia="仿宋_GB2312"/>
          <w:szCs w:val="32"/>
        </w:rPr>
        <w:t>8.组织全区旅游资源的普查、规划、开发和保护工作，拟订全区旅游业开发规划并组织和协调实施；</w:t>
      </w:r>
      <w:r>
        <w:rPr>
          <w:rFonts w:hint="eastAsia" w:ascii="仿宋_GB2312" w:eastAsia="仿宋_GB2312" w:cs="仿宋_GB2312"/>
          <w:kern w:val="0"/>
          <w:szCs w:val="32"/>
          <w:lang w:val="zh-CN"/>
        </w:rPr>
        <w:t>组织全区旅游形象推广，指导、推进全域旅游</w:t>
      </w:r>
      <w:r>
        <w:rPr>
          <w:rFonts w:hint="eastAsia" w:ascii="仿宋_GB2312" w:eastAsia="仿宋_GB2312"/>
          <w:szCs w:val="32"/>
        </w:rPr>
        <w:t>。</w:t>
      </w:r>
    </w:p>
    <w:p>
      <w:pPr>
        <w:spacing w:line="578" w:lineRule="exact"/>
        <w:ind w:firstLine="640" w:firstLineChars="200"/>
        <w:rPr>
          <w:rFonts w:ascii="仿宋_GB2312" w:eastAsia="仿宋_GB2312"/>
          <w:szCs w:val="32"/>
        </w:rPr>
      </w:pPr>
      <w:r>
        <w:rPr>
          <w:rFonts w:hint="eastAsia" w:ascii="仿宋_GB2312" w:eastAsia="仿宋_GB2312"/>
          <w:szCs w:val="32"/>
        </w:rPr>
        <w:t>9.承担规范全区旅游市场秩序、监督管理服务质量、维护旅游消费者和经营者合法权益的责任；规范全区旅游企业和从业人员的经营和服务行为。</w:t>
      </w:r>
    </w:p>
    <w:p>
      <w:pPr>
        <w:spacing w:line="578" w:lineRule="exact"/>
        <w:ind w:firstLine="640" w:firstLineChars="200"/>
        <w:rPr>
          <w:rFonts w:ascii="仿宋_GB2312" w:eastAsia="仿宋_GB2312"/>
          <w:szCs w:val="32"/>
        </w:rPr>
      </w:pPr>
      <w:r>
        <w:rPr>
          <w:rFonts w:hint="eastAsia" w:ascii="仿宋_GB2312" w:eastAsia="仿宋_GB2312"/>
          <w:szCs w:val="32"/>
        </w:rPr>
        <w:t>10.负责全区旅游安全的综合协调和监督管理，组织实施旅游应急救援工作；指导全区旅游行业精神文明建设和诚信体系建设；组织实施旅游人才培训规划。</w:t>
      </w:r>
    </w:p>
    <w:p>
      <w:pPr>
        <w:spacing w:line="578" w:lineRule="exact"/>
        <w:ind w:firstLine="640" w:firstLineChars="200"/>
        <w:rPr>
          <w:rFonts w:ascii="仿宋_GB2312" w:eastAsia="仿宋_GB2312"/>
          <w:szCs w:val="32"/>
        </w:rPr>
      </w:pPr>
      <w:r>
        <w:rPr>
          <w:rFonts w:hint="eastAsia" w:ascii="仿宋_GB2312" w:eastAsia="仿宋_GB2312"/>
          <w:szCs w:val="32"/>
        </w:rPr>
        <w:t>11.组织文物资源调查，指导和协调全区文物保护工作；履行文物行政执法督察职责，依法组织查处破坏文物的违法行为，配合有关部门查处文物犯罪的重大案件。</w:t>
      </w:r>
    </w:p>
    <w:p>
      <w:pPr>
        <w:spacing w:line="578" w:lineRule="exact"/>
        <w:ind w:firstLine="640" w:firstLineChars="200"/>
        <w:rPr>
          <w:rFonts w:ascii="仿宋_GB2312" w:eastAsia="仿宋_GB2312"/>
          <w:szCs w:val="32"/>
        </w:rPr>
      </w:pPr>
      <w:r>
        <w:rPr>
          <w:rFonts w:hint="eastAsia" w:ascii="仿宋_GB2312" w:eastAsia="仿宋_GB2312"/>
          <w:szCs w:val="32"/>
        </w:rPr>
        <w:t>12.负责申报全区文物保护、考古发掘、古建筑维修项目，指导、督促、检查全区文物和博物馆业务工作，依法监督和管理文物的流通，征集流散文物；管理文物专项经费并监督使用；组织开展文物保护宣传工作。</w:t>
      </w:r>
    </w:p>
    <w:p>
      <w:pPr>
        <w:spacing w:line="578" w:lineRule="exact"/>
        <w:ind w:firstLine="640" w:firstLineChars="200"/>
        <w:rPr>
          <w:rFonts w:ascii="仿宋_GB2312" w:eastAsia="仿宋_GB2312"/>
          <w:szCs w:val="32"/>
        </w:rPr>
      </w:pPr>
      <w:r>
        <w:rPr>
          <w:rFonts w:hint="eastAsia" w:ascii="仿宋_GB2312" w:eastAsia="仿宋_GB2312"/>
          <w:szCs w:val="32"/>
        </w:rPr>
        <w:t>13.负责全区文物相关产业发展项目的有关协调、组织实施及管理工作。</w:t>
      </w:r>
    </w:p>
    <w:p>
      <w:pPr>
        <w:spacing w:line="578" w:lineRule="exact"/>
        <w:ind w:firstLine="640" w:firstLineChars="200"/>
        <w:rPr>
          <w:rFonts w:ascii="仿宋_GB2312" w:eastAsia="仿宋_GB2312"/>
          <w:szCs w:val="32"/>
        </w:rPr>
      </w:pPr>
      <w:r>
        <w:rPr>
          <w:rFonts w:hint="eastAsia" w:ascii="仿宋_GB2312" w:eastAsia="仿宋_GB2312"/>
          <w:szCs w:val="32"/>
        </w:rPr>
        <w:t>14.负责全区各类文化体育娱乐场所经营许可的监管；负责文化市场稽查工作，负责对文化艺术、体育经营活动及演艺活动民办机构的行业监管。</w:t>
      </w:r>
    </w:p>
    <w:p>
      <w:pPr>
        <w:spacing w:line="578" w:lineRule="exact"/>
        <w:ind w:firstLine="640" w:firstLineChars="200"/>
        <w:rPr>
          <w:rFonts w:ascii="仿宋_GB2312" w:eastAsia="仿宋_GB2312"/>
          <w:szCs w:val="32"/>
        </w:rPr>
      </w:pPr>
      <w:r>
        <w:rPr>
          <w:rFonts w:hint="eastAsia" w:ascii="仿宋_GB2312" w:eastAsia="仿宋_GB2312"/>
          <w:szCs w:val="32"/>
        </w:rPr>
        <w:t>15.指导发展全区广播电视事业，负责监管在全区广播电视中播出的节目内容和质量；承担对信息网络视听节目服务和公共视听载体播放节目的业务监督责任；规划和负责广播电视产业的发展。</w:t>
      </w:r>
    </w:p>
    <w:p>
      <w:pPr>
        <w:spacing w:line="578" w:lineRule="exact"/>
        <w:ind w:firstLine="640" w:firstLineChars="200"/>
        <w:rPr>
          <w:rFonts w:ascii="仿宋_GB2312" w:eastAsia="仿宋_GB2312"/>
          <w:szCs w:val="32"/>
        </w:rPr>
      </w:pPr>
      <w:r>
        <w:rPr>
          <w:rFonts w:hint="eastAsia" w:ascii="仿宋_GB2312" w:eastAsia="仿宋_GB2312"/>
          <w:szCs w:val="32"/>
        </w:rPr>
        <w:t>16负责管理全区广播电台、电视台、卫星地面接收站、有线电视台的建立、撤销和违法查处工作；指导、协调广播电视科学研究、技术发展、基本建设等方面的工作。</w:t>
      </w:r>
    </w:p>
    <w:p>
      <w:pPr>
        <w:spacing w:line="578" w:lineRule="exact"/>
        <w:ind w:firstLine="640" w:firstLineChars="200"/>
        <w:rPr>
          <w:rFonts w:ascii="仿宋_GB2312" w:eastAsia="仿宋_GB2312" w:cs="仿宋_GB2312"/>
          <w:kern w:val="0"/>
          <w:szCs w:val="32"/>
          <w:lang w:val="zh-CN"/>
        </w:rPr>
      </w:pPr>
      <w:r>
        <w:rPr>
          <w:rFonts w:hint="eastAsia" w:ascii="仿宋_GB2312" w:eastAsia="仿宋_GB2312" w:cs="仿宋_GB2312"/>
          <w:kern w:val="0"/>
          <w:szCs w:val="32"/>
          <w:lang w:val="zh-CN"/>
        </w:rPr>
        <w:t>17指导、管理全区文化、广播电视、旅游、体育和文物事业的对外及对港澳台交流、合作和宣传、推广工作。</w:t>
      </w:r>
    </w:p>
    <w:p>
      <w:pPr>
        <w:spacing w:line="578" w:lineRule="exact"/>
        <w:ind w:firstLine="640" w:firstLineChars="200"/>
        <w:rPr>
          <w:rFonts w:ascii="仿宋_GB2312" w:eastAsia="仿宋_GB2312"/>
          <w:szCs w:val="32"/>
        </w:rPr>
      </w:pPr>
      <w:r>
        <w:rPr>
          <w:rFonts w:hint="eastAsia" w:ascii="仿宋_GB2312" w:eastAsia="仿宋_GB2312"/>
          <w:szCs w:val="32"/>
        </w:rPr>
        <w:t>18</w:t>
      </w:r>
      <w:r>
        <w:rPr>
          <w:rFonts w:hint="eastAsia" w:ascii="仿宋_GB2312" w:hAnsi="仿宋" w:eastAsia="仿宋_GB2312"/>
          <w:szCs w:val="32"/>
        </w:rPr>
        <w:t>负责本系统本行业安全生产管理工作。</w:t>
      </w:r>
    </w:p>
    <w:p>
      <w:pPr>
        <w:autoSpaceDE w:val="0"/>
        <w:autoSpaceDN w:val="0"/>
        <w:adjustRightInd w:val="0"/>
        <w:spacing w:line="578" w:lineRule="exact"/>
        <w:ind w:firstLine="640"/>
        <w:rPr>
          <w:rFonts w:ascii="仿宋_GB2312" w:eastAsia="仿宋_GB2312"/>
          <w:szCs w:val="32"/>
        </w:rPr>
      </w:pPr>
      <w:r>
        <w:rPr>
          <w:rFonts w:hint="eastAsia" w:ascii="仿宋_GB2312" w:eastAsia="仿宋_GB2312"/>
          <w:szCs w:val="32"/>
        </w:rPr>
        <w:t>19承办区委、区政府交办的其他事项。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spacing w:line="578" w:lineRule="exact"/>
        <w:ind w:firstLine="640" w:firstLineChars="200"/>
        <w:rPr>
          <w:rFonts w:hint="default" w:ascii="仿宋_GB2312" w:eastAsia="仿宋_GB2312" w:cs="仿宋_GB2312"/>
          <w:kern w:val="0"/>
          <w:szCs w:val="32"/>
          <w:lang w:val="en-US" w:eastAsia="zh-CN"/>
        </w:rPr>
      </w:pPr>
      <w:r>
        <w:rPr>
          <w:rFonts w:hint="eastAsia" w:ascii="仿宋_GB2312" w:eastAsia="仿宋_GB2312" w:cs="仿宋_GB2312"/>
          <w:kern w:val="0"/>
          <w:szCs w:val="32"/>
          <w:lang w:val="zh-CN"/>
        </w:rPr>
        <w:t>内设：综合科  文体旅游科</w:t>
      </w:r>
      <w:r>
        <w:rPr>
          <w:rFonts w:hint="eastAsia" w:ascii="仿宋_GB2312" w:eastAsia="仿宋_GB2312" w:cs="仿宋_GB2312"/>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hint="eastAsia" w:ascii="黑体" w:hAnsi="宋体" w:eastAsia="黑体"/>
          <w:color w:val="000000"/>
          <w:kern w:val="0"/>
          <w:sz w:val="32"/>
          <w:szCs w:val="32"/>
          <w:highlight w:val="none"/>
          <w:lang w:eastAsia="zh-CN" w:bidi="ar"/>
        </w:rPr>
        <w:t>一、</w:t>
      </w:r>
      <w:r>
        <w:rPr>
          <w:rFonts w:hint="eastAsia" w:ascii="黑体" w:hAnsi="宋体" w:eastAsia="黑体"/>
          <w:color w:val="000000"/>
          <w:kern w:val="0"/>
          <w:sz w:val="32"/>
          <w:szCs w:val="32"/>
          <w:highlight w:val="none"/>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纳入2019年度本部门决算编制范围的单位共1个，包括本级及所属0个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rPr>
                <w:rFonts w:ascii="仿宋_GB2312" w:hAnsi="仿宋_GB2312" w:eastAsia="仿宋_GB2312" w:cs="仿宋_GB2312"/>
                <w:szCs w:val="32"/>
              </w:rPr>
            </w:pPr>
            <w:r>
              <w:rPr>
                <w:rFonts w:hint="eastAsia" w:ascii="仿宋_GB2312" w:hAnsi="仿宋_GB2312" w:eastAsia="仿宋_GB2312" w:cs="仿宋_GB2312"/>
                <w:szCs w:val="32"/>
              </w:rPr>
              <w:t>西安市阎良区文化和旅游体育局（本级）</w:t>
            </w:r>
          </w:p>
        </w:tc>
      </w:tr>
    </w:tbl>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ind w:firstLine="640"/>
        <w:rPr>
          <w:rFonts w:hint="eastAsia" w:ascii="黑体" w:hAnsi="黑体" w:eastAsia="黑体"/>
          <w:b/>
          <w:bCs/>
          <w:sz w:val="32"/>
          <w:szCs w:val="32"/>
        </w:rPr>
      </w:pPr>
    </w:p>
    <w:p>
      <w:pPr>
        <w:numPr>
          <w:ilvl w:val="0"/>
          <w:numId w:val="2"/>
        </w:numPr>
        <w:ind w:left="0" w:leftChars="0" w:firstLine="643" w:firstLineChars="200"/>
        <w:rPr>
          <w:rFonts w:hint="eastAsia" w:ascii="黑体" w:hAnsi="黑体" w:eastAsia="黑体"/>
          <w:b/>
          <w:bCs/>
          <w:sz w:val="32"/>
          <w:szCs w:val="32"/>
        </w:rPr>
      </w:pPr>
      <w:r>
        <w:rPr>
          <w:rFonts w:hint="eastAsia" w:ascii="黑体" w:hAnsi="黑体" w:eastAsia="黑体"/>
          <w:b/>
          <w:bCs/>
          <w:sz w:val="32"/>
          <w:szCs w:val="32"/>
        </w:rPr>
        <w:t>部门人员情况</w:t>
      </w: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底，本部门人员编制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lang w:eastAsia="zh-CN"/>
        </w:rPr>
      </w:pP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59070" cy="3773805"/>
            <wp:effectExtent l="4445" t="4445" r="1333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center"/>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880" w:firstLineChars="200"/>
        <w:jc w:val="both"/>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ascii="宋体" w:hAnsi="宋体" w:cs="宋体"/>
                <w:color w:val="000000"/>
                <w:kern w:val="0"/>
                <w:sz w:val="15"/>
                <w:szCs w:val="15"/>
              </w:rPr>
            </w:pPr>
            <w:r>
              <w:rPr>
                <w:rFonts w:hint="eastAsia" w:ascii="宋体" w:hAnsi="宋体" w:cs="宋体"/>
                <w:color w:val="000000"/>
                <w:sz w:val="15"/>
                <w:szCs w:val="15"/>
                <w:lang w:eastAsia="zh-CN"/>
              </w:rPr>
              <w:t>本部门无国有资本经营</w:t>
            </w:r>
            <w:r>
              <w:rPr>
                <w:rFonts w:hint="eastAsia" w:ascii="宋体" w:hAnsi="宋体" w:cs="宋体"/>
                <w:color w:val="000000"/>
                <w:kern w:val="0"/>
                <w:sz w:val="15"/>
                <w:szCs w:val="15"/>
              </w:rPr>
              <w:t>预算财政拨款支出</w:t>
            </w:r>
          </w:p>
          <w:p>
            <w:pPr>
              <w:jc w:val="center"/>
              <w:rPr>
                <w:rFonts w:hint="eastAsia" w:ascii="宋体" w:hAnsi="宋体" w:eastAsia="方正仿宋简体" w:cs="宋体"/>
                <w:color w:val="000000"/>
                <w:sz w:val="24"/>
                <w:lang w:eastAsia="zh-CN"/>
              </w:rPr>
            </w:pP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1738.69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1,884.19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286.31</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2,183.69</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2,183.69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2,183.69</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ind w:firstLine="3534" w:firstLineChars="1100"/>
        <w:jc w:val="both"/>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538"/>
        <w:gridCol w:w="1144"/>
        <w:gridCol w:w="1012"/>
        <w:gridCol w:w="994"/>
        <w:gridCol w:w="937"/>
        <w:gridCol w:w="657"/>
        <w:gridCol w:w="1035"/>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53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14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其中</w:t>
            </w:r>
            <w:r>
              <w:rPr>
                <w:rFonts w:hint="eastAsia" w:ascii="宋体" w:hAnsi="宋体" w:eastAsia="宋体" w:cs="宋体"/>
                <w:b/>
                <w:color w:val="000000"/>
                <w:sz w:val="21"/>
                <w:szCs w:val="21"/>
                <w:lang w:eastAsia="zh-CN"/>
              </w:rPr>
              <w:t>：教育收费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1,793.69</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1,793.69</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1,727.50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1,727.50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文化和旅游</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482.29</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482.29</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2070101</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2070102</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2070111</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2070199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234.46</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234.46</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20702</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文物</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108.21</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108.21</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2070202</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2070204</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107.43</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107.43</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体育</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975.00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975.00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2070306</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2070307</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2070399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930.00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20799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2079999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卫生健康支出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行政事业单位医疗</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229</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其他支出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22960</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2296003</w:t>
            </w:r>
          </w:p>
        </w:tc>
        <w:tc>
          <w:tcPr>
            <w:tcW w:w="11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ind w:firstLine="3855" w:firstLineChars="1200"/>
        <w:jc w:val="both"/>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2,183.69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131.82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2,051.87</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人大事务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1,884.19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1,763.56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565.04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444.41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文化展示及纪念机构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267.21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267.21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体育</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2070306</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群众体育</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939.00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939.00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1,738.69</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1,884.19</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1,884.19</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8.88</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1118"/>
        <w:gridCol w:w="937"/>
        <w:gridCol w:w="83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1,793.69</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2,183.69</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1,897.38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390.00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158.69</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2,183.69</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2,183.69</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1,897.38</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hint="eastAsia" w:ascii="宋体" w:hAnsi="宋体" w:eastAsia="宋体" w:cs="宋体"/>
          <w:b/>
          <w:bCs/>
          <w:szCs w:val="32"/>
          <w:highlight w:val="none"/>
        </w:rPr>
      </w:pPr>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1,897.38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131.82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125.19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1,765.56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人大事务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1,884.19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114.01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1,763.56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565.04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114.01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444.41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120.63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114.01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文化展示及纪念机构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267.21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267.21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2070204</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体育</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2070306</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群众体育</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939.00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939.00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131.82</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125.19</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125.18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125.19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32.44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32.44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30.37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30.37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29.23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29.23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11.53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11.53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2.98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2.98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16.53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16.53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6.63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0.13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0.13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30240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国内债务发行费用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国外债务发行费用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31021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31022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资本金注入</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政府投资基金股权投资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费用补贴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利息补贴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赠与</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3.29</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0.53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2.89</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0.13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2.76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0.76</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2296002</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2296003</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141.31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ind w:firstLine="883" w:firstLineChars="200"/>
        <w:jc w:val="both"/>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lang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rPr>
      </w:pPr>
      <w:r>
        <w:rPr>
          <w:rFonts w:hint="eastAsia" w:ascii="仿宋_GB2312" w:hAnsi="仿宋" w:eastAsia="仿宋_GB2312"/>
          <w:szCs w:val="32"/>
        </w:rPr>
        <w:drawing>
          <wp:inline distT="0" distB="0" distL="114300" distR="114300">
            <wp:extent cx="5080000" cy="24060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lang w:val="en-US" w:eastAsia="zh-CN"/>
        </w:rPr>
        <w:t>2020年度收</w:t>
      </w:r>
      <w:r>
        <w:rPr>
          <w:rFonts w:hint="eastAsia" w:ascii="仿宋_GB2312" w:hAnsi="仿宋" w:eastAsia="仿宋_GB2312"/>
          <w:szCs w:val="32"/>
        </w:rPr>
        <w:t>入</w:t>
      </w:r>
      <w:r>
        <w:rPr>
          <w:rFonts w:hint="eastAsia" w:ascii="仿宋_GB2312" w:hAnsi="仿宋" w:eastAsia="仿宋_GB2312"/>
          <w:szCs w:val="32"/>
          <w:lang w:val="en-US" w:eastAsia="zh-CN"/>
        </w:rPr>
        <w:t>1793.69</w:t>
      </w:r>
      <w:r>
        <w:rPr>
          <w:rFonts w:hint="eastAsia" w:ascii="仿宋_GB2312" w:hAnsi="仿宋" w:eastAsia="仿宋_GB2312"/>
          <w:szCs w:val="32"/>
        </w:rPr>
        <w:t>万元，201</w:t>
      </w:r>
      <w:r>
        <w:rPr>
          <w:rFonts w:hint="eastAsia" w:ascii="仿宋_GB2312" w:hAnsi="仿宋" w:eastAsia="仿宋_GB2312"/>
          <w:szCs w:val="32"/>
          <w:lang w:val="en-US" w:eastAsia="zh-CN"/>
        </w:rPr>
        <w:t>9</w:t>
      </w:r>
      <w:r>
        <w:rPr>
          <w:rFonts w:hint="eastAsia" w:ascii="仿宋_GB2312" w:hAnsi="仿宋" w:eastAsia="仿宋_GB2312"/>
          <w:szCs w:val="32"/>
        </w:rPr>
        <w:t>年收入</w:t>
      </w:r>
      <w:r>
        <w:rPr>
          <w:rFonts w:hint="eastAsia" w:ascii="仿宋_GB2312" w:hAnsi="仿宋" w:eastAsia="仿宋_GB2312"/>
          <w:szCs w:val="32"/>
          <w:lang w:val="en-US" w:eastAsia="zh-CN"/>
        </w:rPr>
        <w:t>2503.57</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年比201</w:t>
      </w:r>
      <w:r>
        <w:rPr>
          <w:rFonts w:hint="eastAsia" w:ascii="仿宋_GB2312" w:hAnsi="仿宋" w:eastAsia="仿宋_GB2312"/>
          <w:szCs w:val="32"/>
          <w:lang w:val="en-US" w:eastAsia="zh-CN"/>
        </w:rPr>
        <w:t>9</w:t>
      </w:r>
      <w:r>
        <w:rPr>
          <w:rFonts w:hint="eastAsia" w:ascii="仿宋_GB2312" w:hAnsi="仿宋" w:eastAsia="仿宋_GB2312"/>
          <w:szCs w:val="32"/>
        </w:rPr>
        <w:t>年减少</w:t>
      </w:r>
      <w:r>
        <w:rPr>
          <w:rFonts w:hint="eastAsia" w:ascii="仿宋_GB2312" w:hAnsi="仿宋" w:eastAsia="仿宋_GB2312"/>
          <w:szCs w:val="32"/>
          <w:lang w:val="en-US" w:eastAsia="zh-CN"/>
        </w:rPr>
        <w:t>709.88</w:t>
      </w:r>
      <w:r>
        <w:rPr>
          <w:rFonts w:hint="eastAsia" w:ascii="仿宋_GB2312" w:hAnsi="仿宋" w:eastAsia="仿宋_GB2312"/>
          <w:szCs w:val="32"/>
        </w:rPr>
        <w:t>万元，主要是机构改革单位转隶项目减少</w:t>
      </w:r>
      <w:r>
        <w:rPr>
          <w:rFonts w:hint="eastAsia" w:ascii="仿宋_GB2312" w:hAnsi="仿宋" w:eastAsia="仿宋_GB2312"/>
          <w:szCs w:val="32"/>
          <w:lang w:eastAsia="zh-CN"/>
        </w:rPr>
        <w:t>和有上年结转结余的资金。</w:t>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度年支出21</w:t>
      </w:r>
      <w:r>
        <w:rPr>
          <w:rFonts w:hint="eastAsia" w:ascii="仿宋_GB2312" w:hAnsi="仿宋" w:eastAsia="仿宋_GB2312"/>
          <w:szCs w:val="32"/>
          <w:lang w:val="en-US" w:eastAsia="zh-CN"/>
        </w:rPr>
        <w:t>83.69</w:t>
      </w:r>
      <w:r>
        <w:rPr>
          <w:rFonts w:hint="eastAsia" w:ascii="仿宋_GB2312" w:hAnsi="仿宋" w:eastAsia="仿宋_GB2312"/>
          <w:szCs w:val="32"/>
        </w:rPr>
        <w:t>万元，201</w:t>
      </w:r>
      <w:r>
        <w:rPr>
          <w:rFonts w:hint="eastAsia" w:ascii="仿宋_GB2312" w:hAnsi="仿宋" w:eastAsia="仿宋_GB2312"/>
          <w:szCs w:val="32"/>
          <w:lang w:val="en-US" w:eastAsia="zh-CN"/>
        </w:rPr>
        <w:t>9</w:t>
      </w:r>
      <w:r>
        <w:rPr>
          <w:rFonts w:hint="eastAsia" w:ascii="仿宋_GB2312" w:hAnsi="仿宋" w:eastAsia="仿宋_GB2312"/>
          <w:szCs w:val="32"/>
        </w:rPr>
        <w:t>年支出</w:t>
      </w:r>
      <w:r>
        <w:rPr>
          <w:rFonts w:hint="eastAsia" w:ascii="仿宋_GB2312" w:hAnsi="仿宋" w:eastAsia="仿宋_GB2312"/>
          <w:szCs w:val="32"/>
          <w:lang w:val="en-US" w:eastAsia="zh-CN"/>
        </w:rPr>
        <w:t>2113.57</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年比20</w:t>
      </w:r>
      <w:r>
        <w:rPr>
          <w:rFonts w:hint="eastAsia" w:ascii="仿宋_GB2312" w:hAnsi="仿宋" w:eastAsia="仿宋_GB2312"/>
          <w:szCs w:val="32"/>
          <w:lang w:val="en-US" w:eastAsia="zh-CN"/>
        </w:rPr>
        <w:t>19</w:t>
      </w:r>
      <w:r>
        <w:rPr>
          <w:rFonts w:hint="eastAsia" w:ascii="仿宋_GB2312" w:hAnsi="仿宋" w:eastAsia="仿宋_GB2312"/>
          <w:szCs w:val="32"/>
        </w:rPr>
        <w:t>年</w:t>
      </w:r>
      <w:r>
        <w:rPr>
          <w:rFonts w:hint="eastAsia" w:ascii="仿宋_GB2312" w:hAnsi="仿宋" w:eastAsia="仿宋_GB2312"/>
          <w:szCs w:val="32"/>
          <w:lang w:eastAsia="zh-CN"/>
        </w:rPr>
        <w:t>增加</w:t>
      </w:r>
      <w:r>
        <w:rPr>
          <w:rFonts w:hint="eastAsia" w:ascii="仿宋_GB2312" w:hAnsi="仿宋" w:eastAsia="仿宋_GB2312"/>
          <w:szCs w:val="32"/>
          <w:lang w:val="en-US" w:eastAsia="zh-CN"/>
        </w:rPr>
        <w:t>70.12</w:t>
      </w:r>
      <w:r>
        <w:rPr>
          <w:rFonts w:hint="eastAsia" w:ascii="仿宋_GB2312" w:hAnsi="仿宋" w:eastAsia="仿宋_GB2312"/>
          <w:szCs w:val="32"/>
        </w:rPr>
        <w:t>万元，主要是</w:t>
      </w:r>
      <w:r>
        <w:rPr>
          <w:rFonts w:hint="eastAsia" w:ascii="仿宋_GB2312" w:hAnsi="仿宋" w:eastAsia="仿宋_GB2312"/>
          <w:szCs w:val="32"/>
          <w:lang w:eastAsia="zh-CN"/>
        </w:rPr>
        <w:t>增加了十四运场馆建设项目。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left="320" w:leftChars="1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652135" cy="2176780"/>
            <wp:effectExtent l="4445" t="4445" r="2032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1793.69</w:t>
      </w:r>
      <w:r>
        <w:rPr>
          <w:rFonts w:ascii="仿宋_GB2312" w:hAnsi="宋体" w:eastAsia="仿宋_GB2312" w:cs="仿宋_GB2312"/>
          <w:color w:val="000000"/>
          <w:kern w:val="0"/>
          <w:sz w:val="32"/>
          <w:szCs w:val="32"/>
          <w:lang w:bidi="ar"/>
        </w:rPr>
        <w:t>万元，其中：财政拨款收</w:t>
      </w:r>
      <w:r>
        <w:rPr>
          <w:rFonts w:hint="eastAsia" w:ascii="仿宋_GB2312" w:hAnsi="宋体" w:eastAsia="仿宋_GB2312" w:cs="仿宋_GB2312"/>
          <w:color w:val="000000"/>
          <w:kern w:val="0"/>
          <w:sz w:val="32"/>
          <w:szCs w:val="32"/>
          <w:lang w:eastAsia="zh-CN" w:bidi="ar"/>
        </w:rPr>
        <w:t>入</w:t>
      </w:r>
      <w:r>
        <w:rPr>
          <w:rFonts w:hint="eastAsia" w:ascii="仿宋_GB2312" w:hAnsi="宋体" w:eastAsia="仿宋_GB2312" w:cs="仿宋_GB2312"/>
          <w:color w:val="000000"/>
          <w:kern w:val="0"/>
          <w:sz w:val="32"/>
          <w:szCs w:val="32"/>
          <w:lang w:val="en-US" w:eastAsia="zh-CN" w:bidi="ar"/>
        </w:rPr>
        <w:t>1793.69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025015"/>
            <wp:effectExtent l="4445" t="4445" r="2095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2183.69</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131.82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2051.87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94</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5080000" cy="2251075"/>
            <wp:effectExtent l="5080" t="4445" r="2032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496.28</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38%</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主要原因是增加了十四运场馆的建设项目。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eastAsia="zh-CN"/>
        </w:rPr>
        <w:t>了</w:t>
      </w:r>
      <w:r>
        <w:rPr>
          <w:rFonts w:hint="eastAsia" w:ascii="仿宋_GB2312" w:hAnsi="仿宋" w:eastAsia="仿宋_GB2312"/>
          <w:sz w:val="32"/>
          <w:szCs w:val="32"/>
          <w:lang w:val="en-US" w:eastAsia="zh-CN"/>
        </w:rPr>
        <w:t>70.12</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主要原因是十四运场馆建设支出。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outlineLvl w:val="9"/>
        <w:rPr>
          <w:rFonts w:hint="eastAsia" w:ascii="楷体_GB2312" w:hAnsi="宋体" w:eastAsia="楷体_GB2312" w:cs="楷体_GB2312"/>
          <w:b/>
          <w:color w:val="000000"/>
          <w:kern w:val="0"/>
          <w:sz w:val="32"/>
          <w:szCs w:val="32"/>
          <w:lang w:eastAsia="zh-CN"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drawing>
          <wp:inline distT="0" distB="0" distL="114300" distR="114300">
            <wp:extent cx="5139055" cy="2167890"/>
            <wp:effectExtent l="5080" t="4445" r="18415" b="184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2183.69</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70.12</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z w:val="32"/>
          <w:szCs w:val="32"/>
          <w:lang w:eastAsia="zh-CN"/>
        </w:rPr>
        <w:t>十四运场馆建设支出。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534.85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1897.38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408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themeColor="text1"/>
          <w:kern w:val="0"/>
          <w:sz w:val="32"/>
          <w:szCs w:val="32"/>
          <w:lang w:eastAsia="zh-CN" w:bidi="ar"/>
          <w14:textFill>
            <w14:solidFill>
              <w14:schemeClr w14:val="tx1"/>
            </w14:solidFill>
          </w14:textFill>
        </w:rPr>
      </w:pPr>
      <w:r>
        <w:rPr>
          <w:rFonts w:ascii="仿宋_GB2312" w:hAnsi="宋体" w:eastAsia="仿宋_GB2312" w:cs="仿宋_GB2312"/>
          <w:b/>
          <w:color w:val="000000" w:themeColor="text1"/>
          <w:kern w:val="0"/>
          <w:sz w:val="32"/>
          <w:szCs w:val="32"/>
          <w:lang w:bidi="ar"/>
          <w14:textFill>
            <w14:solidFill>
              <w14:schemeClr w14:val="tx1"/>
            </w14:solidFill>
          </w14:textFill>
        </w:rPr>
        <w:t>1.一般公共服务支出</w:t>
      </w:r>
      <w:r>
        <w:rPr>
          <w:rFonts w:ascii="仿宋_GB2312" w:hAnsi="宋体" w:eastAsia="仿宋_GB2312" w:cs="仿宋_GB2312"/>
          <w:color w:val="000000" w:themeColor="text1"/>
          <w:kern w:val="0"/>
          <w:sz w:val="32"/>
          <w:szCs w:val="32"/>
          <w:lang w:bidi="ar"/>
          <w14:textFill>
            <w14:solidFill>
              <w14:schemeClr w14:val="tx1"/>
            </w14:solidFill>
          </w14:textFill>
        </w:rPr>
        <w:t>年初预算为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w:t>
      </w:r>
      <w:r>
        <w:rPr>
          <w:rFonts w:ascii="仿宋_GB2312" w:hAnsi="宋体" w:eastAsia="仿宋_GB2312" w:cs="仿宋_GB2312"/>
          <w:color w:val="000000" w:themeColor="text1"/>
          <w:kern w:val="0"/>
          <w:sz w:val="32"/>
          <w:szCs w:val="32"/>
          <w:lang w:bidi="ar"/>
          <w14:textFill>
            <w14:solidFill>
              <w14:schemeClr w14:val="tx1"/>
            </w14:solidFill>
          </w14:textFill>
        </w:rPr>
        <w:t>万元，完成年初预算的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100</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ascii="仿宋_GB2312" w:hAnsi="宋体" w:eastAsia="仿宋_GB2312" w:cs="仿宋_GB2312"/>
          <w:color w:val="000000" w:themeColor="text1"/>
          <w:kern w:val="0"/>
          <w:sz w:val="32"/>
          <w:szCs w:val="32"/>
          <w:lang w:bidi="ar"/>
          <w14:textFill>
            <w14:solidFill>
              <w14:schemeClr w14:val="tx1"/>
            </w14:solidFill>
          </w14:textFill>
        </w:rPr>
        <w:t>2.</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文化旅游体育与传媒支出年初预算</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521.67万元，支出决算为1884.19，完成年初预算的361%，决算数高于预算数主要原因为体育项目费用增加。</w:t>
      </w:r>
      <w:bookmarkStart w:id="4" w:name="_GoBack"/>
      <w:bookmarkEnd w:id="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3.社会保障和就业支出年初预算8.88万元，</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4.卫生健康支出年初预算2.3万元，支出决算为2.3万元</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131.82</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125.19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6.63</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Cs w:val="32"/>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125.18</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32.44</w:t>
      </w:r>
      <w:r>
        <w:rPr>
          <w:rFonts w:hint="eastAsia" w:ascii="仿宋_GB2312" w:hAnsi="宋体" w:eastAsia="仿宋_GB2312" w:cs="仿宋_GB2312"/>
          <w:color w:val="000000"/>
          <w:kern w:val="0"/>
          <w:szCs w:val="32"/>
        </w:rPr>
        <w:t>万元，津补贴</w:t>
      </w:r>
      <w:r>
        <w:rPr>
          <w:rFonts w:hint="eastAsia" w:ascii="仿宋_GB2312" w:hAnsi="宋体" w:eastAsia="仿宋_GB2312" w:cs="仿宋_GB2312"/>
          <w:color w:val="000000"/>
          <w:kern w:val="0"/>
          <w:szCs w:val="32"/>
          <w:lang w:val="en-US" w:eastAsia="zh-CN"/>
        </w:rPr>
        <w:t>30.37</w:t>
      </w:r>
      <w:r>
        <w:rPr>
          <w:rFonts w:hint="eastAsia" w:ascii="仿宋_GB2312" w:hAnsi="宋体" w:eastAsia="仿宋_GB2312" w:cs="仿宋_GB2312"/>
          <w:color w:val="000000"/>
          <w:kern w:val="0"/>
          <w:szCs w:val="32"/>
        </w:rPr>
        <w:t>万元，奖金</w:t>
      </w:r>
      <w:r>
        <w:rPr>
          <w:rFonts w:hint="eastAsia" w:ascii="仿宋_GB2312" w:hAnsi="宋体" w:eastAsia="仿宋_GB2312" w:cs="仿宋_GB2312"/>
          <w:color w:val="000000"/>
          <w:kern w:val="0"/>
          <w:szCs w:val="32"/>
          <w:lang w:val="en-US" w:eastAsia="zh-CN"/>
        </w:rPr>
        <w:t>29.23</w:t>
      </w:r>
      <w:r>
        <w:rPr>
          <w:rFonts w:hint="eastAsia" w:ascii="仿宋_GB2312" w:hAnsi="宋体" w:eastAsia="仿宋_GB2312" w:cs="仿宋_GB2312"/>
          <w:color w:val="000000"/>
          <w:kern w:val="0"/>
          <w:szCs w:val="32"/>
        </w:rPr>
        <w:t>万元，机关养老保险</w:t>
      </w:r>
      <w:r>
        <w:rPr>
          <w:rFonts w:hint="eastAsia" w:ascii="仿宋_GB2312" w:hAnsi="宋体" w:eastAsia="仿宋_GB2312" w:cs="仿宋_GB2312"/>
          <w:color w:val="000000"/>
          <w:kern w:val="0"/>
          <w:szCs w:val="32"/>
          <w:lang w:val="en-US" w:eastAsia="zh-CN"/>
        </w:rPr>
        <w:t>11.53</w:t>
      </w:r>
      <w:r>
        <w:rPr>
          <w:rFonts w:hint="eastAsia" w:ascii="仿宋_GB2312" w:hAnsi="宋体" w:eastAsia="仿宋_GB2312" w:cs="仿宋_GB2312"/>
          <w:color w:val="000000"/>
          <w:kern w:val="0"/>
          <w:szCs w:val="32"/>
        </w:rPr>
        <w:t>万元，职业年金2.</w:t>
      </w:r>
      <w:r>
        <w:rPr>
          <w:rFonts w:hint="eastAsia" w:ascii="仿宋_GB2312" w:hAnsi="宋体" w:eastAsia="仿宋_GB2312" w:cs="仿宋_GB2312"/>
          <w:color w:val="000000"/>
          <w:kern w:val="0"/>
          <w:szCs w:val="32"/>
          <w:lang w:val="en-US" w:eastAsia="zh-CN"/>
        </w:rPr>
        <w:t>07</w:t>
      </w:r>
      <w:r>
        <w:rPr>
          <w:rFonts w:hint="eastAsia" w:ascii="仿宋_GB2312" w:hAnsi="宋体" w:eastAsia="仿宋_GB2312" w:cs="仿宋_GB2312"/>
          <w:color w:val="000000"/>
          <w:kern w:val="0"/>
          <w:szCs w:val="32"/>
        </w:rPr>
        <w:t>万元，职工医疗保险</w:t>
      </w:r>
      <w:r>
        <w:rPr>
          <w:rFonts w:hint="eastAsia" w:ascii="仿宋_GB2312" w:hAnsi="宋体" w:eastAsia="仿宋_GB2312" w:cs="仿宋_GB2312"/>
          <w:color w:val="000000"/>
          <w:kern w:val="0"/>
          <w:szCs w:val="32"/>
          <w:lang w:val="en-US" w:eastAsia="zh-CN"/>
        </w:rPr>
        <w:t>2.98</w:t>
      </w:r>
      <w:r>
        <w:rPr>
          <w:rFonts w:hint="eastAsia" w:ascii="仿宋_GB2312" w:hAnsi="宋体" w:eastAsia="仿宋_GB2312" w:cs="仿宋_GB2312"/>
          <w:color w:val="000000"/>
          <w:kern w:val="0"/>
          <w:szCs w:val="32"/>
        </w:rPr>
        <w:t>万元，其他社会保障缴费</w:t>
      </w:r>
      <w:r>
        <w:rPr>
          <w:rFonts w:hint="eastAsia" w:ascii="仿宋_GB2312" w:hAnsi="宋体" w:eastAsia="仿宋_GB2312" w:cs="仿宋_GB2312"/>
          <w:color w:val="000000"/>
          <w:kern w:val="0"/>
          <w:szCs w:val="32"/>
          <w:lang w:val="en-US" w:eastAsia="zh-CN"/>
        </w:rPr>
        <w:t>0.03</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16.53</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6.63</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1.07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水费</w:t>
      </w:r>
      <w:r>
        <w:rPr>
          <w:rFonts w:hint="eastAsia" w:ascii="仿宋_GB2312" w:hAnsi="宋体" w:eastAsia="仿宋_GB2312" w:cs="仿宋_GB2312"/>
          <w:color w:val="000000"/>
          <w:kern w:val="0"/>
          <w:szCs w:val="32"/>
          <w:lang w:val="en-US" w:eastAsia="zh-CN"/>
        </w:rPr>
        <w:t>0.01</w:t>
      </w:r>
      <w:r>
        <w:rPr>
          <w:rFonts w:hint="eastAsia" w:ascii="仿宋_GB2312" w:hAnsi="宋体" w:eastAsia="仿宋_GB2312" w:cs="仿宋_GB2312"/>
          <w:color w:val="000000"/>
          <w:kern w:val="0"/>
          <w:szCs w:val="32"/>
        </w:rPr>
        <w:t>万元，维修费</w:t>
      </w:r>
      <w:r>
        <w:rPr>
          <w:rFonts w:hint="eastAsia" w:ascii="仿宋_GB2312" w:hAnsi="宋体" w:eastAsia="仿宋_GB2312" w:cs="仿宋_GB2312"/>
          <w:color w:val="000000"/>
          <w:kern w:val="0"/>
          <w:szCs w:val="32"/>
          <w:lang w:val="en-US" w:eastAsia="zh-CN"/>
        </w:rPr>
        <w:t>0.28</w:t>
      </w:r>
      <w:r>
        <w:rPr>
          <w:rFonts w:hint="eastAsia" w:ascii="仿宋_GB2312" w:hAnsi="宋体" w:eastAsia="仿宋_GB2312" w:cs="仿宋_GB2312"/>
          <w:color w:val="000000"/>
          <w:kern w:val="0"/>
          <w:szCs w:val="32"/>
        </w:rPr>
        <w:t>万元，会议费</w:t>
      </w:r>
      <w:r>
        <w:rPr>
          <w:rFonts w:hint="eastAsia" w:ascii="仿宋_GB2312" w:hAnsi="宋体" w:eastAsia="仿宋_GB2312" w:cs="仿宋_GB2312"/>
          <w:color w:val="000000"/>
          <w:kern w:val="0"/>
          <w:szCs w:val="32"/>
          <w:lang w:val="en-US" w:eastAsia="zh-CN"/>
        </w:rPr>
        <w:t>0.14</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公务接待费</w:t>
      </w:r>
      <w:r>
        <w:rPr>
          <w:rFonts w:hint="eastAsia" w:ascii="仿宋_GB2312" w:hAnsi="宋体" w:eastAsia="仿宋_GB2312" w:cs="仿宋_GB2312"/>
          <w:color w:val="000000"/>
          <w:kern w:val="0"/>
          <w:szCs w:val="32"/>
          <w:lang w:val="en-US" w:eastAsia="zh-CN"/>
        </w:rPr>
        <w:t>0.13</w:t>
      </w:r>
      <w:r>
        <w:rPr>
          <w:rFonts w:hint="eastAsia" w:ascii="仿宋_GB2312" w:hAnsi="宋体" w:eastAsia="仿宋_GB2312" w:cs="仿宋_GB2312"/>
          <w:color w:val="000000"/>
          <w:kern w:val="0"/>
          <w:szCs w:val="32"/>
        </w:rPr>
        <w:t>万元，工会经费</w:t>
      </w:r>
      <w:r>
        <w:rPr>
          <w:rFonts w:hint="eastAsia" w:ascii="仿宋_GB2312" w:hAnsi="宋体" w:eastAsia="仿宋_GB2312" w:cs="仿宋_GB2312"/>
          <w:color w:val="000000"/>
          <w:kern w:val="0"/>
          <w:szCs w:val="32"/>
          <w:lang w:val="en-US" w:eastAsia="zh-CN"/>
        </w:rPr>
        <w:t>1.75</w:t>
      </w:r>
      <w:r>
        <w:rPr>
          <w:rFonts w:hint="eastAsia" w:ascii="仿宋_GB2312" w:hAnsi="宋体" w:eastAsia="仿宋_GB2312" w:cs="仿宋_GB2312"/>
          <w:color w:val="000000"/>
          <w:kern w:val="0"/>
          <w:szCs w:val="32"/>
        </w:rPr>
        <w:t>万元，公务用车运行经费</w:t>
      </w:r>
      <w:r>
        <w:rPr>
          <w:rFonts w:hint="eastAsia" w:ascii="仿宋_GB2312" w:hAnsi="宋体" w:eastAsia="仿宋_GB2312" w:cs="仿宋_GB2312"/>
          <w:color w:val="000000"/>
          <w:kern w:val="0"/>
          <w:szCs w:val="32"/>
          <w:lang w:val="en-US" w:eastAsia="zh-CN"/>
        </w:rPr>
        <w:t>2.76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，其他商品和服务支出</w:t>
      </w:r>
      <w:r>
        <w:rPr>
          <w:rFonts w:hint="eastAsia" w:ascii="仿宋_GB2312" w:hAnsi="宋体" w:eastAsia="仿宋_GB2312" w:cs="仿宋_GB2312"/>
          <w:color w:val="000000"/>
          <w:kern w:val="0"/>
          <w:szCs w:val="32"/>
          <w:lang w:val="en-US" w:eastAsia="zh-CN"/>
        </w:rPr>
        <w:t>0.49万元。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3.29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3.65</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111</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增加了</w:t>
      </w:r>
      <w:r>
        <w:rPr>
          <w:rFonts w:hint="eastAsia" w:ascii="仿宋_GB2312" w:hAnsi="宋体" w:eastAsia="仿宋_GB2312" w:cs="仿宋_GB2312"/>
          <w:color w:val="000000"/>
          <w:kern w:val="0"/>
          <w:sz w:val="32"/>
          <w:szCs w:val="32"/>
          <w:lang w:val="en-US" w:eastAsia="zh-CN" w:bidi="ar"/>
        </w:rPr>
        <w:t>0.36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会议费</w:t>
      </w:r>
      <w:r>
        <w:rPr>
          <w:rFonts w:hint="eastAsia" w:ascii="仿宋_GB2312" w:hAnsi="宋体" w:eastAsia="仿宋_GB2312" w:cs="仿宋_GB2312"/>
          <w:color w:val="000000"/>
          <w:kern w:val="0"/>
          <w:sz w:val="32"/>
          <w:szCs w:val="32"/>
          <w:lang w:val="en-US" w:eastAsia="zh-CN" w:bidi="ar"/>
        </w:rPr>
        <w:t>0.76元未做预算</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644775"/>
            <wp:effectExtent l="4445" t="4445" r="20955"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2.76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96</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0.13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4</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无出国出境人员</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无购置车辆</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2.76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2.76</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2020年初</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0.53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0.13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25</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接待次数减少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无培训</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0.76</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0.76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年初无预算会议费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w:t>
      </w:r>
      <w:r>
        <w:rPr>
          <w:rFonts w:hint="eastAsia" w:ascii="仿宋_GB2312" w:hAnsi="仿宋_GB2312" w:eastAsia="仿宋_GB2312" w:cs="仿宋_GB2312"/>
          <w:sz w:val="32"/>
          <w:szCs w:val="32"/>
          <w:lang w:eastAsia="zh-CN"/>
        </w:rPr>
        <w:t>政府性基金预算财政拨款收入为</w:t>
      </w:r>
      <w:r>
        <w:rPr>
          <w:rFonts w:hint="eastAsia" w:ascii="仿宋_GB2312" w:hAnsi="仿宋_GB2312" w:eastAsia="仿宋_GB2312" w:cs="仿宋_GB2312"/>
          <w:sz w:val="32"/>
          <w:szCs w:val="32"/>
          <w:lang w:val="en-US" w:eastAsia="zh-CN"/>
        </w:rPr>
        <w:t>286.31万元，支出决算为286.31万元，主要用于体彩公益金项目。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十、</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机关运行经费支出</w:t>
      </w: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情况</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0"/>
          <w:sz w:val="31"/>
          <w:szCs w:val="31"/>
          <w:lang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2020年机关运行经费预算为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0万元，支出决算为0万元，</w:t>
      </w:r>
      <w:r>
        <w:rPr>
          <w:rFonts w:ascii="仿宋_GB2312" w:hAnsi="宋体" w:eastAsia="仿宋_GB2312" w:cs="仿宋_GB2312"/>
          <w:color w:val="000000" w:themeColor="text1"/>
          <w:kern w:val="0"/>
          <w:sz w:val="32"/>
          <w:szCs w:val="32"/>
          <w:lang w:bidi="ar"/>
          <w14:textFill>
            <w14:solidFill>
              <w14:schemeClr w14:val="tx1"/>
            </w14:solidFill>
          </w14:textFill>
        </w:rPr>
        <w:t>完成预算的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较</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减少（增加）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hint="eastAsia" w:ascii="仿宋_GB2312" w:hAnsi="宋体" w:eastAsia="仿宋_GB2312" w:cs="仿宋_GB2312"/>
          <w:color w:val="000000" w:themeColor="text1"/>
          <w:kern w:val="0"/>
          <w:sz w:val="32"/>
          <w:szCs w:val="32"/>
          <w:lang w:bidi="ar"/>
          <w14:textFill>
            <w14:solidFill>
              <w14:schemeClr w14:val="tx1"/>
            </w14:solidFill>
          </w14:textFill>
        </w:rPr>
        <w:t>万元，</w:t>
      </w:r>
      <w:r>
        <w:rPr>
          <w:rFonts w:ascii="仿宋_GB2312" w:hAnsi="宋体" w:eastAsia="仿宋_GB2312" w:cs="仿宋_GB2312"/>
          <w:color w:val="000000" w:themeColor="text1"/>
          <w:kern w:val="0"/>
          <w:sz w:val="32"/>
          <w:szCs w:val="32"/>
          <w:lang w:bidi="ar"/>
          <w14:textFill>
            <w14:solidFill>
              <w14:schemeClr w14:val="tx1"/>
            </w14:solidFill>
          </w14:textFill>
        </w:rPr>
        <w:t>主要原因是</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无机关运行经费</w:t>
      </w:r>
      <w:r>
        <w:rPr>
          <w:rFonts w:hint="eastAsia" w:ascii="仿宋_GB2312" w:hAnsi="宋体"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至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末，本部门机关及所属单位实有车辆***辆，其中副部（省）级以上领导用车0辆，主要领导干部用车0辆，机要通信用车0辆，应急保障用车0辆，执法执勤用车1辆，特种专业技术用车0辆，离退休干部用车0辆，其他用车0辆。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万元以上的通用设备0台（套）；单价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万元以上的专用设备0台（</w:t>
      </w:r>
      <w:r>
        <w:rPr>
          <w:rFonts w:hint="eastAsia" w:ascii="仿宋_GB2312" w:hAnsi="仿宋_GB2312" w:eastAsia="仿宋_GB2312" w:cs="仿宋_GB2312"/>
          <w:sz w:val="32"/>
          <w:szCs w:val="32"/>
          <w:highlight w:val="none"/>
          <w:lang w:val="en-US" w:eastAsia="zh-CN"/>
        </w:rPr>
        <w:t>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r>
        <w:rPr>
          <w:rFonts w:hint="eastAsia" w:ascii="仿宋_GB2312" w:hAnsi="仿宋_GB2312" w:eastAsia="仿宋_GB2312" w:cs="仿宋_GB2312"/>
          <w:sz w:val="32"/>
          <w:szCs w:val="32"/>
          <w:highlight w:val="none"/>
        </w:rPr>
        <w:t>如没有填0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体育建设项目</w:t>
      </w:r>
      <w:r>
        <w:rPr>
          <w:rFonts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982</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52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宋体" w:eastAsia="仿宋_GB2312" w:cs="仿宋_GB2312"/>
          <w:color w:val="000000"/>
          <w:kern w:val="0"/>
          <w:sz w:val="32"/>
          <w:szCs w:val="32"/>
          <w:lang w:val="en-US" w:eastAsia="zh-CN" w:bidi="ar"/>
        </w:rPr>
        <w:t>2051.87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982</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982</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eastAsia="仿宋_GB2312"/>
          <w:sz w:val="32"/>
          <w:szCs w:val="32"/>
          <w:lang w:eastAsia="zh-CN"/>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完成“十四运”攀岩滑板场地建设，</w:t>
      </w:r>
      <w:r>
        <w:rPr>
          <w:rFonts w:eastAsia="仿宋_GB2312"/>
          <w:sz w:val="32"/>
          <w:szCs w:val="32"/>
        </w:rPr>
        <w:t>在时间紧、任务重的情况下，“十四运”攀岩滑板场地主体工程于2020年9月20日全面竣工，正在等待省、市验收</w:t>
      </w:r>
      <w:r>
        <w:rPr>
          <w:rFonts w:hint="eastAsia" w:eastAsia="仿宋_GB2312"/>
          <w:sz w:val="32"/>
          <w:szCs w:val="32"/>
          <w:lang w:eastAsia="zh-CN"/>
        </w:rPr>
        <w:t>。</w:t>
      </w:r>
      <w:r>
        <w:rPr>
          <w:rFonts w:hint="eastAsia" w:eastAsia="仿宋_GB2312"/>
          <w:sz w:val="32"/>
          <w:szCs w:val="32"/>
          <w:lang w:val="en-US" w:eastAsia="zh-CN"/>
        </w:rPr>
        <w:t>2.</w:t>
      </w:r>
      <w:r>
        <w:rPr>
          <w:rFonts w:eastAsia="仿宋_GB2312"/>
          <w:sz w:val="32"/>
          <w:szCs w:val="32"/>
        </w:rPr>
        <w:t>加快社会足球场地建设，新建社会足球场地3个</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sz w:val="32"/>
          <w:szCs w:val="32"/>
          <w:lang w:eastAsia="zh-CN"/>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5" o:spt="75" type="#_x0000_t75" style="height:614.35pt;width:385.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宋体" w:eastAsia="仿宋_GB2312" w:cs="仿宋_GB2312"/>
          <w:color w:val="000000"/>
          <w:kern w:val="0"/>
          <w:sz w:val="32"/>
          <w:szCs w:val="32"/>
          <w:lang w:val="en-US" w:eastAsia="zh-CN" w:bidi="ar"/>
        </w:rPr>
        <w:t>2051.87</w:t>
      </w:r>
      <w:r>
        <w:rPr>
          <w:rFonts w:ascii="仿宋_GB2312" w:hAnsi="仿宋_GB2312" w:eastAsia="仿宋_GB2312" w:cs="仿宋_GB2312"/>
          <w:color w:val="000000"/>
          <w:kern w:val="0"/>
          <w:sz w:val="31"/>
          <w:szCs w:val="31"/>
          <w:lang w:bidi="ar"/>
        </w:rPr>
        <w:t>万元，执行数</w:t>
      </w:r>
      <w:r>
        <w:rPr>
          <w:rFonts w:hint="eastAsia" w:ascii="仿宋_GB2312" w:hAnsi="宋体" w:eastAsia="仿宋_GB2312" w:cs="仿宋_GB2312"/>
          <w:color w:val="000000"/>
          <w:kern w:val="0"/>
          <w:sz w:val="32"/>
          <w:szCs w:val="32"/>
          <w:lang w:val="en-US" w:eastAsia="zh-CN" w:bidi="ar"/>
        </w:rPr>
        <w:t>2051.87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widowControl/>
        <w:spacing w:line="560" w:lineRule="exact"/>
        <w:ind w:firstLine="622"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1</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1432.76</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1432.76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十四运攀岩滑板项目场地的建设、足球场地建设，健身器材的普及，为全区的体育赛事提供保障。</w:t>
      </w:r>
    </w:p>
    <w:p>
      <w:pPr>
        <w:widowControl/>
        <w:spacing w:line="560" w:lineRule="exact"/>
        <w:ind w:firstLine="622" w:firstLineChars="200"/>
        <w:jc w:val="left"/>
        <w:rPr>
          <w:rFonts w:hint="eastAsia"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b/>
          <w:bCs/>
          <w:color w:val="000000"/>
          <w:kern w:val="0"/>
          <w:sz w:val="31"/>
          <w:szCs w:val="31"/>
          <w:lang w:bidi="ar"/>
        </w:rPr>
        <w:t>.</w:t>
      </w:r>
      <w:r>
        <w:rPr>
          <w:rFonts w:hint="eastAsia" w:ascii="仿宋_GB2312" w:hAnsi="仿宋_GB2312" w:eastAsia="仿宋_GB2312" w:cs="仿宋_GB2312"/>
          <w:b w:val="0"/>
          <w:bCs w:val="0"/>
          <w:color w:val="000000"/>
          <w:kern w:val="0"/>
          <w:sz w:val="31"/>
          <w:szCs w:val="31"/>
          <w:lang w:eastAsia="zh-CN" w:bidi="ar"/>
        </w:rPr>
        <w:t>文化</w:t>
      </w:r>
      <w:r>
        <w:rPr>
          <w:rFonts w:hint="eastAsia" w:ascii="仿宋_GB2312" w:hAnsi="仿宋_GB2312" w:eastAsia="仿宋_GB2312" w:cs="仿宋_GB2312"/>
          <w:b w:val="0"/>
          <w:bCs w:val="0"/>
          <w:color w:val="000000"/>
          <w:kern w:val="0"/>
          <w:sz w:val="31"/>
          <w:szCs w:val="31"/>
          <w:lang w:bidi="ar"/>
        </w:rPr>
        <w:t>旅游项目绩效自评综述：根据年初设定的绩效目标，项目自评得分100分。项目全年预算</w:t>
      </w:r>
      <w:r>
        <w:rPr>
          <w:rFonts w:hint="eastAsia" w:ascii="仿宋_GB2312" w:hAnsi="仿宋_GB2312" w:eastAsia="仿宋_GB2312" w:cs="仿宋_GB2312"/>
          <w:b w:val="0"/>
          <w:bCs w:val="0"/>
          <w:color w:val="000000"/>
          <w:kern w:val="0"/>
          <w:sz w:val="31"/>
          <w:szCs w:val="31"/>
          <w:lang w:eastAsia="zh-CN" w:bidi="ar"/>
        </w:rPr>
        <w:t>、</w:t>
      </w:r>
      <w:r>
        <w:rPr>
          <w:rFonts w:hint="eastAsia" w:ascii="仿宋_GB2312" w:hAnsi="仿宋_GB2312" w:eastAsia="仿宋_GB2312" w:cs="仿宋_GB2312"/>
          <w:b w:val="0"/>
          <w:bCs w:val="0"/>
          <w:color w:val="000000"/>
          <w:kern w:val="0"/>
          <w:sz w:val="31"/>
          <w:szCs w:val="31"/>
          <w:lang w:val="en-US" w:eastAsia="zh-CN" w:bidi="ar"/>
        </w:rPr>
        <w:t>447</w:t>
      </w:r>
      <w:r>
        <w:rPr>
          <w:rFonts w:hint="eastAsia" w:ascii="仿宋_GB2312" w:hAnsi="仿宋_GB2312" w:eastAsia="仿宋_GB2312" w:cs="仿宋_GB2312"/>
          <w:b w:val="0"/>
          <w:bCs w:val="0"/>
          <w:color w:val="000000"/>
          <w:kern w:val="0"/>
          <w:sz w:val="31"/>
          <w:szCs w:val="31"/>
          <w:lang w:bidi="ar"/>
        </w:rPr>
        <w:t>万元，执行数</w:t>
      </w:r>
      <w:r>
        <w:rPr>
          <w:rFonts w:hint="eastAsia" w:ascii="仿宋_GB2312" w:hAnsi="仿宋_GB2312" w:eastAsia="仿宋_GB2312" w:cs="仿宋_GB2312"/>
          <w:b w:val="0"/>
          <w:bCs w:val="0"/>
          <w:color w:val="000000"/>
          <w:kern w:val="0"/>
          <w:sz w:val="31"/>
          <w:szCs w:val="31"/>
          <w:lang w:val="en-US" w:eastAsia="zh-CN" w:bidi="ar"/>
        </w:rPr>
        <w:t>447</w:t>
      </w:r>
      <w:r>
        <w:rPr>
          <w:rFonts w:hint="eastAsia" w:ascii="仿宋_GB2312" w:hAnsi="仿宋_GB2312" w:eastAsia="仿宋_GB2312" w:cs="仿宋_GB2312"/>
          <w:b w:val="0"/>
          <w:bCs w:val="0"/>
          <w:color w:val="000000"/>
          <w:kern w:val="0"/>
          <w:sz w:val="31"/>
          <w:szCs w:val="31"/>
          <w:lang w:bidi="ar"/>
        </w:rPr>
        <w:t>万元，完成预算的100%。</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eastAsia="仿宋_GB2312"/>
          <w:b w:val="0"/>
          <w:bCs/>
          <w:sz w:val="32"/>
          <w:szCs w:val="32"/>
        </w:rPr>
        <w:t>完善旅游发展体制机制</w:t>
      </w:r>
      <w:r>
        <w:rPr>
          <w:rFonts w:hint="eastAsia" w:eastAsia="仿宋_GB2312"/>
          <w:b w:val="0"/>
          <w:bCs/>
          <w:sz w:val="32"/>
          <w:szCs w:val="32"/>
          <w:lang w:eastAsia="zh-CN"/>
        </w:rPr>
        <w:t>，成立</w:t>
      </w:r>
      <w:r>
        <w:rPr>
          <w:rFonts w:eastAsia="仿宋_GB2312"/>
          <w:sz w:val="32"/>
          <w:szCs w:val="32"/>
        </w:rPr>
        <w:t>阎良天宇文旅有限责任公司</w:t>
      </w:r>
      <w:r>
        <w:rPr>
          <w:rFonts w:hint="eastAsia" w:eastAsia="仿宋_GB2312"/>
          <w:sz w:val="32"/>
          <w:szCs w:val="32"/>
          <w:lang w:eastAsia="zh-CN"/>
        </w:rPr>
        <w:t>，</w:t>
      </w:r>
      <w:r>
        <w:rPr>
          <w:rFonts w:eastAsia="仿宋_GB2312"/>
          <w:sz w:val="32"/>
          <w:szCs w:val="32"/>
        </w:rPr>
        <w:t>游客信息咨询服务中心</w:t>
      </w:r>
      <w:r>
        <w:rPr>
          <w:rFonts w:hint="eastAsia" w:eastAsia="仿宋_GB2312"/>
          <w:sz w:val="32"/>
          <w:szCs w:val="32"/>
          <w:lang w:eastAsia="zh-CN"/>
        </w:rPr>
        <w:t>的建设，</w:t>
      </w:r>
      <w:r>
        <w:rPr>
          <w:rFonts w:eastAsia="仿宋_GB2312"/>
          <w:b w:val="0"/>
          <w:bCs/>
          <w:sz w:val="32"/>
          <w:szCs w:val="32"/>
        </w:rPr>
        <w:t>优化旅游产品供给</w:t>
      </w:r>
      <w:r>
        <w:rPr>
          <w:rFonts w:hint="eastAsia" w:eastAsia="仿宋_GB2312"/>
          <w:b w:val="0"/>
          <w:bCs/>
          <w:sz w:val="32"/>
          <w:szCs w:val="32"/>
          <w:lang w:eastAsia="zh-CN"/>
        </w:rPr>
        <w:t>，打造精品旅游线路。</w:t>
      </w:r>
    </w:p>
    <w:p>
      <w:pPr>
        <w:widowControl/>
        <w:spacing w:line="560" w:lineRule="exact"/>
        <w:ind w:firstLine="622" w:firstLineChars="2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w:t>
      </w:r>
      <w:r>
        <w:rPr>
          <w:rFonts w:hint="eastAsia" w:ascii="仿宋_GB2312" w:hAnsi="仿宋_GB2312" w:eastAsia="仿宋_GB2312" w:cs="仿宋_GB2312"/>
          <w:b w:val="0"/>
          <w:bCs w:val="0"/>
          <w:color w:val="000000"/>
          <w:kern w:val="0"/>
          <w:sz w:val="31"/>
          <w:szCs w:val="31"/>
          <w:lang w:val="en-US" w:eastAsia="zh-CN" w:bidi="ar"/>
        </w:rPr>
        <w:t>文物旅游规划编制项目：根据年初设定的绩效目标，项目自评得分100分。项目全年预算数172万元，执行数172万元，完成预算的100%。</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健全文物保护工作机制，推进栎阳城遗址的保护利用，积极开展文物修缮工作</w:t>
      </w:r>
      <w:r>
        <w:rPr>
          <w:rFonts w:hint="eastAsia" w:ascii="仿宋_GB2312" w:hAnsi="仿宋_GB2312" w:eastAsia="仿宋_GB2312" w:cs="仿宋_GB2312"/>
          <w:color w:val="000000"/>
          <w:kern w:val="0"/>
          <w:sz w:val="31"/>
          <w:szCs w:val="31"/>
          <w:lang w:bidi="ar"/>
        </w:rPr>
        <w:t>，为阎良区的发展做好基础。</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p>
    <w:p>
      <w:pPr>
        <w:widowControl/>
        <w:tabs>
          <w:tab w:val="left" w:pos="960"/>
        </w:tabs>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hint="eastAsia" w:ascii="楷体_GB2312" w:hAnsi="宋体" w:eastAsia="楷体_GB2312" w:cs="楷体_GB2312"/>
          <w:b/>
          <w:color w:val="000000"/>
          <w:kern w:val="0"/>
          <w:sz w:val="32"/>
          <w:szCs w:val="32"/>
          <w:lang w:val="en-US" w:eastAsia="zh-CN" w:bidi="ar"/>
        </w:rPr>
        <w:t>项目总体评价：</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1.</w:t>
      </w:r>
      <w:r>
        <w:rPr>
          <w:rFonts w:hint="eastAsia" w:ascii="仿宋_GB2312" w:hAnsi="仿宋_GB2312" w:eastAsia="仿宋_GB2312" w:cs="仿宋_GB2312"/>
          <w:color w:val="000000"/>
          <w:sz w:val="31"/>
          <w:szCs w:val="31"/>
        </w:rPr>
        <w:t>项目的实施进度，按照预算目标，100%完成了项目的工作进度。</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2.</w:t>
      </w:r>
      <w:r>
        <w:rPr>
          <w:rFonts w:hint="eastAsia" w:ascii="仿宋_GB2312" w:hAnsi="仿宋_GB2312" w:eastAsia="仿宋_GB2312" w:cs="仿宋_GB2312"/>
          <w:color w:val="000000"/>
          <w:sz w:val="31"/>
          <w:szCs w:val="31"/>
        </w:rPr>
        <w:t>项目完成质量，2</w:t>
      </w:r>
      <w:r>
        <w:rPr>
          <w:rFonts w:hint="eastAsia" w:ascii="仿宋_GB2312" w:hAnsi="仿宋_GB2312" w:eastAsia="仿宋_GB2312" w:cs="仿宋_GB2312"/>
          <w:color w:val="000000"/>
          <w:sz w:val="31"/>
          <w:szCs w:val="31"/>
          <w:lang w:val="en-US" w:eastAsia="zh-CN"/>
        </w:rPr>
        <w:t>020</w:t>
      </w:r>
      <w:r>
        <w:rPr>
          <w:rFonts w:hint="eastAsia" w:ascii="仿宋_GB2312" w:hAnsi="仿宋_GB2312" w:eastAsia="仿宋_GB2312" w:cs="仿宋_GB2312"/>
          <w:color w:val="000000"/>
          <w:sz w:val="31"/>
          <w:szCs w:val="31"/>
        </w:rPr>
        <w:t>年预算资金严格按照预算实施，完成质量良好。</w:t>
      </w:r>
    </w:p>
    <w:p>
      <w:pPr>
        <w:pStyle w:val="5"/>
        <w:shd w:val="clear" w:color="auto" w:fill="FFFFFF"/>
        <w:spacing w:before="0" w:beforeAutospacing="0" w:after="0" w:afterAutospacing="0" w:line="480" w:lineRule="auto"/>
        <w:ind w:firstLine="778" w:firstLineChars="250"/>
        <w:jc w:val="both"/>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b/>
          <w:bCs/>
          <w:color w:val="000000"/>
          <w:sz w:val="31"/>
          <w:szCs w:val="31"/>
        </w:rPr>
        <w:t>3.</w:t>
      </w:r>
      <w:r>
        <w:rPr>
          <w:rFonts w:hint="eastAsia" w:ascii="仿宋_GB2312" w:hAnsi="仿宋_GB2312" w:eastAsia="仿宋_GB2312" w:cs="仿宋_GB2312"/>
          <w:color w:val="000000"/>
          <w:sz w:val="31"/>
          <w:szCs w:val="31"/>
        </w:rPr>
        <w:t>项目的效益性，通过项目的实施，完成了</w:t>
      </w:r>
      <w:r>
        <w:rPr>
          <w:rFonts w:hint="eastAsia" w:ascii="仿宋_GB2312" w:hAnsi="仿宋_GB2312" w:eastAsia="仿宋_GB2312" w:cs="仿宋_GB2312"/>
          <w:color w:val="000000"/>
          <w:sz w:val="31"/>
          <w:szCs w:val="31"/>
          <w:lang w:eastAsia="zh-CN"/>
        </w:rPr>
        <w:t>十四运攀岩滑板项目场馆和足球场的建设，也完成了</w:t>
      </w:r>
      <w:r>
        <w:rPr>
          <w:rFonts w:hint="eastAsia" w:ascii="仿宋_GB2312" w:hAnsi="仿宋_GB2312" w:eastAsia="仿宋_GB2312" w:cs="仿宋_GB2312"/>
          <w:color w:val="000000"/>
          <w:sz w:val="31"/>
          <w:szCs w:val="31"/>
        </w:rPr>
        <w:t>举</w:t>
      </w:r>
      <w:r>
        <w:rPr>
          <w:rFonts w:hint="eastAsia" w:ascii="仿宋_GB2312" w:hAnsi="仿宋_GB2312" w:eastAsia="仿宋_GB2312" w:cs="仿宋_GB2312"/>
          <w:color w:val="000000"/>
          <w:sz w:val="31"/>
          <w:szCs w:val="31"/>
          <w:lang w:val="en-US" w:eastAsia="zh-CN"/>
        </w:rPr>
        <w:t xml:space="preserve"> </w:t>
      </w:r>
    </w:p>
    <w:p>
      <w:pPr>
        <w:pStyle w:val="5"/>
        <w:shd w:val="clear" w:color="auto" w:fill="FFFFFF"/>
        <w:spacing w:before="0" w:beforeAutospacing="0" w:after="0" w:afterAutospacing="0" w:line="480" w:lineRule="auto"/>
        <w:ind w:firstLine="930" w:firstLineChars="300"/>
        <w:jc w:val="both"/>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办全年群众文化体育活动要求场次的工作目标。</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4.</w:t>
      </w:r>
      <w:r>
        <w:rPr>
          <w:rFonts w:hint="eastAsia" w:ascii="仿宋_GB2312" w:hAnsi="仿宋_GB2312" w:eastAsia="仿宋_GB2312" w:cs="仿宋_GB2312"/>
          <w:color w:val="000000"/>
          <w:sz w:val="31"/>
          <w:szCs w:val="31"/>
        </w:rPr>
        <w:t>项目实施对经济和社会的影响。通过文化体育活动活动的实施以及旅游宣传文物保护工作，提升了我区特色文化内涵，宣传了阎良，传承了文化遗产，丰富了广大人民群众的精神文化生活的同时，产生了重大的积极的社会效应、得到社会各界的广泛认可；带动了我的相关产业的发展，产生了一定的经济效益。</w:t>
      </w:r>
    </w:p>
    <w:p>
      <w:pPr>
        <w:widowControl/>
        <w:jc w:val="left"/>
        <w:rPr>
          <w:rFonts w:hint="eastAsia" w:ascii="楷体_GB2312" w:hAnsi="宋体" w:eastAsia="楷体_GB2312" w:cs="楷体_GB2312"/>
          <w:b/>
          <w:color w:val="000000"/>
          <w:kern w:val="0"/>
          <w:sz w:val="32"/>
          <w:szCs w:val="32"/>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hint="eastAsia" w:ascii="楷体_GB2312" w:hAnsi="宋体" w:eastAsia="楷体_GB2312" w:cs="楷体_GB2312"/>
          <w:b/>
          <w:color w:val="000000"/>
          <w:kern w:val="0"/>
          <w:sz w:val="32"/>
          <w:szCs w:val="32"/>
          <w:lang w:val="en-US" w:eastAsia="zh-CN" w:bidi="ar"/>
        </w:rPr>
        <w:t xml:space="preserve">    </w:t>
      </w:r>
    </w:p>
    <w:p>
      <w:pPr>
        <w:widowControl/>
        <w:ind w:firstLine="964" w:firstLineChars="300"/>
        <w:jc w:val="left"/>
        <w:rPr>
          <w:rFonts w:hint="eastAsia" w:ascii="楷体_GB2312"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val="en-US" w:eastAsia="zh-CN" w:bidi="ar"/>
        </w:rPr>
        <w:t>下一步改进措施：</w:t>
      </w:r>
    </w:p>
    <w:p>
      <w:pPr>
        <w:pStyle w:val="5"/>
        <w:shd w:val="clear" w:color="auto" w:fill="FFFFFF"/>
        <w:spacing w:before="0" w:beforeAutospacing="0" w:after="0" w:afterAutospacing="0" w:line="480" w:lineRule="auto"/>
        <w:ind w:firstLine="964" w:firstLineChars="300"/>
        <w:jc w:val="both"/>
        <w:rPr>
          <w:rFonts w:ascii="仿宋_GB2312" w:hAnsi="仿宋_GB2312" w:eastAsia="仿宋_GB2312" w:cs="仿宋_GB2312"/>
          <w:color w:val="000000"/>
          <w:sz w:val="31"/>
          <w:szCs w:val="31"/>
        </w:rPr>
      </w:pPr>
      <w:r>
        <w:rPr>
          <w:rFonts w:hint="eastAsia" w:ascii="楷体_GB2312" w:eastAsia="楷体_GB2312" w:cs="楷体_GB2312"/>
          <w:b/>
          <w:color w:val="000000"/>
          <w:kern w:val="0"/>
          <w:sz w:val="32"/>
          <w:szCs w:val="32"/>
          <w:lang w:val="en-US" w:eastAsia="zh-CN" w:bidi="ar"/>
        </w:rPr>
        <w:t>1.</w:t>
      </w:r>
      <w:r>
        <w:rPr>
          <w:rFonts w:hint="eastAsia" w:ascii="仿宋_GB2312" w:eastAsia="仿宋_GB2312"/>
          <w:color w:val="333333"/>
          <w:sz w:val="32"/>
          <w:szCs w:val="32"/>
        </w:rPr>
        <w:t>加强预算</w:t>
      </w:r>
      <w:r>
        <w:rPr>
          <w:rFonts w:hint="eastAsia" w:ascii="仿宋_GB2312" w:eastAsia="仿宋_GB2312"/>
          <w:color w:val="333333"/>
          <w:sz w:val="32"/>
          <w:szCs w:val="32"/>
          <w:lang w:eastAsia="zh-CN"/>
        </w:rPr>
        <w:t>和决算的</w:t>
      </w:r>
      <w:r>
        <w:rPr>
          <w:rFonts w:hint="eastAsia" w:ascii="仿宋_GB2312" w:eastAsia="仿宋_GB2312"/>
          <w:color w:val="333333"/>
          <w:sz w:val="32"/>
          <w:szCs w:val="32"/>
        </w:rPr>
        <w:t>执行</w:t>
      </w:r>
      <w:r>
        <w:rPr>
          <w:rFonts w:hint="eastAsia" w:ascii="仿宋_GB2312" w:eastAsia="仿宋_GB2312"/>
          <w:color w:val="333333"/>
          <w:sz w:val="32"/>
          <w:szCs w:val="32"/>
          <w:lang w:eastAsia="zh-CN"/>
        </w:rPr>
        <w:t>工作</w:t>
      </w:r>
      <w:r>
        <w:rPr>
          <w:rFonts w:hint="eastAsia" w:ascii="仿宋_GB2312" w:eastAsia="仿宋_GB2312"/>
          <w:color w:val="333333"/>
          <w:sz w:val="32"/>
          <w:szCs w:val="32"/>
        </w:rPr>
        <w:t xml:space="preserve">。严格按照《预算法》的规定编制部门预算，坚决杜绝虚列财政收入和支出。 </w:t>
      </w:r>
    </w:p>
    <w:p>
      <w:pPr>
        <w:widowControl/>
        <w:shd w:val="clear" w:color="auto" w:fill="FFFFFF"/>
        <w:spacing w:line="560" w:lineRule="exact"/>
        <w:ind w:firstLine="964" w:firstLineChars="300"/>
        <w:rPr>
          <w:rFonts w:ascii="仿宋_GB2312" w:hAnsi="宋体" w:eastAsia="仿宋_GB2312" w:cs="宋体"/>
          <w:color w:val="333333"/>
          <w:kern w:val="0"/>
          <w:szCs w:val="32"/>
        </w:rPr>
      </w:pPr>
      <w:r>
        <w:rPr>
          <w:rFonts w:hint="eastAsia" w:ascii="楷体_GB2312" w:hAnsi="宋体" w:eastAsia="楷体_GB2312" w:cs="楷体_GB2312"/>
          <w:b/>
          <w:color w:val="000000"/>
          <w:kern w:val="0"/>
          <w:sz w:val="32"/>
          <w:szCs w:val="32"/>
          <w:lang w:val="en-US" w:eastAsia="zh-CN" w:bidi="ar"/>
        </w:rPr>
        <w:t>2.</w:t>
      </w:r>
      <w:r>
        <w:rPr>
          <w:rFonts w:hint="eastAsia" w:ascii="仿宋_GB2312" w:hAnsi="宋体" w:eastAsia="仿宋_GB2312" w:cs="宋体"/>
          <w:color w:val="333333"/>
          <w:kern w:val="0"/>
          <w:szCs w:val="32"/>
        </w:rPr>
        <w:t>加强财务管理。严格按照《会计法》和会计制度的规定，进一步加强会计工作的规范化，建立健全财务内部管理制度，按规定设置会计科目，进行帐务处理。1、加强专项资金的管理。对专项资金，注重资金使用效益，实行财政专户管理，确保专款专用。2、加强支出管理。要建立和完善支出管理有关制度，建立和完善费用报销制度。通过建章立制，从严控制开支，坚决制止铺张浪费。对不真实、不合理、不合法的票据，不予报销入帐。3、加强固定资产的管理。建立健全固定资产相关帐簿，加强对固定资产的管理，防止国有资产流失。</w:t>
      </w:r>
    </w:p>
    <w:p>
      <w:pPr>
        <w:widowControl/>
        <w:shd w:val="clear" w:color="auto" w:fill="FFFFFF"/>
        <w:spacing w:line="480" w:lineRule="auto"/>
        <w:ind w:firstLine="964" w:firstLineChars="300"/>
        <w:rPr>
          <w:rFonts w:ascii="仿宋_GB2312" w:hAnsi="宋体" w:eastAsia="仿宋_GB2312" w:cs="宋体"/>
          <w:color w:val="333333"/>
          <w:kern w:val="0"/>
          <w:szCs w:val="32"/>
        </w:rPr>
      </w:pPr>
      <w:r>
        <w:rPr>
          <w:rFonts w:hint="eastAsia" w:ascii="楷体_GB2312" w:hAnsi="宋体" w:eastAsia="楷体_GB2312" w:cs="楷体_GB2312"/>
          <w:b/>
          <w:color w:val="000000"/>
          <w:kern w:val="0"/>
          <w:sz w:val="32"/>
          <w:szCs w:val="32"/>
          <w:lang w:val="en-US" w:eastAsia="zh-CN" w:bidi="ar"/>
        </w:rPr>
        <w:t>3.</w:t>
      </w:r>
      <w:r>
        <w:rPr>
          <w:rFonts w:hint="eastAsia" w:ascii="仿宋_GB2312" w:hAnsi="宋体" w:eastAsia="仿宋_GB2312" w:cs="宋体"/>
          <w:color w:val="333333"/>
          <w:kern w:val="0"/>
          <w:szCs w:val="32"/>
        </w:rPr>
        <w:t>加强制度建设。在现有制度的基础上进一步健全完善内部管控制度体系。</w:t>
      </w:r>
    </w:p>
    <w:p>
      <w:pPr>
        <w:widowControl/>
        <w:jc w:val="left"/>
        <w:rPr>
          <w:rFonts w:hint="default" w:ascii="楷体_GB2312" w:hAnsi="宋体" w:eastAsia="楷体_GB2312" w:cs="楷体_GB2312"/>
          <w:b/>
          <w:color w:val="000000"/>
          <w:kern w:val="0"/>
          <w:sz w:val="32"/>
          <w:szCs w:val="32"/>
          <w:lang w:val="en-US" w:eastAsia="zh-CN" w:bidi="ar"/>
        </w:rPr>
      </w:pP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object>
          <v:shape id="_x0000_i1026" o:spt="75" type="#_x0000_t75" style="height:557.6pt;width:698.2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bookmarkStart w:id="3" w:name="_1662907696"/>
      <w:bookmarkEnd w:id="3"/>
    </w:p>
    <w:p>
      <w:pPr>
        <w:numPr>
          <w:ilvl w:val="0"/>
          <w:numId w:val="0"/>
        </w:numPr>
        <w:ind w:firstLine="1760" w:firstLineChars="400"/>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1838599E"/>
    <w:multiLevelType w:val="singleLevel"/>
    <w:tmpl w:val="1838599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2B806E5"/>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CBF74DF"/>
    <w:rsid w:val="0D047580"/>
    <w:rsid w:val="0D0C2BC4"/>
    <w:rsid w:val="0DBA6E85"/>
    <w:rsid w:val="0DC72692"/>
    <w:rsid w:val="0E2B5C83"/>
    <w:rsid w:val="0EC368FB"/>
    <w:rsid w:val="0ECE423F"/>
    <w:rsid w:val="0EF5200E"/>
    <w:rsid w:val="102B6DF1"/>
    <w:rsid w:val="120E784D"/>
    <w:rsid w:val="12184E79"/>
    <w:rsid w:val="13753E1B"/>
    <w:rsid w:val="13BA2CC9"/>
    <w:rsid w:val="14174CED"/>
    <w:rsid w:val="15916C1F"/>
    <w:rsid w:val="16921B06"/>
    <w:rsid w:val="178E4E9E"/>
    <w:rsid w:val="178F31FD"/>
    <w:rsid w:val="18281798"/>
    <w:rsid w:val="18634A0D"/>
    <w:rsid w:val="18BC4DAB"/>
    <w:rsid w:val="18E20488"/>
    <w:rsid w:val="191A102A"/>
    <w:rsid w:val="19DA40E6"/>
    <w:rsid w:val="1A5410C4"/>
    <w:rsid w:val="1A6178A4"/>
    <w:rsid w:val="1A913AE8"/>
    <w:rsid w:val="1AF22409"/>
    <w:rsid w:val="1B055B6B"/>
    <w:rsid w:val="1CC315DB"/>
    <w:rsid w:val="1D8B0C78"/>
    <w:rsid w:val="1E6E4C3B"/>
    <w:rsid w:val="1E711180"/>
    <w:rsid w:val="1E7D6429"/>
    <w:rsid w:val="1F1A1F49"/>
    <w:rsid w:val="1F226BC7"/>
    <w:rsid w:val="1FE94670"/>
    <w:rsid w:val="20236F2E"/>
    <w:rsid w:val="20B96E79"/>
    <w:rsid w:val="20E506C4"/>
    <w:rsid w:val="21E922E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9D65047"/>
    <w:rsid w:val="2A7F5B56"/>
    <w:rsid w:val="2BFF61D7"/>
    <w:rsid w:val="2C1E58CB"/>
    <w:rsid w:val="2C366C63"/>
    <w:rsid w:val="2C8F7948"/>
    <w:rsid w:val="2CF051FA"/>
    <w:rsid w:val="2D38229C"/>
    <w:rsid w:val="2D62741D"/>
    <w:rsid w:val="2DA368D1"/>
    <w:rsid w:val="2DF854D4"/>
    <w:rsid w:val="2EC53938"/>
    <w:rsid w:val="2F3F7267"/>
    <w:rsid w:val="30DF4759"/>
    <w:rsid w:val="32370DD4"/>
    <w:rsid w:val="324878CF"/>
    <w:rsid w:val="326B0A0B"/>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21C6B"/>
    <w:rsid w:val="3B0C2B2C"/>
    <w:rsid w:val="3BFC6DCC"/>
    <w:rsid w:val="3C067D8D"/>
    <w:rsid w:val="3C446E8B"/>
    <w:rsid w:val="3C7A6DAB"/>
    <w:rsid w:val="3D380F19"/>
    <w:rsid w:val="3D4E2733"/>
    <w:rsid w:val="3D904069"/>
    <w:rsid w:val="3DB01CC2"/>
    <w:rsid w:val="3E3479B1"/>
    <w:rsid w:val="3ED56FAF"/>
    <w:rsid w:val="3F034EFD"/>
    <w:rsid w:val="3FCA23EC"/>
    <w:rsid w:val="40871E38"/>
    <w:rsid w:val="41942E54"/>
    <w:rsid w:val="424D60E4"/>
    <w:rsid w:val="42DF3ED1"/>
    <w:rsid w:val="42FA4769"/>
    <w:rsid w:val="433A1366"/>
    <w:rsid w:val="43BC1030"/>
    <w:rsid w:val="43BF7D37"/>
    <w:rsid w:val="4447106E"/>
    <w:rsid w:val="44786400"/>
    <w:rsid w:val="455734BD"/>
    <w:rsid w:val="4610593D"/>
    <w:rsid w:val="46353C23"/>
    <w:rsid w:val="46F82343"/>
    <w:rsid w:val="47964FBE"/>
    <w:rsid w:val="47A141F9"/>
    <w:rsid w:val="482E2C6E"/>
    <w:rsid w:val="48F12D42"/>
    <w:rsid w:val="49616AEF"/>
    <w:rsid w:val="49915349"/>
    <w:rsid w:val="49DB26F6"/>
    <w:rsid w:val="49EA6175"/>
    <w:rsid w:val="4A1752A2"/>
    <w:rsid w:val="4A583C8E"/>
    <w:rsid w:val="4AB663FF"/>
    <w:rsid w:val="4AC94221"/>
    <w:rsid w:val="4B1431E8"/>
    <w:rsid w:val="4B18398F"/>
    <w:rsid w:val="4B1D404D"/>
    <w:rsid w:val="4BC56EF7"/>
    <w:rsid w:val="4BCF243C"/>
    <w:rsid w:val="4C8F1C6B"/>
    <w:rsid w:val="4D9D33EE"/>
    <w:rsid w:val="4DAC3D0C"/>
    <w:rsid w:val="4E1826EB"/>
    <w:rsid w:val="502162E1"/>
    <w:rsid w:val="50446E39"/>
    <w:rsid w:val="50C46A00"/>
    <w:rsid w:val="50C62B98"/>
    <w:rsid w:val="51AA47B2"/>
    <w:rsid w:val="51C1525F"/>
    <w:rsid w:val="52AC7AB3"/>
    <w:rsid w:val="532511AB"/>
    <w:rsid w:val="54207C4C"/>
    <w:rsid w:val="544D3043"/>
    <w:rsid w:val="54722E94"/>
    <w:rsid w:val="54890396"/>
    <w:rsid w:val="555C235D"/>
    <w:rsid w:val="55BC39C0"/>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25B49"/>
    <w:rsid w:val="68777ACE"/>
    <w:rsid w:val="692B7805"/>
    <w:rsid w:val="696473D9"/>
    <w:rsid w:val="6977251D"/>
    <w:rsid w:val="697876A2"/>
    <w:rsid w:val="69A157A9"/>
    <w:rsid w:val="6AF21D88"/>
    <w:rsid w:val="6B3B79EC"/>
    <w:rsid w:val="6C875E70"/>
    <w:rsid w:val="6CAD3A0C"/>
    <w:rsid w:val="6DC7259C"/>
    <w:rsid w:val="6EAC6681"/>
    <w:rsid w:val="6EB546C3"/>
    <w:rsid w:val="6F094735"/>
    <w:rsid w:val="6F3715E2"/>
    <w:rsid w:val="6F4F2D6C"/>
    <w:rsid w:val="70D566CD"/>
    <w:rsid w:val="70EA4662"/>
    <w:rsid w:val="71840673"/>
    <w:rsid w:val="71C9684A"/>
    <w:rsid w:val="723534D6"/>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DDA6532"/>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a:t>
            </a:r>
          </a:p>
        </c:rich>
      </c:tx>
      <c:layout>
        <c:manualLayout>
          <c:xMode val="edge"/>
          <c:yMode val="edge"/>
          <c:x val="0.0655"/>
          <c:y val="0.0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事业编制</c:v>
                </c:pt>
              </c:strCache>
            </c:strRef>
          </c:cat>
          <c:val>
            <c:numRef>
              <c:f>Sheet1!$B$2:$B$3</c:f>
              <c:numCache>
                <c:formatCode>General</c:formatCode>
                <c:ptCount val="2"/>
                <c:pt idx="0">
                  <c:v>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2503.57</c:v>
                </c:pt>
                <c:pt idx="1">
                  <c:v>2113.57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1793.69</c:v>
                </c:pt>
                <c:pt idx="1">
                  <c:v>2183.69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3278940"/>
        <c:axId val="829754290"/>
      </c:barChart>
      <c:catAx>
        <c:axId val="23278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54290"/>
        <c:crosses val="autoZero"/>
        <c:auto val="1"/>
        <c:lblAlgn val="ctr"/>
        <c:lblOffset val="100"/>
        <c:noMultiLvlLbl val="0"/>
      </c:catAx>
      <c:valAx>
        <c:axId val="829754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789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经营经营收入</c:v>
                </c:pt>
                <c:pt idx="3">
                  <c:v>其他收入</c:v>
                </c:pt>
              </c:strCache>
            </c:strRef>
          </c:cat>
          <c:val>
            <c:numRef>
              <c:f>Sheet1!$B$2:$B$5</c:f>
              <c:numCache>
                <c:formatCode>General</c:formatCode>
                <c:ptCount val="4"/>
                <c:pt idx="0">
                  <c:v>1793.69</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131.82</c:v>
                </c:pt>
                <c:pt idx="1">
                  <c:v>2051.87</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本年财政拨款收支与上年情况对比图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1297.41</c:v>
                </c:pt>
                <c:pt idx="1">
                  <c:v>2113.57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1793.69</c:v>
                </c:pt>
                <c:pt idx="1">
                  <c:v>2183.69</c:v>
                </c:pt>
              </c:numCache>
            </c:numRef>
          </c:val>
        </c:ser>
        <c:dLbls>
          <c:showLegendKey val="0"/>
          <c:showVal val="0"/>
          <c:showCatName val="0"/>
          <c:showSerName val="0"/>
          <c:showPercent val="0"/>
          <c:showBubbleSize val="0"/>
        </c:dLbls>
        <c:gapWidth val="219"/>
        <c:overlap val="-27"/>
        <c:axId val="646460787"/>
        <c:axId val="467156706"/>
      </c:barChart>
      <c:catAx>
        <c:axId val="6464607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156706"/>
        <c:crosses val="autoZero"/>
        <c:auto val="1"/>
        <c:lblAlgn val="ctr"/>
        <c:lblOffset val="100"/>
        <c:noMultiLvlLbl val="0"/>
      </c:catAx>
      <c:valAx>
        <c:axId val="4671567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607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2113.57</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2183.69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340545925"/>
        <c:axId val="952925650"/>
      </c:barChart>
      <c:catAx>
        <c:axId val="3405459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925650"/>
        <c:crosses val="autoZero"/>
        <c:auto val="1"/>
        <c:lblAlgn val="ctr"/>
        <c:lblOffset val="100"/>
        <c:noMultiLvlLbl val="0"/>
      </c:catAx>
      <c:valAx>
        <c:axId val="952925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5459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经费支出情况</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c:v>
                </c:pt>
                <c:pt idx="1">
                  <c:v>公务用车运行维护费</c:v>
                </c:pt>
                <c:pt idx="2">
                  <c:v>公务接待费</c:v>
                </c:pt>
                <c:pt idx="3">
                  <c:v>公务用车购置费</c:v>
                </c:pt>
              </c:strCache>
            </c:strRef>
          </c:cat>
          <c:val>
            <c:numRef>
              <c:f>Sheet1!$B$2:$B$5</c:f>
              <c:numCache>
                <c:formatCode>General</c:formatCode>
                <c:ptCount val="4"/>
                <c:pt idx="0">
                  <c:v>0</c:v>
                </c:pt>
                <c:pt idx="1">
                  <c:v>2.76</c:v>
                </c:pt>
                <c:pt idx="2">
                  <c:v>0.13</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宝宝爱朵拉</cp:lastModifiedBy>
  <cp:lastPrinted>2021-10-18T05:31:00Z</cp:lastPrinted>
  <dcterms:modified xsi:type="dcterms:W3CDTF">2021-10-27T10:01:56Z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C59B3CA2EF5540999361023A2665CAB7</vt:lpwstr>
  </property>
</Properties>
</file>