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rPr>
          <w:rFonts w:hint="eastAsia" w:ascii="黑体" w:hAnsi="黑体" w:eastAsia="黑体"/>
          <w:sz w:val="32"/>
          <w:szCs w:val="32"/>
        </w:rPr>
      </w:pP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sz w:val="44"/>
          <w:szCs w:val="44"/>
          <w:lang w:val="en-US" w:eastAsia="zh-CN"/>
        </w:rPr>
      </w:pPr>
      <w:r>
        <w:rPr>
          <w:rStyle w:val="9"/>
          <w:rFonts w:hint="eastAsia" w:ascii="方正小标宋简体" w:hAnsi="方正小标宋简体" w:eastAsia="方正小标宋简体" w:cs="方正小标宋简体"/>
          <w:sz w:val="44"/>
          <w:szCs w:val="44"/>
          <w:lang w:val="en-US" w:eastAsia="zh-CN"/>
        </w:rPr>
        <w:t>西安市</w:t>
      </w:r>
      <w:r>
        <w:rPr>
          <w:rStyle w:val="9"/>
          <w:rFonts w:hint="eastAsia" w:ascii="方正小标宋简体" w:hAnsi="方正小标宋简体" w:eastAsia="方正小标宋简体" w:cs="方正小标宋简体"/>
          <w:sz w:val="44"/>
          <w:szCs w:val="44"/>
          <w:lang w:eastAsia="zh-CN"/>
        </w:rPr>
        <w:t>阎良区</w:t>
      </w:r>
      <w:r>
        <w:rPr>
          <w:rStyle w:val="9"/>
          <w:rFonts w:hint="eastAsia" w:ascii="方正小标宋简体" w:hAnsi="方正小标宋简体" w:eastAsia="方正小标宋简体" w:cs="方正小标宋简体"/>
          <w:sz w:val="44"/>
          <w:szCs w:val="44"/>
          <w:lang w:val="en-US" w:eastAsia="zh-CN"/>
        </w:rPr>
        <w:t>工商业联合会（科协）</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lang w:eastAsia="zh-CN"/>
        </w:rPr>
        <w:t>2020年</w:t>
      </w:r>
      <w:r>
        <w:rPr>
          <w:rStyle w:val="9"/>
          <w:rFonts w:hint="eastAsia" w:ascii="方正小标宋简体" w:hAnsi="方正小标宋简体" w:eastAsia="方正小标宋简体" w:cs="方正小标宋简体"/>
          <w:color w:val="000000"/>
          <w:sz w:val="44"/>
          <w:szCs w:val="44"/>
        </w:rPr>
        <w:t>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left="0" w:leftChars="0" w:firstLine="1263" w:firstLineChars="393"/>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highlight w:val="none"/>
          <w:lang w:eastAsia="zh-CN"/>
        </w:rPr>
        <w:t>已审查</w:t>
      </w:r>
    </w:p>
    <w:p>
      <w:pPr>
        <w:spacing w:line="400" w:lineRule="exact"/>
        <w:ind w:left="0" w:leftChars="0" w:firstLine="1263" w:firstLineChars="393"/>
        <w:jc w:val="center"/>
        <w:rPr>
          <w:rFonts w:hint="eastAsia" w:asciiTheme="minorEastAsia" w:hAnsiTheme="minorEastAsia" w:eastAsiaTheme="minorEastAsia" w:cstheme="minorEastAsia"/>
          <w:b/>
          <w:bCs/>
          <w:sz w:val="32"/>
          <w:szCs w:val="32"/>
          <w:highlight w:val="yellow"/>
        </w:rPr>
      </w:pPr>
    </w:p>
    <w:p>
      <w:pPr>
        <w:spacing w:line="400" w:lineRule="exact"/>
        <w:ind w:left="0" w:leftChars="0" w:firstLine="1263" w:firstLineChars="393"/>
        <w:rPr>
          <w:rFonts w:ascii="黑体" w:hAnsi="宋体" w:eastAsia="黑体"/>
          <w:b/>
          <w:color w:val="000000"/>
          <w:kern w:val="0"/>
          <w:sz w:val="56"/>
          <w:szCs w:val="56"/>
          <w:highlight w:val="none"/>
          <w:lang w:bidi="ar"/>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highlight w:val="none"/>
          <w:lang w:eastAsia="zh-CN"/>
        </w:rPr>
        <w:t>已审签</w:t>
      </w:r>
    </w:p>
    <w:p>
      <w:pPr>
        <w:jc w:val="both"/>
        <w:rPr>
          <w:rFonts w:ascii="黑体" w:hAnsi="宋体" w:eastAsia="黑体"/>
          <w:bCs/>
          <w:color w:val="000000"/>
          <w:kern w:val="0"/>
          <w:sz w:val="36"/>
          <w:szCs w:val="36"/>
        </w:rPr>
      </w:pPr>
    </w:p>
    <w:p>
      <w:pPr>
        <w:jc w:val="both"/>
        <w:rPr>
          <w:rFonts w:ascii="黑体" w:hAnsi="宋体" w:eastAsia="黑体"/>
          <w:bCs/>
          <w:color w:val="000000"/>
          <w:kern w:val="0"/>
          <w:sz w:val="36"/>
          <w:szCs w:val="36"/>
        </w:rPr>
      </w:pPr>
    </w:p>
    <w:p>
      <w:pPr>
        <w:jc w:val="both"/>
        <w:rPr>
          <w:rFonts w:ascii="黑体" w:hAnsi="宋体" w:eastAsia="黑体"/>
          <w:bCs/>
          <w:color w:val="000000"/>
          <w:kern w:val="0"/>
          <w:sz w:val="36"/>
          <w:szCs w:val="36"/>
        </w:rPr>
      </w:pP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 xml:space="preserve">第二部分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numPr>
          <w:ilvl w:val="0"/>
          <w:numId w:val="0"/>
        </w:numPr>
        <w:jc w:val="both"/>
        <w:rPr>
          <w:rFonts w:ascii="黑体" w:hAnsi="宋体" w:eastAsia="黑体"/>
          <w:color w:val="000000"/>
          <w:kern w:val="0"/>
          <w:sz w:val="44"/>
          <w:szCs w:val="44"/>
        </w:rPr>
      </w:pP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宋体" w:eastAsia="黑体"/>
          <w:color w:val="000000"/>
          <w:kern w:val="0"/>
          <w:sz w:val="32"/>
          <w:szCs w:val="32"/>
          <w:lang w:bidi="ar"/>
        </w:rPr>
      </w:pPr>
      <w:r>
        <w:rPr>
          <w:rFonts w:hint="eastAsia" w:ascii="黑体" w:hAnsi="Times New Roman" w:eastAsia="黑体" w:cs="楷体"/>
          <w:bCs/>
          <w:color w:val="000000"/>
          <w:kern w:val="0"/>
          <w:sz w:val="32"/>
          <w:szCs w:val="32"/>
          <w:lang w:val="en-US" w:eastAsia="zh-CN" w:bidi="ar-SA"/>
        </w:rPr>
        <w:t>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阎良区工商业联合会是党领导的以非公有制企业和非公有制经济代表人士为主体的人民团体和商会组织。具有统战性、经济性、民间性；阎良区科学技术协会是党领导下以科技工作者为主的群众团体，具有政治性、先进性、群众性。阎良区工商联（科协）是区委、区政府联系非公经济代表人士及科学技术工作者的桥梁和纽带，其主要职责是：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1.引导非公有制经济代表人士学习贯彻党的路线方针政策， 遵守国家法律法规，培养拥护党的领导、走中国特色社会主义道路的非公有制经济代表人士队伍；组织引导会员践行社会主义核心价值体系，参与社会公益事业，自觉履行社会责任。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2.参与我区政治、经济、社会等重大决策的协商，发挥民主监督作用；反映非公经济代表人士意愿和要求；做好有关代表性人士政治安排的推荐工作。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3.协助区政府做好非公有制经济管理和服务工作，为非公有制企业提供信息、法律、融资、技术、人才等方面的服务。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4.促进行业协会商会改革发展，履行社会团体业务主管单位职责，发挥政策宣传，提供服务、反映诉求、维护权益、加强自律的作用。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5.推动劳动关系立法和劳动关系协调机制建设，协调处理投资者利益和劳动者权益的关系。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6.开展法律咨询服务，维护会员合法权益。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7.按照国家规定和有关政策，组织会员举办和参加展销会、交易会，组织会员出国（境）考察，帮助会员开拓国内、国际市场。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8.开展民间外交，增进与港澳台地区和世界各国工商社团及工商界经济界人士的交流合作，为非公有制企业开展国际合作提供服务。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9.贯彻党的科技方针、政策，团结和动员全区广大科技工作者参与、推动科教兴区、人才强区和可持续发展战略的实施，促进科技进步、经济发展和社会繁荣。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10.制定科普工作规划，组织动员社会各方面力量，广泛开展科学普及工作；指导本区有关科技馆、科普设施等科普场所的建设和管理；负责科普工作者队伍建设。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11.弘扬科学精神、普及科学知识、传播科学思想、推广科学方法，开展青少年科技教育活动，加强全民科学素质教育工作，提高全民科学素质。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12.举荐、宣传、表彰优秀科技工作者，发挥学术团体举荐科技人才的作用。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13.开展民间科技交流，配合上级科协做好国际、国内有关科技合作与交流，发展同省内外科技团体、科技工作者的友好交往。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14.发挥科技社团优势，有序承接政府转移职能，宣传科技政策、法规，反映科技工作者的呼声和要求，维护科技工作者的合法权益，负责农村专业技术协会的组织、建设和发展工作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为科技团体和科技工作者服务。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15.承办区委、区政府交办的其他事项。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设综合科一个科室。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highlight w:val="none"/>
        </w:rPr>
      </w:pPr>
      <w:r>
        <w:rPr>
          <w:rFonts w:ascii="黑体" w:hAnsi="宋体" w:eastAsia="黑体"/>
          <w:color w:val="000000"/>
          <w:kern w:val="0"/>
          <w:sz w:val="32"/>
          <w:szCs w:val="32"/>
          <w:highlight w:val="none"/>
          <w:lang w:bidi="ar"/>
        </w:rPr>
        <w:t>二、</w:t>
      </w:r>
      <w:r>
        <w:rPr>
          <w:rFonts w:hint="eastAsia" w:ascii="黑体" w:hAnsi="宋体" w:eastAsia="黑体"/>
          <w:color w:val="000000"/>
          <w:kern w:val="0"/>
          <w:sz w:val="32"/>
          <w:szCs w:val="32"/>
          <w:highlight w:val="none"/>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本部门的部门综合预算为工商联(科协)本级(机关)预算，无下属单位。</w:t>
      </w:r>
    </w:p>
    <w:p>
      <w:pPr>
        <w:ind w:firstLine="640"/>
        <w:rPr>
          <w:rFonts w:ascii="黑体" w:hAnsi="黑体" w:eastAsia="黑体"/>
          <w:b w:val="0"/>
          <w:bCs w:val="0"/>
          <w:sz w:val="32"/>
          <w:szCs w:val="32"/>
        </w:rPr>
      </w:pPr>
      <w:r>
        <w:rPr>
          <w:rFonts w:hint="eastAsia" w:ascii="黑体" w:hAnsi="黑体" w:eastAsia="黑体"/>
          <w:b w:val="0"/>
          <w:bCs w:val="0"/>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截止2020年底，本部门人员编制4人，其中行政编制4 人、 事业编制0人；实有人员5人，其中行政5人、事业0 人。单位管理的离退休人员0人。</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drawing>
          <wp:anchor distT="0" distB="0" distL="114300" distR="114300" simplePos="0" relativeHeight="251660288" behindDoc="0" locked="0" layoutInCell="1" allowOverlap="1">
            <wp:simplePos x="0" y="0"/>
            <wp:positionH relativeFrom="column">
              <wp:posOffset>104140</wp:posOffset>
            </wp:positionH>
            <wp:positionV relativeFrom="paragraph">
              <wp:posOffset>305435</wp:posOffset>
            </wp:positionV>
            <wp:extent cx="5354955" cy="3220085"/>
            <wp:effectExtent l="0" t="0" r="9525" b="1079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tretch>
                      <a:fillRect/>
                    </a:stretch>
                  </pic:blipFill>
                  <pic:spPr>
                    <a:xfrm>
                      <a:off x="0" y="0"/>
                      <a:ext cx="5354955" cy="3220085"/>
                    </a:xfrm>
                    <a:prstGeom prst="rect">
                      <a:avLst/>
                    </a:prstGeom>
                    <a:noFill/>
                    <a:ln>
                      <a:noFill/>
                    </a:ln>
                  </pic:spPr>
                </pic:pic>
              </a:graphicData>
            </a:graphic>
          </wp:anchor>
        </w:drawing>
      </w: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sectPr>
          <w:footerReference r:id="rId3" w:type="default"/>
          <w:pgSz w:w="11900" w:h="16838"/>
          <w:pgMar w:top="1440" w:right="1800" w:bottom="1440" w:left="1800" w:header="850" w:footer="992" w:gutter="0"/>
          <w:lnNumType w:countBy="0" w:distance="360"/>
          <w:cols w:equalWidth="0" w:num="1">
            <w:col w:w="9020"/>
          </w:cols>
        </w:sectPr>
      </w:pPr>
    </w:p>
    <w:p>
      <w:pPr>
        <w:widowControl/>
        <w:jc w:val="center"/>
        <w:rPr>
          <w:rFonts w:ascii="黑体" w:hAnsi="宋体" w:eastAsia="黑体"/>
          <w:color w:val="000000"/>
          <w:kern w:val="0"/>
          <w:sz w:val="44"/>
          <w:szCs w:val="44"/>
        </w:rPr>
      </w:pPr>
    </w:p>
    <w:p>
      <w:pPr>
        <w:widowControl/>
        <w:numPr>
          <w:ilvl w:val="0"/>
          <w:numId w:val="1"/>
        </w:numPr>
        <w:ind w:left="0" w:leftChars="0" w:firstLine="0" w:firstLineChars="0"/>
        <w:jc w:val="center"/>
        <w:rPr>
          <w:rFonts w:ascii="黑体" w:hAnsi="宋体" w:eastAsia="黑体"/>
          <w:color w:val="000000"/>
          <w:kern w:val="0"/>
          <w:sz w:val="44"/>
          <w:szCs w:val="44"/>
        </w:rPr>
      </w:pPr>
      <w:r>
        <w:rPr>
          <w:rFonts w:hint="eastAsia" w:ascii="黑体" w:hAnsi="宋体" w:eastAsia="黑体"/>
          <w:color w:val="000000"/>
          <w:kern w:val="0"/>
          <w:sz w:val="44"/>
          <w:szCs w:val="44"/>
          <w:lang w:eastAsia="zh-CN"/>
        </w:rPr>
        <w:t>2020年</w:t>
      </w:r>
      <w:r>
        <w:rPr>
          <w:rFonts w:ascii="黑体" w:hAnsi="宋体" w:eastAsia="黑体"/>
          <w:color w:val="000000"/>
          <w:kern w:val="0"/>
          <w:sz w:val="44"/>
          <w:szCs w:val="44"/>
        </w:rPr>
        <w:t>部门决算表</w:t>
      </w:r>
    </w:p>
    <w:p>
      <w:pPr>
        <w:widowControl/>
        <w:numPr>
          <w:ilvl w:val="0"/>
          <w:numId w:val="0"/>
        </w:numPr>
        <w:ind w:leftChars="0"/>
        <w:jc w:val="both"/>
        <w:rPr>
          <w:rFonts w:ascii="黑体" w:hAnsi="宋体" w:eastAsia="黑体"/>
          <w:color w:val="000000"/>
          <w:kern w:val="0"/>
          <w:sz w:val="44"/>
          <w:szCs w:val="44"/>
        </w:rPr>
      </w:pPr>
    </w:p>
    <w:tbl>
      <w:tblPr>
        <w:tblStyle w:val="6"/>
        <w:tblW w:w="9210" w:type="dxa"/>
        <w:jc w:val="center"/>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jc w:val="center"/>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s="宋体"/>
                <w:color w:val="000000"/>
                <w:kern w:val="0"/>
                <w:sz w:val="21"/>
                <w:szCs w:val="21"/>
              </w:rPr>
            </w:pPr>
          </w:p>
          <w:p>
            <w:pPr>
              <w:widowControl/>
              <w:jc w:val="both"/>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政府性基金预算财政拨款收入支出</w:t>
            </w:r>
            <w:r>
              <w:rPr>
                <w:rFonts w:hint="eastAsia" w:ascii="宋体" w:hAnsi="宋体" w:cs="宋体"/>
                <w:color w:val="000000"/>
                <w:kern w:val="0"/>
                <w:sz w:val="21"/>
                <w:szCs w:val="21"/>
                <w:lang w:eastAsia="zh-CN"/>
              </w:rPr>
              <w:t>决算表</w:t>
            </w:r>
          </w:p>
          <w:p>
            <w:pPr>
              <w:widowControl/>
              <w:jc w:val="left"/>
              <w:rPr>
                <w:rFonts w:ascii="宋体" w:hAnsi="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不涉及</w:t>
            </w:r>
          </w:p>
        </w:tc>
      </w:tr>
      <w:tr>
        <w:tblPrEx>
          <w:tblCellMar>
            <w:top w:w="0" w:type="dxa"/>
            <w:left w:w="0" w:type="dxa"/>
            <w:bottom w:w="0" w:type="dxa"/>
            <w:right w:w="0" w:type="dxa"/>
          </w:tblCellMar>
        </w:tblPrEx>
        <w:trPr>
          <w:trHeight w:val="736" w:hRule="exac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eastAsia="zh-CN"/>
              </w:rPr>
              <w:t>表</w:t>
            </w:r>
            <w:r>
              <w:rPr>
                <w:rFonts w:hint="eastAsia" w:ascii="宋体" w:hAnsi="宋体" w:cs="宋体"/>
                <w:color w:val="000000"/>
                <w:kern w:val="0"/>
                <w:sz w:val="21"/>
                <w:szCs w:val="21"/>
                <w:lang w:val="en-US" w:eastAsia="zh-CN"/>
              </w:rPr>
              <w:t>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方正仿宋简体" w:cs="宋体"/>
                <w:color w:val="000000"/>
                <w:kern w:val="0"/>
                <w:sz w:val="21"/>
                <w:szCs w:val="21"/>
                <w:lang w:eastAsia="zh-CN"/>
              </w:rPr>
            </w:pPr>
            <w:r>
              <w:rPr>
                <w:rFonts w:hint="eastAsia" w:ascii="宋体" w:hAnsi="宋体" w:cs="宋体"/>
                <w:color w:val="000000"/>
                <w:kern w:val="0"/>
                <w:sz w:val="21"/>
                <w:szCs w:val="21"/>
                <w:lang w:eastAsia="zh-CN"/>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不涉及</w:t>
            </w:r>
          </w:p>
        </w:tc>
      </w:tr>
    </w:tbl>
    <w:p>
      <w:pPr>
        <w:widowControl/>
        <w:jc w:val="both"/>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西安市阎良区工商业联合会（科协）</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118.24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100.93</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highlight w:val="none"/>
              </w:rPr>
              <w:t xml:space="preserve"> 2</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118.24</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148.24</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kern w:val="0"/>
                <w:sz w:val="21"/>
                <w:szCs w:val="21"/>
                <w:highlight w:val="none"/>
                <w:lang w:eastAsia="zh-CN"/>
              </w:rPr>
              <w:t>使</w:t>
            </w:r>
            <w:r>
              <w:rPr>
                <w:rFonts w:hint="eastAsia" w:ascii="宋体" w:hAnsi="宋体" w:eastAsia="宋体" w:cs="宋体"/>
                <w:bCs/>
                <w:color w:val="000000"/>
                <w:kern w:val="0"/>
                <w:sz w:val="21"/>
                <w:szCs w:val="21"/>
                <w:highlight w:val="none"/>
              </w:rPr>
              <w:t>用</w:t>
            </w:r>
            <w:r>
              <w:rPr>
                <w:rFonts w:hint="eastAsia" w:ascii="宋体" w:hAnsi="宋体" w:eastAsia="宋体" w:cs="宋体"/>
                <w:bCs/>
                <w:color w:val="000000"/>
                <w:kern w:val="0"/>
                <w:sz w:val="21"/>
                <w:szCs w:val="21"/>
                <w:highlight w:val="none"/>
                <w:lang w:eastAsia="zh-CN"/>
              </w:rPr>
              <w:t>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30.00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148.24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148.24</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编制部门：西安市阎良区工商业联合会（科协）                       金额单位：万元</w:t>
      </w:r>
    </w:p>
    <w:tbl>
      <w:tblPr>
        <w:tblStyle w:val="6"/>
        <w:tblW w:w="8867" w:type="dxa"/>
        <w:tblInd w:w="0" w:type="dxa"/>
        <w:tblLayout w:type="fixed"/>
        <w:tblCellMar>
          <w:top w:w="15" w:type="dxa"/>
          <w:left w:w="15" w:type="dxa"/>
          <w:bottom w:w="15" w:type="dxa"/>
          <w:right w:w="15" w:type="dxa"/>
        </w:tblCellMar>
      </w:tblPr>
      <w:tblGrid>
        <w:gridCol w:w="927"/>
        <w:gridCol w:w="1035"/>
        <w:gridCol w:w="698"/>
        <w:gridCol w:w="747"/>
        <w:gridCol w:w="720"/>
        <w:gridCol w:w="720"/>
        <w:gridCol w:w="1470"/>
        <w:gridCol w:w="750"/>
        <w:gridCol w:w="990"/>
        <w:gridCol w:w="810"/>
      </w:tblGrid>
      <w:tr>
        <w:trPr>
          <w:trHeight w:val="439" w:hRule="atLeast"/>
        </w:trPr>
        <w:tc>
          <w:tcPr>
            <w:tcW w:w="19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03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9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118.24</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118.24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一般公共服务支出</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100.93</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826"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20128</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民主党派及工商联事务</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100.93</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2012801</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行政运行</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94.93</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94.93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2012802</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一般行政管理事务</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206</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科学技术支出</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8.00</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20607</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科学技术普及</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8.00</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2060702</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科普活动</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8.00</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社会保障和就业支出</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行政事业单位养老支出</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机关事业单位基本养老保险缴费支出</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卫生健康支出</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行政事业单位医疗</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2101101</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行政单位医疗</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编制部门：西安市阎良区工商业联合会（科协）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401"/>
        <w:gridCol w:w="1073"/>
        <w:gridCol w:w="986"/>
        <w:gridCol w:w="1077"/>
        <w:gridCol w:w="1109"/>
        <w:gridCol w:w="908"/>
        <w:gridCol w:w="1345"/>
      </w:tblGrid>
      <w:tr>
        <w:tblPrEx>
          <w:tblCellMar>
            <w:top w:w="15" w:type="dxa"/>
            <w:left w:w="15" w:type="dxa"/>
            <w:bottom w:w="15" w:type="dxa"/>
            <w:right w:w="15" w:type="dxa"/>
          </w:tblCellMar>
        </w:tblPrEx>
        <w:trPr>
          <w:trHeight w:val="372" w:hRule="atLeast"/>
        </w:trPr>
        <w:tc>
          <w:tcPr>
            <w:tcW w:w="2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0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4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148.24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104.24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201</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一般公共服务支出</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94.93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20128</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民主党派及工商联事务</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94.93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2012801</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行政运行</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94.93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94.93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2012802</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一般行政管理事务</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206</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科学技术支出</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20607</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科学技术普及</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2060702</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科普活动</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社会保障和就业支出</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行政事业单位养老支出</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机关事业单位基本养老保险缴费支出</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卫生健康支出</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行政事业单位医疗</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2101101</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行政单位医疗</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Pr>
        <w:sectPr>
          <w:pgSz w:w="11900" w:h="16838"/>
          <w:pgMar w:top="1440" w:right="1800" w:bottom="1440" w:left="1800" w:header="850" w:footer="992" w:gutter="0"/>
          <w:lnNumType w:countBy="0" w:distance="360"/>
          <w:cols w:equalWidth="0" w:num="1">
            <w:col w:w="9020"/>
          </w:cols>
        </w:sectPr>
      </w:pPr>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编制部门：西安市阎良区工商业联合会（科协）                       金额单位：万元</w:t>
      </w:r>
    </w:p>
    <w:tbl>
      <w:tblPr>
        <w:tblStyle w:val="6"/>
        <w:tblW w:w="8739" w:type="dxa"/>
        <w:tblInd w:w="0" w:type="dxa"/>
        <w:tblLayout w:type="fixed"/>
        <w:tblCellMar>
          <w:top w:w="15" w:type="dxa"/>
          <w:left w:w="15" w:type="dxa"/>
          <w:bottom w:w="15" w:type="dxa"/>
          <w:right w:w="15" w:type="dxa"/>
        </w:tblCellMar>
      </w:tblPr>
      <w:tblGrid>
        <w:gridCol w:w="1539"/>
        <w:gridCol w:w="968"/>
        <w:gridCol w:w="2440"/>
        <w:gridCol w:w="1023"/>
        <w:gridCol w:w="994"/>
        <w:gridCol w:w="888"/>
        <w:gridCol w:w="887"/>
      </w:tblGrid>
      <w:tr>
        <w:tblPrEx>
          <w:tblCellMar>
            <w:top w:w="15" w:type="dxa"/>
            <w:left w:w="15" w:type="dxa"/>
            <w:bottom w:w="15" w:type="dxa"/>
            <w:right w:w="15" w:type="dxa"/>
          </w:tblCellMar>
        </w:tblPrEx>
        <w:trPr>
          <w:trHeight w:val="419" w:hRule="atLeast"/>
        </w:trPr>
        <w:tc>
          <w:tcPr>
            <w:tcW w:w="25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2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80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trHeight w:val="544"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118.24</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100.93</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100.93</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1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153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8"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5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7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75"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6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75"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63"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45"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21、国有资本经营预算支出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9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2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债务还本支出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0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债务付息支出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抗疫特别国债安排支出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注：本表反映部门本年度各项支出情况。本表金额转换为万元时，因四舍五入可能存在尾差。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编制部门：西安市阎良区工商业联合会（科协）                       金额单位：万元</w:t>
      </w:r>
    </w:p>
    <w:tbl>
      <w:tblPr>
        <w:tblStyle w:val="6"/>
        <w:tblW w:w="8426" w:type="dxa"/>
        <w:tblInd w:w="0" w:type="dxa"/>
        <w:tblLayout w:type="fixed"/>
        <w:tblCellMar>
          <w:top w:w="15" w:type="dxa"/>
          <w:left w:w="15" w:type="dxa"/>
          <w:bottom w:w="15" w:type="dxa"/>
          <w:right w:w="15" w:type="dxa"/>
        </w:tblCellMar>
      </w:tblPr>
      <w:tblGrid>
        <w:gridCol w:w="1681"/>
        <w:gridCol w:w="1304"/>
        <w:gridCol w:w="1523"/>
        <w:gridCol w:w="1032"/>
        <w:gridCol w:w="890"/>
        <w:gridCol w:w="1005"/>
        <w:gridCol w:w="99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44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118.24</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148.24</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30.00</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118.24</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val="0"/>
                <w:bCs/>
                <w:color w:val="000000"/>
                <w:kern w:val="0"/>
                <w:sz w:val="21"/>
                <w:szCs w:val="21"/>
                <w:lang w:eastAsia="zh-CN"/>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148.24</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148.24</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Pr>
        <w:sectPr>
          <w:pgSz w:w="11900" w:h="16838"/>
          <w:pgMar w:top="1440" w:right="1800" w:bottom="1440" w:left="1800" w:header="850" w:footer="992" w:gutter="0"/>
          <w:lnNumType w:countBy="0" w:distance="360"/>
          <w:cols w:equalWidth="0" w:num="1">
            <w:col w:w="9020"/>
          </w:cols>
        </w:sectPr>
      </w:pPr>
    </w:p>
    <w:p/>
    <w:p>
      <w:pPr>
        <w:jc w:val="center"/>
        <w:rPr>
          <w:rFonts w:ascii="宋体" w:hAnsi="宋体" w:eastAsia="宋体" w:cs="宋体"/>
          <w:b/>
          <w:bCs/>
          <w:szCs w:val="32"/>
          <w:highlight w:val="yellow"/>
        </w:rPr>
      </w:pPr>
      <w:r>
        <w:rPr>
          <w:rFonts w:hint="eastAsia" w:ascii="宋体" w:hAnsi="宋体" w:eastAsia="宋体" w:cs="宋体"/>
          <w:b/>
          <w:bCs/>
          <w:szCs w:val="32"/>
          <w:highlight w:val="none"/>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编制部门：西安市阎良区工商业联合会（科协）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148.24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104.24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94.20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94.93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84.89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20128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民主党派及工商联事务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94.93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84.89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2012801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94.93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94.93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84.89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2012802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206</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科学技术支出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20607</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科学技术普及</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2060702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科普活动</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行政事业单位养老支出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Pr>
        <w:sectPr>
          <w:pgSz w:w="11900" w:h="16838"/>
          <w:pgMar w:top="1440" w:right="1800" w:bottom="1440" w:left="1800" w:header="850" w:footer="992" w:gutter="0"/>
          <w:lnNumType w:countBy="0" w:distance="360"/>
          <w:cols w:equalWidth="0" w:num="1">
            <w:col w:w="9020"/>
          </w:cols>
        </w:sectPr>
      </w:pPr>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jc w:val="right"/>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编制部门：西安市阎良区工商业联合会（科协）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104.24</w:t>
            </w:r>
          </w:p>
        </w:tc>
        <w:tc>
          <w:tcPr>
            <w:tcW w:w="143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94.20</w:t>
            </w:r>
          </w:p>
        </w:tc>
        <w:tc>
          <w:tcPr>
            <w:tcW w:w="1363"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10.04</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94.20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94.20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30.27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30.27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19.32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19.32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19.61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19.61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7.27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7.27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1.83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1.83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2.63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2.63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13.27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13.27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1.78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0.23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0.30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0.30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0.28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会议费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0.10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0.16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0.31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0.48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30231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公务用车运行维护费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0.44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5.66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编制部门：西安市阎良区工商业联合会（科协）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3.23</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0.38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2.85</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2.85</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0.10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0.60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0.16</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0.44</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0.44</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0.10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w:t>
      </w:r>
      <w:r>
        <w:rPr>
          <w:rFonts w:hint="eastAsia" w:ascii="宋体" w:hAnsi="宋体" w:eastAsia="宋体" w:cs="宋体"/>
          <w:sz w:val="21"/>
          <w:szCs w:val="21"/>
          <w:lang w:eastAsia="zh-CN"/>
        </w:rPr>
        <w:t>支出</w:t>
      </w:r>
      <w:r>
        <w:rPr>
          <w:rFonts w:hint="eastAsia" w:ascii="宋体" w:hAnsi="宋体" w:eastAsia="宋体" w:cs="宋体"/>
          <w:sz w:val="21"/>
          <w:szCs w:val="21"/>
        </w:rPr>
        <w:t>预</w:t>
      </w:r>
      <w:r>
        <w:rPr>
          <w:rFonts w:hint="eastAsia" w:ascii="宋体" w:hAnsi="宋体" w:eastAsia="宋体" w:cs="宋体"/>
          <w:sz w:val="21"/>
          <w:szCs w:val="21"/>
          <w:lang w:eastAsia="zh-CN"/>
        </w:rPr>
        <w:t>决</w:t>
      </w:r>
      <w:r>
        <w:rPr>
          <w:rFonts w:hint="eastAsia" w:ascii="宋体" w:hAnsi="宋体" w:eastAsia="宋体" w:cs="宋体"/>
          <w:sz w:val="21"/>
          <w:szCs w:val="21"/>
        </w:rPr>
        <w:t>算</w:t>
      </w:r>
      <w:r>
        <w:rPr>
          <w:rFonts w:hint="eastAsia" w:ascii="宋体" w:hAnsi="宋体" w:eastAsia="宋体" w:cs="宋体"/>
          <w:sz w:val="21"/>
          <w:szCs w:val="21"/>
          <w:lang w:eastAsia="zh-CN"/>
        </w:rPr>
        <w:t>情况</w:t>
      </w:r>
      <w:r>
        <w:rPr>
          <w:rFonts w:hint="eastAsia" w:ascii="宋体" w:hAnsi="宋体" w:eastAsia="宋体" w:cs="宋体"/>
          <w:sz w:val="21"/>
          <w:szCs w:val="21"/>
        </w:rPr>
        <w:t>。</w:t>
      </w:r>
      <w:r>
        <w:rPr>
          <w:rFonts w:hint="eastAsia" w:ascii="宋体" w:hAnsi="宋体" w:eastAsia="宋体" w:cs="宋体"/>
          <w:sz w:val="21"/>
          <w:szCs w:val="21"/>
          <w:lang w:eastAsia="zh-CN"/>
        </w:rPr>
        <w:t>其中，</w:t>
      </w:r>
      <w:r>
        <w:rPr>
          <w:rFonts w:hint="eastAsia" w:ascii="宋体" w:hAnsi="宋体" w:eastAsia="宋体" w:cs="宋体"/>
          <w:sz w:val="21"/>
          <w:szCs w:val="21"/>
        </w:rPr>
        <w:t>预算数为</w:t>
      </w:r>
      <w:r>
        <w:rPr>
          <w:rFonts w:hint="eastAsia" w:ascii="宋体" w:hAnsi="宋体" w:eastAsia="宋体" w:cs="宋体"/>
          <w:sz w:val="21"/>
          <w:szCs w:val="21"/>
          <w:lang w:eastAsia="zh-CN"/>
        </w:rPr>
        <w:t>全年</w:t>
      </w:r>
      <w:r>
        <w:rPr>
          <w:rFonts w:hint="eastAsia" w:ascii="宋体" w:hAnsi="宋体" w:eastAsia="宋体" w:cs="宋体"/>
          <w:sz w:val="21"/>
          <w:szCs w:val="21"/>
        </w:rPr>
        <w:t>预算数</w:t>
      </w:r>
      <w:r>
        <w:rPr>
          <w:rFonts w:hint="eastAsia" w:ascii="宋体" w:hAnsi="宋体" w:eastAsia="宋体" w:cs="宋体"/>
          <w:sz w:val="21"/>
          <w:szCs w:val="21"/>
          <w:lang w:eastAsia="zh-CN"/>
        </w:rPr>
        <w:t>，反映按规定程序调整后的预算数；决算数是包括当年一般公共预算财政拨款和以前年度结转资金安排的实际支出</w:t>
      </w:r>
      <w:r>
        <w:rPr>
          <w:rFonts w:hint="eastAsia" w:ascii="宋体" w:hAnsi="宋体" w:eastAsia="宋体" w:cs="宋体"/>
          <w:sz w:val="21"/>
          <w:szCs w:val="21"/>
        </w:rPr>
        <w:t>。</w:t>
      </w:r>
      <w:r>
        <w:rPr>
          <w:rFonts w:hint="eastAsia" w:ascii="宋体" w:hAnsi="宋体" w:eastAsia="宋体" w:cs="宋体"/>
          <w:color w:val="000000"/>
          <w:kern w:val="0"/>
          <w:sz w:val="21"/>
          <w:szCs w:val="21"/>
        </w:rPr>
        <w:t>本表金额转换为万元时，因四舍五入可能存在尾差。</w:t>
      </w:r>
    </w:p>
    <w:p/>
    <w:p/>
    <w:p/>
    <w:p/>
    <w:p/>
    <w:p/>
    <w:p/>
    <w:p/>
    <w:p/>
    <w:p/>
    <w:p>
      <w:pPr>
        <w:sectPr>
          <w:pgSz w:w="11900" w:h="16838"/>
          <w:pgMar w:top="1440" w:right="1800" w:bottom="1440" w:left="1800" w:header="850" w:footer="992" w:gutter="0"/>
          <w:lnNumType w:countBy="0" w:distance="360"/>
          <w:cols w:equalWidth="0" w:num="1">
            <w:col w:w="9020"/>
          </w:cols>
        </w:sectPr>
      </w:pPr>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编制部门：西安市阎良区工商业联合会（科协）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w:t>
      </w:r>
      <w:r>
        <w:rPr>
          <w:rFonts w:hint="eastAsia" w:ascii="宋体" w:hAnsi="宋体" w:eastAsia="宋体" w:cs="宋体"/>
          <w:sz w:val="21"/>
          <w:szCs w:val="21"/>
          <w:lang w:eastAsia="zh-CN"/>
        </w:rPr>
        <w:t>、</w:t>
      </w:r>
      <w:r>
        <w:rPr>
          <w:rFonts w:hint="eastAsia" w:ascii="宋体" w:hAnsi="宋体" w:eastAsia="宋体" w:cs="宋体"/>
          <w:sz w:val="21"/>
          <w:szCs w:val="21"/>
        </w:rPr>
        <w:t>支出及结转和结余情况。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
    <w:p/>
    <w:p/>
    <w:p>
      <w:pPr>
        <w:jc w:val="center"/>
        <w:rPr>
          <w:rFonts w:ascii="宋体" w:hAnsi="宋体" w:eastAsia="宋体" w:cs="宋体"/>
          <w:b/>
          <w:bCs/>
          <w:szCs w:val="32"/>
        </w:rPr>
      </w:pPr>
      <w:r>
        <w:rPr>
          <w:rFonts w:hint="eastAsia" w:ascii="宋体" w:hAnsi="宋体" w:eastAsia="宋体" w:cs="宋体"/>
          <w:b/>
          <w:bCs/>
          <w:szCs w:val="32"/>
          <w:lang w:eastAsia="zh-CN"/>
        </w:rPr>
        <w:t>国有资本经营</w:t>
      </w:r>
      <w:r>
        <w:rPr>
          <w:rFonts w:hint="eastAsia" w:ascii="宋体" w:hAnsi="宋体" w:eastAsia="宋体" w:cs="宋体"/>
          <w:b/>
          <w:bCs/>
          <w:szCs w:val="32"/>
        </w:rPr>
        <w:t>预算财政拨款支出决算表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 xml:space="preserve">编制部门：西安市阎良区工商业联合会（科协）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42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功能分类</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w:t>
      </w:r>
      <w:r>
        <w:rPr>
          <w:rFonts w:hint="eastAsia" w:ascii="宋体" w:hAnsi="宋体" w:eastAsia="宋体" w:cs="宋体"/>
          <w:sz w:val="21"/>
          <w:szCs w:val="21"/>
          <w:lang w:eastAsia="zh-CN"/>
        </w:rPr>
        <w:t>国有资本经营</w:t>
      </w:r>
      <w:r>
        <w:rPr>
          <w:rFonts w:hint="eastAsia" w:ascii="宋体" w:hAnsi="宋体" w:eastAsia="宋体" w:cs="宋体"/>
          <w:sz w:val="21"/>
          <w:szCs w:val="21"/>
        </w:rPr>
        <w:t>预算财政拨款支出情况。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Pr>
        <w:jc w:val="center"/>
        <w:rPr>
          <w:rFonts w:hint="eastAsia" w:ascii="黑体" w:hAnsi="宋体" w:eastAsia="黑体"/>
          <w:color w:val="000000"/>
          <w:kern w:val="0"/>
          <w:sz w:val="44"/>
          <w:szCs w:val="44"/>
        </w:rPr>
      </w:pPr>
    </w:p>
    <w:p>
      <w:pPr>
        <w:jc w:val="both"/>
        <w:rPr>
          <w:rFonts w:hint="eastAsia" w:ascii="黑体" w:hAnsi="宋体" w:eastAsia="黑体"/>
          <w:color w:val="000000"/>
          <w:kern w:val="0"/>
          <w:sz w:val="44"/>
          <w:szCs w:val="44"/>
        </w:rPr>
      </w:pPr>
    </w:p>
    <w:p>
      <w:pPr>
        <w:jc w:val="both"/>
        <w:rPr>
          <w:rFonts w:hint="eastAsia" w:ascii="黑体" w:hAnsi="宋体" w:eastAsia="黑体"/>
          <w:color w:val="000000"/>
          <w:kern w:val="0"/>
          <w:sz w:val="44"/>
          <w:szCs w:val="44"/>
        </w:rPr>
      </w:pPr>
    </w:p>
    <w:p>
      <w:pPr>
        <w:numPr>
          <w:ilvl w:val="0"/>
          <w:numId w:val="1"/>
        </w:numPr>
        <w:ind w:left="0" w:leftChars="0" w:firstLine="0" w:firstLineChars="0"/>
        <w:jc w:val="center"/>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lang w:eastAsia="zh-CN"/>
        </w:rPr>
        <w:t>2020年</w:t>
      </w:r>
      <w:r>
        <w:rPr>
          <w:rFonts w:hint="eastAsia" w:asciiTheme="majorEastAsia" w:hAnsiTheme="majorEastAsia" w:eastAsiaTheme="majorEastAsia" w:cstheme="majorEastAsia"/>
          <w:b/>
          <w:bCs/>
          <w:color w:val="000000"/>
          <w:kern w:val="0"/>
          <w:sz w:val="44"/>
          <w:szCs w:val="44"/>
        </w:rPr>
        <w:t>部门决算情况说明</w:t>
      </w:r>
    </w:p>
    <w:p>
      <w:pPr>
        <w:numPr>
          <w:ilvl w:val="0"/>
          <w:numId w:val="0"/>
        </w:numPr>
        <w:ind w:leftChars="0"/>
        <w:jc w:val="both"/>
        <w:rPr>
          <w:rFonts w:hint="eastAsia" w:asciiTheme="majorEastAsia" w:hAnsiTheme="majorEastAsia" w:eastAsiaTheme="majorEastAsia" w:cstheme="majorEastAsia"/>
          <w:b/>
          <w:bCs/>
          <w:color w:val="000000"/>
          <w:kern w:val="0"/>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sz w:val="32"/>
          <w:szCs w:val="32"/>
          <w:highlight w:val="red"/>
        </w:rPr>
      </w:pPr>
      <w:r>
        <w:rPr>
          <w:rFonts w:hint="eastAsia" w:asciiTheme="minorEastAsia" w:hAnsiTheme="minorEastAsia" w:eastAsiaTheme="minorEastAsia" w:cstheme="minorEastAsia"/>
          <w:b/>
          <w:bCs/>
          <w:color w:val="000000"/>
          <w:kern w:val="0"/>
          <w:sz w:val="32"/>
          <w:szCs w:val="32"/>
          <w:lang w:bidi="ar"/>
        </w:rPr>
        <w:t>一、收入支出决算总体情况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lang w:eastAsia="zh-CN"/>
        </w:rPr>
        <w:t>2020年度</w:t>
      </w:r>
      <w:r>
        <w:rPr>
          <w:rFonts w:hint="eastAsia" w:ascii="仿宋_GB2312" w:hAnsi="仿宋" w:eastAsia="仿宋_GB2312"/>
          <w:sz w:val="32"/>
          <w:szCs w:val="32"/>
        </w:rPr>
        <w:t>收入</w:t>
      </w:r>
      <w:r>
        <w:rPr>
          <w:rFonts w:hint="eastAsia" w:ascii="仿宋_GB2312" w:hAnsi="仿宋" w:eastAsia="仿宋_GB2312"/>
          <w:sz w:val="32"/>
          <w:szCs w:val="32"/>
          <w:lang w:val="en-US" w:eastAsia="zh-CN"/>
        </w:rPr>
        <w:t>148.24万元，其中本年一般公共预算财政拨款118.24万元，年初结转结余30.00万元。</w:t>
      </w:r>
      <w:r>
        <w:rPr>
          <w:rFonts w:hint="eastAsia" w:ascii="仿宋_GB2312" w:hAnsi="仿宋" w:eastAsia="仿宋_GB2312"/>
          <w:sz w:val="32"/>
          <w:szCs w:val="32"/>
        </w:rPr>
        <w:t>总体比上年</w:t>
      </w:r>
      <w:r>
        <w:rPr>
          <w:rFonts w:hint="eastAsia" w:ascii="仿宋_GB2312" w:hAnsi="仿宋" w:eastAsia="仿宋_GB2312"/>
          <w:sz w:val="32"/>
          <w:szCs w:val="32"/>
          <w:lang w:val="en-US" w:eastAsia="zh-CN"/>
        </w:rPr>
        <w:t>增加11.57万元，</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8%</w:t>
      </w:r>
      <w:r>
        <w:rPr>
          <w:rFonts w:hint="eastAsia" w:ascii="仿宋_GB2312" w:hAnsi="仿宋" w:eastAsia="仿宋_GB2312"/>
          <w:sz w:val="32"/>
          <w:szCs w:val="32"/>
        </w:rPr>
        <w:t>，主要原因</w:t>
      </w:r>
      <w:r>
        <w:rPr>
          <w:rFonts w:hint="eastAsia" w:ascii="仿宋_GB2312" w:hAnsi="仿宋" w:eastAsia="仿宋_GB2312"/>
          <w:sz w:val="32"/>
          <w:szCs w:val="32"/>
          <w:lang w:val="en-US" w:eastAsia="zh-CN"/>
        </w:rPr>
        <w:t>是本年度项目资金收入增加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lang w:eastAsia="zh-CN"/>
        </w:rPr>
        <w:t>度</w:t>
      </w:r>
      <w:r>
        <w:rPr>
          <w:rFonts w:hint="eastAsia" w:ascii="仿宋_GB2312" w:hAnsi="仿宋" w:eastAsia="仿宋_GB2312"/>
          <w:sz w:val="32"/>
          <w:szCs w:val="32"/>
        </w:rPr>
        <w:t>年支出</w:t>
      </w:r>
      <w:r>
        <w:rPr>
          <w:rFonts w:hint="eastAsia" w:ascii="仿宋_GB2312" w:hAnsi="仿宋" w:eastAsia="仿宋_GB2312"/>
          <w:sz w:val="32"/>
          <w:szCs w:val="32"/>
          <w:lang w:val="en-US" w:eastAsia="zh-CN"/>
        </w:rPr>
        <w:t>148.24万元，</w:t>
      </w:r>
      <w:r>
        <w:rPr>
          <w:rFonts w:hint="eastAsia" w:ascii="仿宋_GB2312" w:hAnsi="仿宋" w:eastAsia="仿宋_GB2312"/>
          <w:sz w:val="32"/>
          <w:szCs w:val="32"/>
        </w:rPr>
        <w:t>其中本年一般公共预算财政拨款118.24万元，年初结转结余30.00万元。总体比上年增加</w:t>
      </w:r>
      <w:r>
        <w:rPr>
          <w:rFonts w:hint="eastAsia" w:ascii="仿宋_GB2312" w:hAnsi="仿宋" w:eastAsia="仿宋_GB2312"/>
          <w:sz w:val="32"/>
          <w:szCs w:val="32"/>
          <w:lang w:val="en-US" w:eastAsia="zh-CN"/>
        </w:rPr>
        <w:t>41.57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39</w:t>
      </w:r>
      <w:r>
        <w:rPr>
          <w:rFonts w:hint="eastAsia" w:ascii="仿宋_GB2312" w:hAnsi="仿宋" w:eastAsia="仿宋_GB2312"/>
          <w:sz w:val="32"/>
          <w:szCs w:val="32"/>
        </w:rPr>
        <w:t>%，主要原因</w:t>
      </w:r>
      <w:r>
        <w:rPr>
          <w:rFonts w:hint="eastAsia" w:ascii="仿宋_GB2312" w:hAnsi="仿宋" w:eastAsia="仿宋_GB2312"/>
          <w:sz w:val="32"/>
          <w:szCs w:val="32"/>
          <w:lang w:val="en-US" w:eastAsia="zh-CN"/>
        </w:rPr>
        <w:t>是上年度结转资金在本年度列支</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drawing>
          <wp:anchor distT="0" distB="0" distL="114300" distR="114300" simplePos="0" relativeHeight="251661312" behindDoc="0" locked="0" layoutInCell="1" allowOverlap="1">
            <wp:simplePos x="0" y="0"/>
            <wp:positionH relativeFrom="column">
              <wp:posOffset>398145</wp:posOffset>
            </wp:positionH>
            <wp:positionV relativeFrom="paragraph">
              <wp:posOffset>229870</wp:posOffset>
            </wp:positionV>
            <wp:extent cx="4495165" cy="2948305"/>
            <wp:effectExtent l="4445" t="4445" r="15240" b="19050"/>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eastAsia="zh-CN" w:bidi="ar"/>
        </w:rPr>
      </w:pPr>
      <w:r>
        <w:rPr>
          <w:rFonts w:hint="eastAsia" w:ascii="黑体" w:hAnsi="黑体" w:eastAsia="黑体"/>
          <w:color w:val="000000"/>
          <w:kern w:val="0"/>
          <w:sz w:val="32"/>
          <w:szCs w:val="32"/>
          <w:lang w:bidi="ar"/>
        </w:rPr>
        <w:t>二</w:t>
      </w:r>
      <w:r>
        <w:rPr>
          <w:rFonts w:hint="eastAsia" w:asciiTheme="minorEastAsia" w:hAnsiTheme="minorEastAsia" w:eastAsiaTheme="minorEastAsia" w:cstheme="minorEastAsia"/>
          <w:b/>
          <w:bCs/>
          <w:color w:val="000000"/>
          <w:kern w:val="0"/>
          <w:sz w:val="32"/>
          <w:szCs w:val="32"/>
          <w:lang w:bidi="ar"/>
        </w:rPr>
        <w:t>、收入决算情况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148.24</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val="en-US" w:eastAsia="zh-CN" w:bidi="ar"/>
        </w:rPr>
        <w:t>148.24</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%；经营收入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%；其他收入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drawing>
          <wp:anchor distT="0" distB="0" distL="114300" distR="114300" simplePos="0" relativeHeight="251662336" behindDoc="0" locked="0" layoutInCell="1" allowOverlap="1">
            <wp:simplePos x="0" y="0"/>
            <wp:positionH relativeFrom="column">
              <wp:posOffset>639445</wp:posOffset>
            </wp:positionH>
            <wp:positionV relativeFrom="paragraph">
              <wp:posOffset>20320</wp:posOffset>
            </wp:positionV>
            <wp:extent cx="3817620" cy="1965960"/>
            <wp:effectExtent l="4445" t="4445" r="6985" b="1079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24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red"/>
        </w:rPr>
      </w:pPr>
      <w:r>
        <w:rPr>
          <w:rFonts w:hint="eastAsia" w:ascii="黑体" w:hAnsi="黑体" w:eastAsia="黑体"/>
          <w:color w:val="000000"/>
          <w:kern w:val="0"/>
          <w:sz w:val="32"/>
          <w:szCs w:val="32"/>
          <w:lang w:bidi="ar"/>
        </w:rPr>
        <w:t>三、</w:t>
      </w:r>
      <w:r>
        <w:rPr>
          <w:rFonts w:hint="eastAsia" w:asciiTheme="minorEastAsia" w:hAnsiTheme="minorEastAsia" w:eastAsiaTheme="minorEastAsia" w:cstheme="minorEastAsia"/>
          <w:b/>
          <w:bCs/>
          <w:color w:val="000000"/>
          <w:kern w:val="0"/>
          <w:sz w:val="32"/>
          <w:szCs w:val="32"/>
          <w:lang w:bidi="ar"/>
        </w:rPr>
        <w:t>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148.24</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104.24</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70</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44</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30</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drawing>
          <wp:anchor distT="0" distB="0" distL="114300" distR="114300" simplePos="0" relativeHeight="251663360" behindDoc="0" locked="0" layoutInCell="1" allowOverlap="1">
            <wp:simplePos x="0" y="0"/>
            <wp:positionH relativeFrom="column">
              <wp:posOffset>501650</wp:posOffset>
            </wp:positionH>
            <wp:positionV relativeFrom="paragraph">
              <wp:posOffset>44450</wp:posOffset>
            </wp:positionV>
            <wp:extent cx="3901440" cy="2029460"/>
            <wp:effectExtent l="5080" t="4445" r="17780" b="23495"/>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20" w:lineRule="exact"/>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黑体" w:hAnsi="黑体" w:eastAsia="黑体"/>
          <w:color w:val="000000"/>
          <w:kern w:val="0"/>
          <w:sz w:val="32"/>
          <w:szCs w:val="32"/>
          <w:lang w:bidi="ar"/>
        </w:rPr>
        <w:t>四</w:t>
      </w:r>
      <w:r>
        <w:rPr>
          <w:rFonts w:hint="eastAsia" w:asciiTheme="minorEastAsia" w:hAnsiTheme="minorEastAsia" w:eastAsiaTheme="minorEastAsia" w:cstheme="minorEastAsia"/>
          <w:b/>
          <w:bCs/>
          <w:color w:val="000000"/>
          <w:kern w:val="0"/>
          <w:sz w:val="32"/>
          <w:szCs w:val="32"/>
          <w:lang w:bidi="ar"/>
        </w:rPr>
        <w:t>、财政拨款收入支出决算总体情况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lang w:eastAsia="zh-CN"/>
        </w:rPr>
        <w:t>2020年度</w:t>
      </w:r>
      <w:r>
        <w:rPr>
          <w:rFonts w:hint="eastAsia" w:ascii="仿宋_GB2312" w:hAnsi="仿宋" w:eastAsia="仿宋_GB2312"/>
          <w:sz w:val="32"/>
          <w:szCs w:val="32"/>
          <w:lang w:val="en-US" w:eastAsia="zh-CN"/>
        </w:rPr>
        <w:t>本年</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w:t>
      </w:r>
      <w:r>
        <w:rPr>
          <w:rFonts w:hint="eastAsia" w:ascii="仿宋_GB2312" w:hAnsi="仿宋" w:eastAsia="仿宋_GB2312"/>
          <w:sz w:val="32"/>
          <w:szCs w:val="32"/>
          <w:lang w:val="en-US" w:eastAsia="zh-CN"/>
        </w:rPr>
        <w:t>118.24万元，年初结转结余30.00万元，总计148.24万元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2019年相比</w:t>
      </w:r>
      <w:r>
        <w:rPr>
          <w:rFonts w:hint="eastAsia" w:ascii="仿宋_GB2312" w:hAnsi="仿宋" w:eastAsia="仿宋_GB2312"/>
          <w:sz w:val="32"/>
          <w:szCs w:val="32"/>
        </w:rPr>
        <w:t>增</w:t>
      </w:r>
      <w:r>
        <w:rPr>
          <w:rFonts w:hint="eastAsia" w:ascii="仿宋_GB2312" w:hAnsi="仿宋" w:eastAsia="仿宋_GB2312"/>
          <w:sz w:val="32"/>
          <w:szCs w:val="32"/>
          <w:lang w:val="en-US" w:eastAsia="zh-CN"/>
        </w:rPr>
        <w:t>加11.57</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8%</w:t>
      </w:r>
      <w:r>
        <w:rPr>
          <w:rFonts w:hint="eastAsia" w:ascii="仿宋_GB2312" w:hAnsi="仿宋" w:eastAsia="仿宋_GB2312"/>
          <w:sz w:val="32"/>
          <w:szCs w:val="32"/>
        </w:rPr>
        <w:t>，主要原因</w:t>
      </w:r>
      <w:r>
        <w:rPr>
          <w:rFonts w:hint="eastAsia" w:ascii="仿宋_GB2312" w:hAnsi="仿宋" w:eastAsia="仿宋_GB2312"/>
          <w:sz w:val="32"/>
          <w:szCs w:val="32"/>
          <w:lang w:val="en-US" w:eastAsia="zh-CN"/>
        </w:rPr>
        <w:t>是本年度项目资金收入增加</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lang w:eastAsia="zh-CN"/>
        </w:rPr>
        <w:t>2020年度</w:t>
      </w:r>
      <w:r>
        <w:rPr>
          <w:rFonts w:hint="eastAsia" w:ascii="仿宋_GB2312" w:hAnsi="仿宋" w:eastAsia="仿宋_GB2312"/>
          <w:sz w:val="32"/>
          <w:szCs w:val="32"/>
          <w:lang w:val="en-US" w:eastAsia="zh-CN"/>
        </w:rPr>
        <w:t>本年</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118.24万元，年初结转结余30.00万元，</w:t>
      </w:r>
      <w:r>
        <w:rPr>
          <w:rFonts w:hint="eastAsia" w:ascii="仿宋_GB2312" w:hAnsi="仿宋" w:eastAsia="仿宋_GB2312"/>
          <w:sz w:val="32"/>
          <w:szCs w:val="32"/>
        </w:rPr>
        <w:t>总</w:t>
      </w:r>
      <w:r>
        <w:rPr>
          <w:rFonts w:hint="eastAsia" w:ascii="仿宋_GB2312" w:hAnsi="仿宋" w:eastAsia="仿宋_GB2312"/>
          <w:sz w:val="32"/>
          <w:szCs w:val="32"/>
          <w:lang w:val="en-US" w:eastAsia="zh-CN"/>
        </w:rPr>
        <w:t>计148.24万元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2019年相比</w:t>
      </w:r>
      <w:r>
        <w:rPr>
          <w:rFonts w:hint="eastAsia" w:ascii="仿宋_GB2312" w:hAnsi="仿宋" w:eastAsia="仿宋_GB2312"/>
          <w:sz w:val="32"/>
          <w:szCs w:val="32"/>
        </w:rPr>
        <w:t>增</w:t>
      </w:r>
      <w:r>
        <w:rPr>
          <w:rFonts w:hint="eastAsia" w:ascii="仿宋_GB2312" w:hAnsi="仿宋" w:eastAsia="仿宋_GB2312"/>
          <w:sz w:val="32"/>
          <w:szCs w:val="32"/>
          <w:lang w:val="en-US" w:eastAsia="zh-CN"/>
        </w:rPr>
        <w:t>加41.57</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39%</w:t>
      </w:r>
      <w:r>
        <w:rPr>
          <w:rFonts w:hint="eastAsia" w:ascii="仿宋_GB2312" w:hAnsi="仿宋" w:eastAsia="仿宋_GB2312"/>
          <w:sz w:val="32"/>
          <w:szCs w:val="32"/>
        </w:rPr>
        <w:t>，主要原因</w:t>
      </w:r>
      <w:r>
        <w:rPr>
          <w:rFonts w:hint="eastAsia" w:ascii="仿宋_GB2312" w:hAnsi="仿宋" w:eastAsia="仿宋_GB2312"/>
          <w:sz w:val="32"/>
          <w:szCs w:val="32"/>
          <w:lang w:val="en-US" w:eastAsia="zh-CN"/>
        </w:rPr>
        <w:t>是上年的结转资金在本年度列支</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drawing>
          <wp:anchor distT="0" distB="0" distL="114300" distR="114300" simplePos="0" relativeHeight="251664384" behindDoc="0" locked="0" layoutInCell="1" allowOverlap="1">
            <wp:simplePos x="0" y="0"/>
            <wp:positionH relativeFrom="column">
              <wp:posOffset>567690</wp:posOffset>
            </wp:positionH>
            <wp:positionV relativeFrom="paragraph">
              <wp:posOffset>12065</wp:posOffset>
            </wp:positionV>
            <wp:extent cx="4135120" cy="2411095"/>
            <wp:effectExtent l="4445" t="4445" r="5715" b="7620"/>
            <wp:wrapNone/>
            <wp:docPr id="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五、一般公共预算财政拨款支出决算情况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sz w:val="32"/>
          <w:szCs w:val="32"/>
          <w:highlight w:val="red"/>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度财政拨款支出</w:t>
      </w:r>
      <w:r>
        <w:rPr>
          <w:rFonts w:hint="eastAsia" w:ascii="仿宋_GB2312" w:hAnsi="仿宋" w:eastAsia="仿宋_GB2312"/>
          <w:sz w:val="32"/>
          <w:szCs w:val="32"/>
          <w:lang w:val="en-US" w:eastAsia="zh-CN"/>
        </w:rPr>
        <w:t>总计148.24万元，其中本年</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118.24</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val="en-US" w:eastAsia="zh-CN" w:bidi="ar"/>
        </w:rPr>
        <w:t>占本年支出合计的80%；年初结转结余30.00万元，</w:t>
      </w:r>
      <w:r>
        <w:rPr>
          <w:rFonts w:ascii="仿宋_GB2312" w:hAnsi="宋体" w:eastAsia="仿宋_GB2312" w:cs="仿宋_GB2312"/>
          <w:color w:val="000000"/>
          <w:kern w:val="0"/>
          <w:sz w:val="32"/>
          <w:szCs w:val="32"/>
          <w:lang w:bidi="ar"/>
        </w:rPr>
        <w:t>占本年支出合计的</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41.57</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39</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原因是上年的结转资金在本年度列支。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宋体" w:eastAsia="楷体_GB2312" w:cs="楷体_GB2312"/>
          <w:b/>
          <w:color w:val="000000"/>
          <w:kern w:val="0"/>
          <w:sz w:val="32"/>
          <w:szCs w:val="32"/>
          <w:lang w:bidi="ar"/>
        </w:rPr>
      </w:pPr>
      <w:r>
        <w:drawing>
          <wp:anchor distT="0" distB="0" distL="114300" distR="114300" simplePos="0" relativeHeight="251665408" behindDoc="0" locked="0" layoutInCell="1" allowOverlap="1">
            <wp:simplePos x="0" y="0"/>
            <wp:positionH relativeFrom="column">
              <wp:posOffset>466725</wp:posOffset>
            </wp:positionH>
            <wp:positionV relativeFrom="paragraph">
              <wp:posOffset>52705</wp:posOffset>
            </wp:positionV>
            <wp:extent cx="4225925" cy="2296160"/>
            <wp:effectExtent l="5080" t="4445" r="17145" b="23495"/>
            <wp:wrapNone/>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4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4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4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4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4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4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4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4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sz w:val="32"/>
          <w:szCs w:val="32"/>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95.55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148.24</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155</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1.一般公共服务支出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87.55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100.93</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115</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全部为民主党派及工商联事务支出，用于人员工资及办公支出。</w:t>
      </w:r>
      <w:r>
        <w:rPr>
          <w:rFonts w:ascii="仿宋_GB2312" w:hAnsi="宋体" w:eastAsia="仿宋_GB2312" w:cs="仿宋_GB2312"/>
          <w:color w:val="000000"/>
          <w:kern w:val="0"/>
          <w:sz w:val="32"/>
          <w:szCs w:val="32"/>
          <w:lang w:bidi="ar"/>
        </w:rPr>
        <w:t>决算数大于预算数的主要原因是</w:t>
      </w:r>
      <w:r>
        <w:rPr>
          <w:rFonts w:hint="eastAsia" w:ascii="仿宋_GB2312" w:hAnsi="宋体" w:eastAsia="仿宋_GB2312" w:cs="仿宋_GB2312"/>
          <w:color w:val="000000"/>
          <w:kern w:val="0"/>
          <w:sz w:val="32"/>
          <w:szCs w:val="32"/>
          <w:lang w:val="en-US" w:eastAsia="zh-CN" w:bidi="ar"/>
        </w:rPr>
        <w:t>人员工资及社会保障缴费支出增加。其中：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行政运行，年初预算为81.55万元，支出决算为94.93万元，完成预算的115%，用于人员工资、社会保险缴费及日常办公支出。决算数大于预算数的主要原因是社会保险缴费支出未纳入年初预算，但上述费用在本年度列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一般行政管理事务，年初预算为6.00万元，支出决算为6.00万元，预算数与决算数持平，主要用于企业培训、参政议政、商务活动等。</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color w:val="000000"/>
          <w:kern w:val="0"/>
          <w:sz w:val="32"/>
          <w:szCs w:val="32"/>
          <w:lang w:bidi="ar"/>
        </w:rPr>
      </w:pPr>
      <w:r>
        <w:rPr>
          <w:rFonts w:ascii="仿宋_GB2312" w:hAnsi="宋体" w:eastAsia="仿宋_GB2312" w:cs="仿宋_GB2312"/>
          <w:b/>
          <w:color w:val="000000"/>
          <w:kern w:val="0"/>
          <w:sz w:val="32"/>
          <w:szCs w:val="32"/>
          <w:lang w:bidi="ar"/>
        </w:rPr>
        <w:t>2.</w:t>
      </w:r>
      <w:r>
        <w:rPr>
          <w:rFonts w:hint="eastAsia" w:ascii="仿宋_GB2312" w:hAnsi="宋体" w:eastAsia="仿宋_GB2312" w:cs="仿宋_GB2312"/>
          <w:b/>
          <w:color w:val="000000"/>
          <w:kern w:val="0"/>
          <w:sz w:val="32"/>
          <w:szCs w:val="32"/>
          <w:lang w:val="en-US" w:eastAsia="zh-CN" w:bidi="ar"/>
        </w:rPr>
        <w:t>科学技术支出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年初预算数为8.00万元，支出决算数为38.00万元，完成预算的475%。全部为科学技术普及支出，用于开展科普活动，宣传科普知识。支出决算数大于预算数的主要原因是省、市级科普专项经费于年中拨付，未纳入年初预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3社会保障和就业支出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无年初预算，支出决算为7.27万元，全部为行政事业单位养老支出，用于缴纳职工养老保险。决算数大于预算数的主要原因是该笔资金未纳入年初预算。具体为：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机关事业单位基本养老保险缴费支出，无年初预算，支 出决算为7.27万元。用于缴纳职工养老保险。决算数大于预算数的主要原因是该笔资金未纳入年初预算。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4.卫生健康支出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无年初预算，支出决算为2.04万元，全部为行政事业单位医疗支出，用于缴纳职工医疗保险。决算数大于预算数的主要原因是该笔资金未纳入年初预算。具体为：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行政单位医疗，无年初预算，支出决算为2.04万元。用于缴纳职工医疗保险。决算数大于预算数的主要原因是该笔资金未纳入年初预算。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bidi="ar"/>
        </w:rPr>
        <w:t>六、一般公共预算财政拨款基本支出决算情况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2020年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104.24</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94.20</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10.04</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94.20</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基本工资30.27万元，用于人员工资支出。津贴补贴 19.32万元，用于人员各类津补贴支出。奖金19.61万元， 用于发放年终奖金。机关事业单位基本养老保险缴费7.27万元，用于缴纳职工养老保险。职业年金缴费1.83万元，用于缴存职工职业年金。职工基本医疗保险缴费2.63万元， 用于缴纳职工医疗保险。住房公积金 13.27万元，用于缴纳职工住房公积金。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10.04</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办公费1.78万元，用于日常办公支出。电费0.23万元，用于缴纳单位电费。邮电费0.30万元，用于办公固定电话费支出。差旅费0.30万元，用于因公外出补助。维修(护)费 0.28 万元，主要用于电脑维修及网络维护。会议费0.10万元，用于召开会议支出。公务接待费0.16万元，用于来访人员餐费支出。劳务费0.31万元，主要用于劳务服务支出。工会经费0.48万元，用于工会支出。公务用车运行维护费0.44 万元，用于公车燃油费、车险、车辆维修费支出。其他交通费用5.66万元，用于职工公车补助。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七、一般公共预算财政拨款“三公”经费及会议费、培训费支出决算情况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3.23</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0.60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2</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2.63</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严格遵守中央八项规定，缩减“三公”经费支出</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0.44</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73</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0.16</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27</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eastAsia="zh-CN"/>
        </w:rPr>
        <w:t>2020年度</w:t>
      </w:r>
      <w:r>
        <w:rPr>
          <w:rFonts w:hint="eastAsia" w:ascii="仿宋_GB2312" w:hAnsi="仿宋" w:eastAsia="仿宋_GB2312"/>
          <w:sz w:val="32"/>
          <w:szCs w:val="32"/>
          <w:lang w:val="en-US" w:eastAsia="zh-CN"/>
        </w:rPr>
        <w:t>无</w:t>
      </w:r>
      <w:r>
        <w:rPr>
          <w:rFonts w:hint="eastAsia" w:ascii="仿宋_GB2312" w:hAnsi="仿宋" w:eastAsia="仿宋_GB2312"/>
          <w:sz w:val="32"/>
          <w:szCs w:val="32"/>
        </w:rPr>
        <w:t>因公出国（境）</w:t>
      </w:r>
      <w:r>
        <w:rPr>
          <w:rFonts w:hint="eastAsia" w:ascii="仿宋_GB2312" w:hAnsi="仿宋" w:eastAsia="仿宋_GB2312"/>
          <w:sz w:val="32"/>
          <w:szCs w:val="32"/>
          <w:lang w:val="en-US" w:eastAsia="zh-CN"/>
        </w:rPr>
        <w:t>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eastAsia="zh-CN"/>
        </w:rPr>
        <w:t>2020年度</w:t>
      </w:r>
      <w:r>
        <w:rPr>
          <w:rFonts w:hint="eastAsia" w:ascii="仿宋_GB2312" w:hAnsi="仿宋" w:eastAsia="仿宋_GB2312"/>
          <w:sz w:val="32"/>
          <w:szCs w:val="32"/>
          <w:lang w:val="en-US" w:eastAsia="zh-CN"/>
        </w:rPr>
        <w:t>无公务用车</w:t>
      </w:r>
      <w:r>
        <w:rPr>
          <w:rFonts w:hint="eastAsia" w:ascii="仿宋_GB2312" w:hAnsi="仿宋" w:eastAsia="仿宋_GB2312"/>
          <w:sz w:val="32"/>
          <w:szCs w:val="32"/>
        </w:rPr>
        <w:t>购置</w:t>
      </w:r>
      <w:r>
        <w:rPr>
          <w:rFonts w:hint="eastAsia" w:ascii="仿宋_GB2312" w:hAnsi="仿宋" w:eastAsia="仿宋_GB2312"/>
          <w:sz w:val="32"/>
          <w:szCs w:val="32"/>
          <w:lang w:val="en-US" w:eastAsia="zh-CN"/>
        </w:rPr>
        <w:t>支出</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2.85</w:t>
      </w:r>
      <w:r>
        <w:rPr>
          <w:rFonts w:ascii="仿宋_GB2312" w:hAnsi="宋体" w:eastAsia="仿宋_GB2312" w:cs="仿宋_GB2312"/>
          <w:color w:val="000000"/>
          <w:kern w:val="0"/>
          <w:sz w:val="32"/>
          <w:szCs w:val="32"/>
          <w:lang w:bidi="ar"/>
        </w:rPr>
        <w:t>元，支出决算为</w:t>
      </w:r>
      <w:r>
        <w:rPr>
          <w:rFonts w:hint="eastAsia" w:ascii="仿宋_GB2312" w:hAnsi="宋体" w:eastAsia="仿宋_GB2312" w:cs="仿宋_GB2312"/>
          <w:color w:val="000000"/>
          <w:kern w:val="0"/>
          <w:sz w:val="32"/>
          <w:szCs w:val="32"/>
          <w:lang w:val="en-US" w:eastAsia="zh-CN" w:bidi="ar"/>
        </w:rPr>
        <w:t>0.44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2.41万</w:t>
      </w:r>
      <w:r>
        <w:rPr>
          <w:rFonts w:hint="eastAsia" w:ascii="仿宋_GB2312" w:hAnsi="宋体" w:eastAsia="仿宋_GB2312" w:cs="仿宋_GB2312"/>
          <w:color w:val="000000"/>
          <w:kern w:val="0"/>
          <w:sz w:val="32"/>
          <w:szCs w:val="32"/>
          <w:lang w:bidi="ar"/>
        </w:rPr>
        <w:t>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bidi="ar"/>
        </w:rPr>
        <w:t>严格遵守中央八项规定，缩减“三公”经费支出。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0.38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0.16</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42</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0.22</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bidi="ar"/>
        </w:rPr>
        <w:t>严格遵守中央八项规定，缩减“三公”经费支出。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宋体" w:eastAsia="仿宋_GB2312" w:cs="仿宋_GB2312"/>
          <w:color w:val="000000"/>
          <w:kern w:val="0"/>
          <w:sz w:val="32"/>
          <w:szCs w:val="32"/>
          <w:lang w:bidi="ar"/>
        </w:rPr>
      </w:pPr>
      <w:r>
        <w:drawing>
          <wp:anchor distT="0" distB="0" distL="114300" distR="114300" simplePos="0" relativeHeight="251666432" behindDoc="0" locked="0" layoutInCell="1" allowOverlap="1">
            <wp:simplePos x="0" y="0"/>
            <wp:positionH relativeFrom="column">
              <wp:posOffset>417830</wp:posOffset>
            </wp:positionH>
            <wp:positionV relativeFrom="paragraph">
              <wp:posOffset>26670</wp:posOffset>
            </wp:positionV>
            <wp:extent cx="4585970" cy="2600325"/>
            <wp:effectExtent l="4445" t="5080" r="19685" b="4445"/>
            <wp:wrapNone/>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宋体" w:eastAsia="楷体_GB2312" w:cs="楷体_GB2312"/>
          <w:b/>
          <w:color w:val="000000"/>
          <w:kern w:val="0"/>
          <w:sz w:val="32"/>
          <w:szCs w:val="32"/>
          <w:lang w:bidi="ar"/>
        </w:rPr>
      </w:pPr>
      <w:r>
        <w:drawing>
          <wp:anchor distT="0" distB="0" distL="114300" distR="114300" simplePos="0" relativeHeight="251667456" behindDoc="0" locked="0" layoutInCell="1" allowOverlap="1">
            <wp:simplePos x="0" y="0"/>
            <wp:positionH relativeFrom="column">
              <wp:posOffset>431165</wp:posOffset>
            </wp:positionH>
            <wp:positionV relativeFrom="paragraph">
              <wp:posOffset>347345</wp:posOffset>
            </wp:positionV>
            <wp:extent cx="4592955" cy="2845435"/>
            <wp:effectExtent l="4445" t="5080" r="12700" b="6985"/>
            <wp:wrapNone/>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楷体_GB2312" w:hAnsi="宋体" w:eastAsia="楷体_GB2312" w:cs="楷体_GB2312"/>
          <w:b/>
          <w:color w:val="000000"/>
          <w:kern w:val="0"/>
          <w:sz w:val="32"/>
          <w:szCs w:val="32"/>
          <w:lang w:val="en-US" w:eastAsia="zh-CN" w:bidi="ar"/>
        </w:rPr>
      </w:pPr>
      <w:r>
        <w:rPr>
          <w:rFonts w:hint="eastAsia" w:ascii="楷体_GB2312" w:hAnsi="宋体" w:eastAsia="楷体_GB2312" w:cs="楷体_GB2312"/>
          <w:b/>
          <w:color w:val="000000"/>
          <w:kern w:val="0"/>
          <w:sz w:val="32"/>
          <w:szCs w:val="32"/>
          <w:lang w:eastAsia="zh-CN" w:bidi="ar"/>
        </w:rPr>
        <w:t>（</w:t>
      </w:r>
      <w:r>
        <w:rPr>
          <w:rFonts w:hint="eastAsia" w:ascii="楷体_GB2312" w:hAnsi="宋体" w:eastAsia="楷体_GB2312" w:cs="楷体_GB2312"/>
          <w:b/>
          <w:color w:val="000000"/>
          <w:kern w:val="0"/>
          <w:sz w:val="32"/>
          <w:szCs w:val="32"/>
          <w:lang w:val="en-US" w:eastAsia="zh-CN" w:bidi="ar"/>
        </w:rPr>
        <w:t>三</w:t>
      </w:r>
      <w:r>
        <w:rPr>
          <w:rFonts w:hint="eastAsia" w:ascii="楷体_GB2312" w:hAnsi="宋体" w:eastAsia="楷体_GB2312" w:cs="楷体_GB2312"/>
          <w:b/>
          <w:color w:val="000000"/>
          <w:kern w:val="0"/>
          <w:sz w:val="32"/>
          <w:szCs w:val="32"/>
          <w:lang w:eastAsia="zh-CN" w:bidi="ar"/>
        </w:rPr>
        <w:t>）</w:t>
      </w:r>
      <w:r>
        <w:rPr>
          <w:rFonts w:hint="eastAsia" w:ascii="楷体_GB2312" w:hAnsi="宋体" w:eastAsia="楷体_GB2312" w:cs="楷体_GB2312"/>
          <w:b/>
          <w:color w:val="000000"/>
          <w:kern w:val="0"/>
          <w:sz w:val="32"/>
          <w:szCs w:val="32"/>
          <w:lang w:val="en-US" w:eastAsia="zh-CN" w:bidi="ar"/>
        </w:rPr>
        <w:t>培训费支出情况说明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 w:eastAsia="仿宋_GB2312"/>
          <w:sz w:val="32"/>
          <w:szCs w:val="32"/>
          <w:lang w:val="en-US" w:eastAsia="zh-CN"/>
        </w:rPr>
        <w:t>无</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val="en-US" w:eastAsia="zh-CN"/>
        </w:rPr>
        <w:t>年初</w:t>
      </w:r>
      <w:r>
        <w:rPr>
          <w:rFonts w:ascii="仿宋_GB2312" w:hAnsi="宋体" w:eastAsia="仿宋_GB2312" w:cs="仿宋_GB2312"/>
          <w:color w:val="000000"/>
          <w:kern w:val="0"/>
          <w:sz w:val="32"/>
          <w:szCs w:val="32"/>
          <w:lang w:bidi="ar"/>
        </w:rPr>
        <w:t>预算，支出决算为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0.10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0.10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八、政府性基金预算财政拨款收入支出情况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九、国有资本经营财政拨款收</w:t>
      </w:r>
      <w:r>
        <w:rPr>
          <w:rFonts w:hint="eastAsia" w:asciiTheme="minorEastAsia" w:hAnsiTheme="minorEastAsia" w:eastAsiaTheme="minorEastAsia" w:cstheme="minorEastAsia"/>
          <w:b/>
          <w:bCs/>
          <w:color w:val="000000"/>
          <w:kern w:val="0"/>
          <w:sz w:val="32"/>
          <w:szCs w:val="32"/>
          <w:lang w:eastAsia="zh-CN" w:bidi="ar"/>
        </w:rPr>
        <w:t>入</w:t>
      </w:r>
      <w:r>
        <w:rPr>
          <w:rFonts w:hint="eastAsia" w:asciiTheme="minorEastAsia" w:hAnsiTheme="minorEastAsia" w:eastAsiaTheme="minorEastAsia" w:cstheme="minorEastAsia"/>
          <w:b/>
          <w:bCs/>
          <w:color w:val="000000"/>
          <w:kern w:val="0"/>
          <w:sz w:val="32"/>
          <w:szCs w:val="32"/>
          <w:lang w:bidi="ar"/>
        </w:rPr>
        <w:t>支</w:t>
      </w:r>
      <w:r>
        <w:rPr>
          <w:rFonts w:hint="eastAsia" w:asciiTheme="minorEastAsia" w:hAnsiTheme="minorEastAsia" w:eastAsiaTheme="minorEastAsia" w:cstheme="minorEastAsia"/>
          <w:b/>
          <w:bCs/>
          <w:color w:val="000000"/>
          <w:kern w:val="0"/>
          <w:sz w:val="32"/>
          <w:szCs w:val="32"/>
          <w:lang w:eastAsia="zh-CN" w:bidi="ar"/>
        </w:rPr>
        <w:t>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十、</w:t>
      </w:r>
      <w:r>
        <w:rPr>
          <w:rFonts w:hint="eastAsia" w:asciiTheme="minorEastAsia" w:hAnsiTheme="minorEastAsia" w:eastAsiaTheme="minorEastAsia" w:cstheme="minorEastAsia"/>
          <w:b/>
          <w:bCs/>
          <w:color w:val="000000"/>
          <w:kern w:val="0"/>
          <w:sz w:val="32"/>
          <w:szCs w:val="32"/>
          <w:lang w:eastAsia="zh-CN" w:bidi="ar"/>
        </w:rPr>
        <w:t>机关运行经费支出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仿宋_GB2312" w:hAnsi="仿宋_GB2312" w:eastAsia="仿宋_GB2312" w:cs="仿宋_GB2312"/>
          <w:sz w:val="32"/>
          <w:szCs w:val="32"/>
          <w:lang w:eastAsia="zh-CN"/>
        </w:rPr>
        <w:t>2020年机关运行经费预算为</w:t>
      </w:r>
      <w:r>
        <w:rPr>
          <w:rFonts w:hint="eastAsia" w:ascii="仿宋_GB2312" w:hAnsi="仿宋_GB2312" w:eastAsia="仿宋_GB2312" w:cs="仿宋_GB2312"/>
          <w:sz w:val="32"/>
          <w:szCs w:val="32"/>
          <w:lang w:val="en-US" w:eastAsia="zh-CN"/>
        </w:rPr>
        <w:t>5.84万元，支出决算为10.04万元，</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172</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4.20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职工公车补贴在本科目列支</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一</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政府采购支出</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w:t>
      </w:r>
      <w:r>
        <w:rPr>
          <w:rFonts w:hint="eastAsia" w:ascii="仿宋_GB2312" w:hAnsi="仿宋_GB2312" w:eastAsia="仿宋_GB2312" w:cs="仿宋_GB2312"/>
          <w:sz w:val="32"/>
          <w:szCs w:val="32"/>
          <w:lang w:eastAsia="zh-CN"/>
        </w:rPr>
        <w:t>政府采购支出。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二</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国有资产占用及购置</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截至 </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年末，本部门机关及所属单位实有车辆1辆，其中副部（省）级以上领导用车0辆，主要领导干部用车0辆，机要通信用车0辆，应急保障用车0辆，执法执勤用车0辆，特种专业技术用车1辆，离退休干部用车0辆，其他用车0辆。单价</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万元以上的通用设备0台（套）；单价</w:t>
      </w:r>
      <w:r>
        <w:rPr>
          <w:rFonts w:hint="default" w:ascii="仿宋_GB2312" w:hAnsi="仿宋_GB2312" w:eastAsia="仿宋_GB2312" w:cs="仿宋_GB2312"/>
          <w:sz w:val="32"/>
          <w:szCs w:val="32"/>
          <w:highlight w:val="none"/>
          <w:lang w:val="en-US" w:eastAsia="zh-CN"/>
        </w:rPr>
        <w:t xml:space="preserve"> 100</w:t>
      </w:r>
      <w:r>
        <w:rPr>
          <w:rFonts w:hint="eastAsia" w:ascii="仿宋_GB2312" w:hAnsi="仿宋_GB2312" w:eastAsia="仿宋_GB2312" w:cs="仿宋_GB2312"/>
          <w:sz w:val="32"/>
          <w:szCs w:val="32"/>
          <w:highlight w:val="none"/>
          <w:lang w:val="en-US" w:eastAsia="zh-CN"/>
        </w:rPr>
        <w:t>万元以上的专用设备0台（套）。</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 xml:space="preserve">年当年购置车辆0辆；购置单价 </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 xml:space="preserve">万元 以上的通用设备0台（套）；购置单价 </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万元以上的专用设备0台（套）。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三</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预算绩效</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 xml:space="preserve">说明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44.00</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30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组织对20</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bidi="ar"/>
        </w:rPr>
        <w:t>148.24</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sz w:val="32"/>
          <w:szCs w:val="32"/>
          <w:lang w:eastAsia="zh-CN"/>
        </w:rPr>
        <w:t>本部门在</w:t>
      </w:r>
      <w:r>
        <w:rPr>
          <w:rFonts w:hint="eastAsia" w:ascii="仿宋_GB2312" w:hAnsi="仿宋_GB2312" w:eastAsia="仿宋_GB2312" w:cs="仿宋_GB2312"/>
          <w:sz w:val="32"/>
          <w:szCs w:val="32"/>
          <w:lang w:val="en-US" w:eastAsia="zh-CN"/>
        </w:rPr>
        <w:t>2020年度部门决算中反映的一般行政管理事务项目、科普活动项目，共2个一级项目绩效自评结果。</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val="en-US" w:eastAsia="zh-CN" w:bidi="ar"/>
        </w:rPr>
        <w:t>一般行政管理事务项目</w:t>
      </w:r>
      <w:r>
        <w:rPr>
          <w:rFonts w:ascii="仿宋_GB2312" w:hAnsi="仿宋_GB2312" w:eastAsia="仿宋_GB2312" w:cs="仿宋_GB2312"/>
          <w:color w:val="000000"/>
          <w:kern w:val="0"/>
          <w:sz w:val="31"/>
          <w:szCs w:val="31"/>
          <w:lang w:bidi="ar"/>
        </w:rPr>
        <w:t>绩效自评综述：</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outlineLvl w:val="9"/>
        <w:rPr>
          <w:rFonts w:ascii="仿宋_GB2312" w:hAnsi="仿宋_GB2312" w:eastAsia="仿宋_GB2312" w:cs="仿宋_GB2312"/>
          <w:color w:val="000000"/>
          <w:kern w:val="0"/>
          <w:sz w:val="31"/>
          <w:szCs w:val="31"/>
          <w:highlight w:val="none"/>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val="en-US" w:eastAsia="zh-CN" w:bidi="ar"/>
        </w:rPr>
        <w:t>该项目整体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98</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6.00</w:t>
      </w:r>
      <w:r>
        <w:rPr>
          <w:rFonts w:ascii="仿宋_GB2312" w:hAnsi="仿宋_GB2312" w:eastAsia="仿宋_GB2312" w:cs="仿宋_GB2312"/>
          <w:color w:val="000000"/>
          <w:kern w:val="0"/>
          <w:sz w:val="31"/>
          <w:szCs w:val="31"/>
          <w:lang w:bidi="ar"/>
        </w:rPr>
        <w:t xml:space="preserve">万元，执行数 </w:t>
      </w:r>
      <w:r>
        <w:rPr>
          <w:rFonts w:hint="eastAsia" w:ascii="仿宋_GB2312" w:hAnsi="仿宋_GB2312" w:eastAsia="仿宋_GB2312" w:cs="仿宋_GB2312"/>
          <w:color w:val="000000"/>
          <w:kern w:val="0"/>
          <w:sz w:val="31"/>
          <w:szCs w:val="31"/>
          <w:lang w:val="en-US" w:eastAsia="zh-CN" w:bidi="ar"/>
        </w:rPr>
        <w:t>6.00</w:t>
      </w:r>
      <w:r>
        <w:rPr>
          <w:rFonts w:ascii="仿宋_GB2312" w:hAnsi="仿宋_GB2312" w:eastAsia="仿宋_GB2312" w:cs="仿宋_GB2312"/>
          <w:color w:val="000000"/>
          <w:kern w:val="0"/>
          <w:sz w:val="31"/>
          <w:szCs w:val="31"/>
          <w:lang w:bidi="ar"/>
        </w:rPr>
        <w:t>万元，</w:t>
      </w:r>
      <w:r>
        <w:rPr>
          <w:rFonts w:ascii="仿宋_GB2312" w:hAnsi="仿宋_GB2312" w:eastAsia="仿宋_GB2312" w:cs="仿宋_GB2312"/>
          <w:color w:val="000000"/>
          <w:kern w:val="0"/>
          <w:sz w:val="31"/>
          <w:szCs w:val="31"/>
          <w:highlight w:val="none"/>
          <w:lang w:bidi="ar"/>
        </w:rPr>
        <w:t>完成预算的</w:t>
      </w:r>
      <w:r>
        <w:rPr>
          <w:rFonts w:hint="eastAsia" w:ascii="仿宋_GB2312" w:hAnsi="仿宋_GB2312" w:eastAsia="仿宋_GB2312" w:cs="仿宋_GB2312"/>
          <w:color w:val="000000"/>
          <w:kern w:val="0"/>
          <w:sz w:val="31"/>
          <w:szCs w:val="31"/>
          <w:highlight w:val="none"/>
          <w:lang w:val="en-US" w:eastAsia="zh-CN" w:bidi="ar"/>
        </w:rPr>
        <w:t>100</w:t>
      </w:r>
      <w:r>
        <w:rPr>
          <w:rFonts w:ascii="仿宋_GB2312" w:hAnsi="仿宋_GB2312" w:eastAsia="仿宋_GB2312" w:cs="仿宋_GB2312"/>
          <w:color w:val="000000"/>
          <w:kern w:val="0"/>
          <w:sz w:val="31"/>
          <w:szCs w:val="31"/>
          <w:highlight w:val="none"/>
          <w:lang w:bidi="ar"/>
        </w:rPr>
        <w:t>%。</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项目绩效目标完成情况</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w:t>
      </w:r>
      <w:r>
        <w:rPr>
          <w:rFonts w:hint="eastAsia" w:ascii="仿宋_GB2312" w:hAnsi="仿宋_GB2312" w:eastAsia="仿宋_GB2312" w:cs="仿宋_GB2312"/>
          <w:color w:val="000000"/>
          <w:kern w:val="0"/>
          <w:sz w:val="31"/>
          <w:szCs w:val="31"/>
          <w:lang w:bidi="ar"/>
        </w:rPr>
        <w:t>培育了非公经济人士的政治素养，提高了企业家参政议政的能力，增强了民营企业应对经济风险和科学管理经营的能力，弘扬了企业家的良好形象，提振了企业发展信心，有效促进了非公经济人士健康成长和非公经济健康发展。</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left"/>
        <w:textAlignment w:val="auto"/>
        <w:outlineLvl w:val="9"/>
        <w:rPr>
          <w:rFonts w:hint="default" w:ascii="仿宋_GB2312" w:hAnsi="仿宋_GB2312" w:eastAsia="仿宋_GB2312" w:cs="仿宋_GB2312"/>
          <w:color w:val="000000"/>
          <w:kern w:val="0"/>
          <w:sz w:val="31"/>
          <w:szCs w:val="31"/>
          <w:lang w:val="en-US"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val="en-US" w:eastAsia="zh-CN" w:bidi="ar"/>
        </w:rPr>
        <w:t>培训形式还不够丰富，距预期目标仍有差距</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val="en-US" w:eastAsia="zh-CN" w:bidi="ar"/>
        </w:rPr>
        <w:t>原因是受新冠疫情影响，本年度组织企业家外出学习机会较少。</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left"/>
        <w:textAlignment w:val="auto"/>
        <w:outlineLvl w:val="9"/>
        <w:rPr>
          <w:rFonts w:hint="default" w:ascii="仿宋_GB2312" w:hAnsi="仿宋_GB2312" w:eastAsia="仿宋_GB2312" w:cs="仿宋_GB2312"/>
          <w:sz w:val="32"/>
          <w:szCs w:val="32"/>
          <w:highlight w:val="none"/>
          <w:lang w:val="en-US" w:eastAsia="zh-CN"/>
        </w:rPr>
        <w:sectPr>
          <w:pgSz w:w="11900" w:h="16838"/>
          <w:pgMar w:top="1440" w:right="1800" w:bottom="1440" w:left="1800" w:header="850" w:footer="992" w:gutter="0"/>
          <w:lnNumType w:countBy="0" w:distance="360"/>
          <w:cols w:equalWidth="0" w:num="1">
            <w:col w:w="9020"/>
          </w:cols>
        </w:sect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val="en-US" w:eastAsia="zh-CN" w:bidi="ar"/>
        </w:rPr>
        <w:t>一是结合疫情形势，合理安排企业家外出学习考察时间；二是加大线上培训力度。</w:t>
      </w:r>
    </w:p>
    <w:tbl>
      <w:tblPr>
        <w:tblStyle w:val="6"/>
        <w:tblW w:w="83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499"/>
        <w:gridCol w:w="1058"/>
        <w:gridCol w:w="1440"/>
        <w:gridCol w:w="809"/>
        <w:gridCol w:w="1285"/>
        <w:gridCol w:w="1462"/>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389"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区级预算（项目）绩效目标自评表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8389"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trPr>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专项（项目）名称</w:t>
            </w:r>
          </w:p>
        </w:tc>
        <w:tc>
          <w:tcPr>
            <w:tcW w:w="6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专项业务费（一般行政管理事务）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区级主管部门</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西安市阎良区工商业联合会（科协）</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西安市阎良区工商业联合会（科协）本级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20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20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20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其中：市级财政资金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区县财政资金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20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9"/>
                <w:lang w:val="en-US" w:eastAsia="zh-CN" w:bidi="ar"/>
              </w:rPr>
              <w:t>其他资金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8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目标1：组织民营企业家开展理想信念教育，增强民营企业对党委政府的信任；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目标2：开展评优表彰活动，弘扬企业家精神，增强企业发展信心；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目标3：做好非公人士的政治推荐工作，发挥民主监督作用，引导企业参政议政；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目标4：搭建银企平台，帮助企业解决融资难问题；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目标5：引导企业参与光彩事业，助力脱贫攻坚；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目标6：组织企业家赴发达地区交流学习，学习先进经验，帮助企业培养骨干人。</w:t>
            </w:r>
          </w:p>
        </w:tc>
        <w:tc>
          <w:tcPr>
            <w:tcW w:w="4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1.召开3期培训会，向区内近160余名企业家宣讲中央会议精神；</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2.带领10余名企业家赴南京雨花台革命纪念馆开展革命教育，引导企业家坚定理想信念；</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3.引导企业通过捐款捐物等形式积极投身疫情防控阻击战，近40名商会企业家捐赠价值758.48万元物资；</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4.动员6个轮值组以外出考察交流、涉税政策培训等不同形式开展9次活动；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5.成立西安市阎良区永通商会，吸收区内30余家通讯行业企业，加快新基建和5G建设；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6.召开七届四次执委会议，大力表彰优秀企业、基层商会。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企业家培训次数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银企对接会议次数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组织企业开展光彩事业次数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零星办公支出批次</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出差次数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评优表彰活动次数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评优表彰活动开展情况</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顺利进行</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顺利进行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培训合格率</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验收合格率</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执行时间</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企业家培训支出</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1.5万元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1.2万元</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评优表彰活动支出</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1万元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1.3万元</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光彩事业支出</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0.5万元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1.4万元</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零星办公支出</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1.2万元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0.7万元</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出差费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1.3万元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0.6万元</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银企对接会议</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0.5万元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0.8万元</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保障机关公务活动正常开展率</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保障工商联活动正常开展率</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执行年度</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企业满意度</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78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89" w:type="dxa"/>
            <w:gridSpan w:val="8"/>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注：1.其他资金包括和财政资金共同投入到同一项目的自有资金、社会资金，以及以前年度的结转结余资金等。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89" w:type="dxa"/>
            <w:gridSpan w:val="8"/>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389" w:type="dxa"/>
            <w:gridSpan w:val="8"/>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outlineLvl w:val="9"/>
        <w:rPr>
          <w:rFonts w:hint="eastAsia" w:ascii="仿宋_GB2312" w:hAnsi="仿宋_GB2312" w:eastAsia="仿宋_GB2312" w:cs="仿宋_GB2312"/>
          <w:b/>
          <w:bCs/>
          <w:color w:val="000000"/>
          <w:kern w:val="0"/>
          <w:sz w:val="31"/>
          <w:szCs w:val="31"/>
          <w:lang w:val="en-US" w:eastAsia="zh-CN" w:bidi="ar"/>
        </w:rPr>
        <w:sectPr>
          <w:pgSz w:w="11900" w:h="16838"/>
          <w:pgMar w:top="1440" w:right="1800" w:bottom="1440" w:left="1800" w:header="850" w:footer="992" w:gutter="0"/>
          <w:lnNumType w:countBy="0" w:distance="360"/>
          <w:cols w:equalWidth="0" w:num="1">
            <w:col w:w="9020"/>
          </w:cols>
        </w:sectPr>
      </w:pPr>
      <w:bookmarkStart w:id="0" w:name="_1662907080"/>
      <w:bookmarkEnd w:id="0"/>
      <w:bookmarkStart w:id="1" w:name="_1662907596"/>
      <w:bookmarkEnd w:id="1"/>
      <w:bookmarkStart w:id="2" w:name="_1662907161"/>
      <w:bookmarkEnd w:id="2"/>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val="en-US" w:eastAsia="zh-CN" w:bidi="ar"/>
        </w:rPr>
        <w:t>科普活动</w:t>
      </w:r>
      <w:r>
        <w:rPr>
          <w:rFonts w:ascii="仿宋_GB2312" w:hAnsi="仿宋_GB2312" w:eastAsia="仿宋_GB2312" w:cs="仿宋_GB2312"/>
          <w:color w:val="000000"/>
          <w:kern w:val="0"/>
          <w:sz w:val="31"/>
          <w:szCs w:val="31"/>
          <w:lang w:bidi="ar"/>
        </w:rPr>
        <w:t>绩效自评综述：</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highlight w:val="none"/>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val="en-US" w:eastAsia="zh-CN" w:bidi="ar"/>
        </w:rPr>
        <w:t>该项目整体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93.70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8.00</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38.00</w:t>
      </w:r>
      <w:r>
        <w:rPr>
          <w:rFonts w:ascii="仿宋_GB2312" w:hAnsi="仿宋_GB2312" w:eastAsia="仿宋_GB2312" w:cs="仿宋_GB2312"/>
          <w:color w:val="000000"/>
          <w:kern w:val="0"/>
          <w:sz w:val="31"/>
          <w:szCs w:val="31"/>
          <w:lang w:bidi="ar"/>
        </w:rPr>
        <w:t>万元，</w:t>
      </w:r>
      <w:r>
        <w:rPr>
          <w:rFonts w:ascii="仿宋_GB2312" w:hAnsi="仿宋_GB2312" w:eastAsia="仿宋_GB2312" w:cs="仿宋_GB2312"/>
          <w:color w:val="000000"/>
          <w:kern w:val="0"/>
          <w:sz w:val="31"/>
          <w:szCs w:val="31"/>
          <w:highlight w:val="none"/>
          <w:lang w:bidi="ar"/>
        </w:rPr>
        <w:t>完成预算的</w:t>
      </w:r>
      <w:r>
        <w:rPr>
          <w:rFonts w:hint="eastAsia" w:ascii="仿宋_GB2312" w:hAnsi="仿宋_GB2312" w:eastAsia="仿宋_GB2312" w:cs="仿宋_GB2312"/>
          <w:color w:val="000000"/>
          <w:kern w:val="0"/>
          <w:sz w:val="31"/>
          <w:szCs w:val="31"/>
          <w:highlight w:val="none"/>
          <w:lang w:val="en-US" w:eastAsia="zh-CN" w:bidi="ar"/>
        </w:rPr>
        <w:t>475</w:t>
      </w:r>
      <w:r>
        <w:rPr>
          <w:rFonts w:ascii="仿宋_GB2312" w:hAnsi="仿宋_GB2312" w:eastAsia="仿宋_GB2312" w:cs="仿宋_GB2312"/>
          <w:color w:val="000000"/>
          <w:kern w:val="0"/>
          <w:sz w:val="31"/>
          <w:szCs w:val="31"/>
          <w:highlight w:val="none"/>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项目绩效目标完成情况</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2020年度开展了推动实施全民科学素质行动、科普信息化建设工程、科普创新与科学素质研究、青少年科技创新行动、科普惠民服务专项等活动，进一步提升我</w:t>
      </w:r>
      <w:r>
        <w:rPr>
          <w:rFonts w:hint="eastAsia" w:ascii="仿宋_GB2312" w:hAnsi="仿宋_GB2312" w:eastAsia="仿宋_GB2312" w:cs="仿宋_GB2312"/>
          <w:color w:val="000000"/>
          <w:kern w:val="0"/>
          <w:sz w:val="31"/>
          <w:szCs w:val="31"/>
          <w:lang w:val="en-US" w:eastAsia="zh-CN" w:bidi="ar"/>
        </w:rPr>
        <w:t>区</w:t>
      </w:r>
      <w:r>
        <w:rPr>
          <w:rFonts w:hint="eastAsia" w:ascii="仿宋_GB2312" w:hAnsi="仿宋_GB2312" w:eastAsia="仿宋_GB2312" w:cs="仿宋_GB2312"/>
          <w:color w:val="000000"/>
          <w:kern w:val="0"/>
          <w:sz w:val="31"/>
          <w:szCs w:val="31"/>
          <w:lang w:bidi="ar"/>
        </w:rPr>
        <w:t>公民科学素质，激发青少年的科学兴趣，全面提升科技助力精准扶贫能力等，有力推动形成科技创新与科学普及协同发展、联合协作的科普大格局。</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val="en-US" w:eastAsia="zh-CN" w:bidi="ar"/>
        </w:rPr>
        <w:t>一是项目还需进一步突出主线、加强同类项目统筹管理；二是项目绩效指标设计还需进一步完善，效益指标与工作任务的匹配度还需提升。</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default" w:ascii="仿宋_GB2312" w:hAnsi="仿宋_GB2312" w:eastAsia="仿宋_GB2312" w:cs="仿宋_GB2312"/>
          <w:sz w:val="32"/>
          <w:szCs w:val="32"/>
          <w:highlight w:val="none"/>
          <w:lang w:val="en-US" w:eastAsia="zh-CN"/>
        </w:rPr>
        <w:sectPr>
          <w:pgSz w:w="11900" w:h="16838"/>
          <w:pgMar w:top="1440" w:right="1800" w:bottom="1440" w:left="1800" w:header="850" w:footer="992" w:gutter="0"/>
          <w:lnNumType w:countBy="0" w:distance="360"/>
          <w:cols w:equalWidth="0" w:num="1">
            <w:col w:w="9020"/>
          </w:cols>
        </w:sect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val="en-US" w:eastAsia="zh-CN" w:bidi="ar"/>
        </w:rPr>
        <w:t>一是进一步突出项目主线，进一步加强全面统筹和整合；二是进一步完善项目绩效指标，确保项目绩效目标与科普工作目标的匹配性和合理性。</w:t>
      </w:r>
    </w:p>
    <w:tbl>
      <w:tblPr>
        <w:tblStyle w:val="6"/>
        <w:tblpPr w:leftFromText="180" w:rightFromText="180" w:vertAnchor="text" w:horzAnchor="page" w:tblpX="1928" w:tblpY="87"/>
        <w:tblOverlap w:val="never"/>
        <w:tblW w:w="9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500"/>
        <w:gridCol w:w="1106"/>
        <w:gridCol w:w="1871"/>
        <w:gridCol w:w="1195"/>
        <w:gridCol w:w="1276"/>
        <w:gridCol w:w="1396"/>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961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区级预算（项目）绩效目标自评表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961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专项（项目）名称</w:t>
            </w:r>
          </w:p>
        </w:tc>
        <w:tc>
          <w:tcPr>
            <w:tcW w:w="7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科普专项经费（科普活动）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区级主管部门</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西安市阎良区工商业联合会（科协）</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西安市阎良区工商业联合会（科协）本级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1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21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1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2"/>
                <w:rFonts w:ascii="宋体" w:hAnsi="宋体" w:eastAsia="宋体" w:cs="宋体"/>
                <w:sz w:val="20"/>
                <w:szCs w:val="20"/>
                <w:lang w:val="en-US" w:eastAsia="zh-CN" w:bidi="ar"/>
              </w:rPr>
              <w:t>其中：市级财政资金</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21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2"/>
                <w:rFonts w:ascii="宋体" w:hAnsi="宋体" w:eastAsia="宋体" w:cs="宋体"/>
                <w:sz w:val="20"/>
                <w:szCs w:val="20"/>
                <w:lang w:val="en-US" w:eastAsia="zh-CN" w:bidi="ar"/>
              </w:rPr>
              <w:t xml:space="preserve">   </w:t>
            </w:r>
            <w:r>
              <w:rPr>
                <w:rStyle w:val="22"/>
                <w:rFonts w:hint="eastAsia" w:ascii="宋体" w:hAnsi="宋体" w:eastAsia="宋体" w:cs="宋体"/>
                <w:sz w:val="20"/>
                <w:szCs w:val="20"/>
                <w:lang w:val="en-US" w:eastAsia="zh-CN" w:bidi="ar"/>
              </w:rPr>
              <w:t xml:space="preserve"> </w:t>
            </w:r>
            <w:r>
              <w:rPr>
                <w:rStyle w:val="22"/>
                <w:rFonts w:ascii="宋体" w:hAnsi="宋体" w:eastAsia="宋体" w:cs="宋体"/>
                <w:sz w:val="20"/>
                <w:szCs w:val="20"/>
                <w:lang w:val="en-US" w:eastAsia="zh-CN" w:bidi="ar"/>
              </w:rPr>
              <w:t xml:space="preserve"> 区县财政资金</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21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其他资金</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6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目标1：贯彻落实《全民科学素质行动计划纲要》精神，深入开展多项科普活动、发放科普宣传资料2万份、受益人群3万，努力 提高全民科学素质；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目标2：开展全区青少年科技创新大赛活动，评选优秀作品50余个，进一步加强对我区青少年的科学教育引导工作；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目标3：积极实施“基层科普行动计划”等，加大基层科普设施、阵地、组织、人才队伍建设，受益人群6000人次；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目标4：做好“一栏一站一员”建设，巩固完善各类科普馆等的建设工作，更新制作科普展板50余个，受益人群5000人次；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目标5：开展科学技术培训活动，提高全区各类人群的科学素质，受益人群5000人次。　</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1.贯彻落实《全民科学素质行动计划纲要》精神，深入开展多项科普活动、发放科普宣传资料约2.5万份、受益人群4万，努力 提高全民科学素质；</w:t>
            </w:r>
          </w:p>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2.开展全区青少年科技创新大赛活动，评选优秀作品50余个，进一步加强对我区青少年的科学教育引导工作； </w:t>
            </w:r>
          </w:p>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3.积极实施“基层科普行动计划”等，加大基层科普设施、阵地、组织、人才队伍建设，受益人群10000人次；</w:t>
            </w:r>
          </w:p>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4.做好“一栏一站一员”建设，巩固完善各类科普馆等的建设工作，更新制作科普展板50余个，受益人群10000人次； </w:t>
            </w:r>
          </w:p>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5.开展科学技术培训活动，提高全区各类人群的科学素质，受益人群5000人次。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开展科技之春宣传月天数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科普日活动发放宣传册数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基层科普行动计划受益人数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一栏一站一员建设受益人数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科普大篷车进校园社区受益人数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科协日常管理天数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基层科普单位数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开展科普活动次数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验收合格率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活动开展情况</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顺利进行</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顺利进行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执行时间</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科技之春宣传月费用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科普日活动支出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基层科普行动计划支出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一站一栏一员建设支出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大篷车进校园进社区支出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科协日常管理支出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基层科普单位补助支出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保障科普活动正常开展率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保障科协日常活动正常开展率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执行年度</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学生满意度</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科技工作者满意度</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91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13" w:type="dxa"/>
            <w:gridSpan w:val="8"/>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注：1.其他资金包括和财政资金共同投入到同一项目的自有资金、社会资金，以及以前年度的结转结余资金等。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613" w:type="dxa"/>
            <w:gridSpan w:val="8"/>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13" w:type="dxa"/>
            <w:gridSpan w:val="8"/>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widowControl/>
        <w:jc w:val="left"/>
        <w:rPr>
          <w:rFonts w:hint="eastAsia" w:ascii="仿宋_GB2312" w:hAnsi="仿宋_GB2312" w:eastAsia="仿宋_GB2312" w:cs="仿宋_GB2312"/>
          <w:color w:val="000000"/>
          <w:sz w:val="31"/>
          <w:szCs w:val="31"/>
          <w:lang w:bidi="ar"/>
        </w:rPr>
      </w:pPr>
    </w:p>
    <w:p>
      <w:pPr>
        <w:widowControl/>
        <w:ind w:left="-1" w:leftChars="-100" w:hanging="319" w:hangingChars="103"/>
        <w:jc w:val="left"/>
        <w:rPr>
          <w:rFonts w:hint="eastAsia" w:ascii="仿宋_GB2312" w:hAnsi="仿宋_GB2312" w:eastAsia="仿宋_GB2312" w:cs="仿宋_GB2312"/>
          <w:color w:val="000000"/>
          <w:sz w:val="31"/>
          <w:szCs w:val="31"/>
          <w:lang w:bidi="ar"/>
        </w:rPr>
      </w:pPr>
    </w:p>
    <w:p>
      <w:pPr>
        <w:widowControl/>
        <w:ind w:left="-1" w:leftChars="-100" w:hanging="319" w:hangingChars="103"/>
        <w:jc w:val="left"/>
        <w:rPr>
          <w:rFonts w:hint="eastAsia" w:ascii="仿宋_GB2312" w:hAnsi="仿宋_GB2312" w:eastAsia="仿宋_GB2312" w:cs="仿宋_GB2312"/>
          <w:color w:val="000000"/>
          <w:sz w:val="31"/>
          <w:szCs w:val="31"/>
          <w:lang w:bidi="ar"/>
        </w:rPr>
      </w:pPr>
    </w:p>
    <w:p>
      <w:pPr>
        <w:widowControl/>
        <w:ind w:left="-1" w:leftChars="-100" w:hanging="319" w:hangingChars="103"/>
        <w:jc w:val="left"/>
        <w:rPr>
          <w:rFonts w:hint="eastAsia" w:ascii="仿宋_GB2312" w:hAnsi="仿宋_GB2312" w:eastAsia="仿宋_GB2312" w:cs="仿宋_GB2312"/>
          <w:color w:val="000000"/>
          <w:sz w:val="31"/>
          <w:szCs w:val="31"/>
          <w:lang w:bidi="ar"/>
        </w:rPr>
      </w:pPr>
    </w:p>
    <w:p>
      <w:pPr>
        <w:widowControl/>
        <w:ind w:left="-1" w:leftChars="-100" w:hanging="319" w:hangingChars="103"/>
        <w:jc w:val="left"/>
        <w:rPr>
          <w:rFonts w:hint="eastAsia" w:ascii="仿宋_GB2312" w:hAnsi="仿宋_GB2312" w:eastAsia="仿宋_GB2312" w:cs="仿宋_GB2312"/>
          <w:color w:val="000000"/>
          <w:sz w:val="31"/>
          <w:szCs w:val="31"/>
          <w:lang w:bidi="ar"/>
        </w:rPr>
      </w:pPr>
    </w:p>
    <w:p>
      <w:pPr>
        <w:widowControl/>
        <w:ind w:left="-1" w:leftChars="-100" w:hanging="319" w:hangingChars="103"/>
        <w:jc w:val="left"/>
        <w:rPr>
          <w:rFonts w:hint="eastAsia" w:ascii="仿宋_GB2312" w:hAnsi="仿宋_GB2312" w:eastAsia="仿宋_GB2312" w:cs="仿宋_GB2312"/>
          <w:color w:val="000000"/>
          <w:sz w:val="31"/>
          <w:szCs w:val="31"/>
          <w:lang w:bidi="ar"/>
        </w:rPr>
      </w:pPr>
    </w:p>
    <w:p>
      <w:pPr>
        <w:widowControl/>
        <w:ind w:left="-1" w:leftChars="-100" w:hanging="319" w:hangingChars="103"/>
        <w:jc w:val="left"/>
        <w:rPr>
          <w:rFonts w:hint="eastAsia" w:ascii="仿宋_GB2312" w:hAnsi="仿宋_GB2312" w:eastAsia="仿宋_GB2312" w:cs="仿宋_GB2312"/>
          <w:color w:val="000000"/>
          <w:sz w:val="31"/>
          <w:szCs w:val="31"/>
          <w:lang w:bidi="ar"/>
        </w:rPr>
      </w:pPr>
    </w:p>
    <w:p>
      <w:pPr>
        <w:widowControl/>
        <w:jc w:val="left"/>
        <w:rPr>
          <w:rFonts w:hint="eastAsia" w:ascii="仿宋_GB2312" w:hAnsi="仿宋_GB2312" w:eastAsia="仿宋_GB2312" w:cs="仿宋_GB2312"/>
          <w:color w:val="000000"/>
          <w:sz w:val="31"/>
          <w:szCs w:val="31"/>
          <w:lang w:bidi="ar"/>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97.20</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95.55</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148.24</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155</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bidi="ar"/>
        </w:rPr>
        <w:t>20</w:t>
      </w:r>
      <w:r>
        <w:rPr>
          <w:rFonts w:hint="eastAsia" w:ascii="仿宋_GB2312" w:hAnsi="仿宋_GB2312" w:eastAsia="仿宋_GB2312" w:cs="仿宋_GB2312"/>
          <w:color w:val="000000"/>
          <w:kern w:val="0"/>
          <w:sz w:val="31"/>
          <w:szCs w:val="31"/>
          <w:lang w:val="en-US" w:eastAsia="zh-CN" w:bidi="ar"/>
        </w:rPr>
        <w:t>20</w:t>
      </w:r>
      <w:r>
        <w:rPr>
          <w:rFonts w:hint="eastAsia" w:ascii="仿宋_GB2312" w:hAnsi="仿宋_GB2312" w:eastAsia="仿宋_GB2312" w:cs="仿宋_GB2312"/>
          <w:color w:val="000000"/>
          <w:kern w:val="0"/>
          <w:sz w:val="31"/>
          <w:szCs w:val="31"/>
          <w:lang w:bidi="ar"/>
        </w:rPr>
        <w:t>年度本部门相关工作任务均已完成。</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保障了机关正常运行、加强了非公经济人士的培育、提升了全民科学素养</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bidi="ar"/>
        </w:rPr>
        <w:t>绩效管理成效有待提升。原因是缺乏绩效管理经验</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bidi="ar"/>
        </w:rPr>
        <w:t>加强同周边区县工商联的交流，学习先进经验。</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sectPr>
          <w:headerReference r:id="rId4" w:type="default"/>
          <w:footerReference r:id="rId5" w:type="default"/>
          <w:pgSz w:w="11906" w:h="16838"/>
          <w:pgMar w:top="1440" w:right="1800" w:bottom="1440" w:left="1800" w:header="851" w:footer="992" w:gutter="0"/>
          <w:cols w:space="425" w:num="1"/>
          <w:docGrid w:type="lines" w:linePitch="312" w:charSpace="0"/>
        </w:sectPr>
      </w:pPr>
    </w:p>
    <w:tbl>
      <w:tblPr>
        <w:tblStyle w:val="6"/>
        <w:tblW w:w="143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633"/>
        <w:gridCol w:w="616"/>
        <w:gridCol w:w="417"/>
        <w:gridCol w:w="3195"/>
        <w:gridCol w:w="2501"/>
        <w:gridCol w:w="1669"/>
        <w:gridCol w:w="742"/>
        <w:gridCol w:w="785"/>
        <w:gridCol w:w="622"/>
        <w:gridCol w:w="1440"/>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435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kern w:val="0"/>
                <w:sz w:val="40"/>
                <w:szCs w:val="40"/>
                <w:u w:val="none"/>
                <w:lang w:val="en-US" w:eastAsia="zh-CN" w:bidi="ar"/>
              </w:rPr>
            </w:pPr>
            <w:r>
              <w:rPr>
                <w:rFonts w:hint="eastAsia" w:ascii="黑体" w:hAnsi="宋体" w:eastAsia="黑体" w:cs="黑体"/>
                <w:i w:val="0"/>
                <w:iCs w:val="0"/>
                <w:color w:val="000000"/>
                <w:kern w:val="0"/>
                <w:sz w:val="40"/>
                <w:szCs w:val="40"/>
                <w:u w:val="none"/>
                <w:lang w:val="en-US" w:eastAsia="zh-CN" w:bidi="ar"/>
              </w:rPr>
              <w:t>部门整体支出绩效自评表</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20"/>
                <w:szCs w:val="20"/>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5344"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填报单位:西安市阎良区工商业联合会（科协）</w:t>
            </w:r>
          </w:p>
        </w:tc>
        <w:tc>
          <w:tcPr>
            <w:tcW w:w="250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自评得分：</w:t>
            </w:r>
          </w:p>
        </w:tc>
        <w:tc>
          <w:tcPr>
            <w:tcW w:w="1669"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97.2</w:t>
            </w:r>
          </w:p>
        </w:tc>
        <w:tc>
          <w:tcPr>
            <w:tcW w:w="74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i w:val="0"/>
                <w:iCs w:val="0"/>
                <w:color w:val="000000"/>
                <w:sz w:val="24"/>
                <w:szCs w:val="24"/>
                <w:u w:val="none"/>
              </w:rPr>
            </w:pPr>
          </w:p>
        </w:tc>
        <w:tc>
          <w:tcPr>
            <w:tcW w:w="78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i w:val="0"/>
                <w:iCs w:val="0"/>
                <w:color w:val="000000"/>
                <w:sz w:val="24"/>
                <w:szCs w:val="24"/>
                <w:u w:val="none"/>
              </w:rPr>
            </w:pPr>
          </w:p>
        </w:tc>
        <w:tc>
          <w:tcPr>
            <w:tcW w:w="6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仿宋_GB2312"/>
                <w:i w:val="0"/>
                <w:iCs w:val="0"/>
                <w:color w:val="000000"/>
                <w:sz w:val="24"/>
                <w:szCs w:val="24"/>
                <w:u w:val="none"/>
              </w:rPr>
            </w:pPr>
          </w:p>
        </w:tc>
        <w:tc>
          <w:tcPr>
            <w:tcW w:w="144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4"/>
                <w:szCs w:val="24"/>
                <w:u w:val="none"/>
              </w:rPr>
            </w:pPr>
          </w:p>
        </w:tc>
        <w:tc>
          <w:tcPr>
            <w:tcW w:w="125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53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（一）简要概述部门职能与职责。</w:t>
            </w:r>
          </w:p>
        </w:tc>
        <w:tc>
          <w:tcPr>
            <w:tcW w:w="90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培育民营企业家的政治素养和综合能力；开展科普知识宣传。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53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（二）简要概述部门支出情况，按活动内容分类。</w:t>
            </w:r>
          </w:p>
        </w:tc>
        <w:tc>
          <w:tcPr>
            <w:tcW w:w="90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总支出148.24万元，其中基本支出104.24万元；服务企业家支出6万元；科普宣传支出38万元。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3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（三）简要概述当年区委区政府下达的重点工作。</w:t>
            </w:r>
          </w:p>
        </w:tc>
        <w:tc>
          <w:tcPr>
            <w:tcW w:w="90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楷体_GB2312" w:hAnsi="宋体" w:eastAsia="楷体_GB2312" w:cs="楷体_GB2312"/>
                <w:b/>
                <w:bCs/>
                <w:i w:val="0"/>
                <w:iCs w:val="0"/>
                <w:color w:val="000000"/>
                <w:kern w:val="0"/>
                <w:sz w:val="20"/>
                <w:szCs w:val="20"/>
                <w:u w:val="none"/>
                <w:lang w:val="en-US" w:eastAsia="zh-CN" w:bidi="ar"/>
              </w:rPr>
            </w:pPr>
            <w:r>
              <w:rPr>
                <w:rFonts w:hint="eastAsia" w:ascii="楷体_GB2312" w:hAnsi="宋体" w:eastAsia="楷体_GB2312" w:cs="楷体_GB2312"/>
                <w:b/>
                <w:bCs/>
                <w:i w:val="0"/>
                <w:iCs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指标</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楷体_GB2312" w:hAnsi="宋体" w:eastAsia="楷体_GB2312" w:cs="楷体_GB2312"/>
                <w:b/>
                <w:bCs/>
                <w:i w:val="0"/>
                <w:iCs w:val="0"/>
                <w:color w:val="000000"/>
                <w:kern w:val="0"/>
                <w:sz w:val="20"/>
                <w:szCs w:val="20"/>
                <w:u w:val="none"/>
                <w:lang w:val="en-US" w:eastAsia="zh-CN" w:bidi="ar"/>
              </w:rPr>
            </w:pPr>
            <w:r>
              <w:rPr>
                <w:rFonts w:hint="eastAsia" w:ascii="楷体_GB2312" w:hAnsi="宋体" w:eastAsia="楷体_GB2312" w:cs="楷体_GB2312"/>
                <w:b/>
                <w:bCs/>
                <w:i w:val="0"/>
                <w:iCs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三级指标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分值</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指标说明</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评分标准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指标值计算公式和数据获取方式</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年初目标值</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实际完成值</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未完成原因分析与改进措施</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7"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投入</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预算执行（25分）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完成率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（10分）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10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预算完成率=（预算完成数/预算数）×100%，用以反映和考核部门（单位）预算完成程度。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预算完成数：部门（单位）本年度实际完成的预算数。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预算数：财政部门批复的本年度部门（单位）预算数。</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预算完成率＝100%的，得10分。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预算完成率≥95%的，得9分。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预算完成率在90%（含）和95%之间，得8分。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预算完成率在85%（含）和90%之间，得7分。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预算完成率在80%（含）和85%之间，得6分。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预算完成率在70%（含）和80%之间，得4分。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预算完成率＜70%的，得0分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楷体_GB2312" w:hAnsi="宋体" w:eastAsia="楷体_GB2312" w:cs="楷体_GB2312"/>
                <w:i w:val="0"/>
                <w:iCs w:val="0"/>
                <w:color w:val="000000"/>
                <w:sz w:val="20"/>
                <w:szCs w:val="20"/>
                <w:u w:val="none"/>
                <w:lang w:val="en-US"/>
              </w:rPr>
            </w:pPr>
            <w:r>
              <w:rPr>
                <w:rFonts w:hint="eastAsia" w:ascii="楷体_GB2312" w:hAnsi="宋体" w:eastAsia="楷体_GB2312" w:cs="楷体_GB2312"/>
                <w:i w:val="0"/>
                <w:iCs w:val="0"/>
                <w:color w:val="000000"/>
                <w:kern w:val="0"/>
                <w:sz w:val="20"/>
                <w:szCs w:val="20"/>
                <w:u w:val="none"/>
                <w:lang w:val="en-US" w:eastAsia="zh-CN" w:bidi="ar"/>
              </w:rPr>
              <w:t>预算完成率=（预算完成数/预算数）×100%；决算数；预算数</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95.55</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148.24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i w:val="0"/>
                <w:iCs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预算调整率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预算调整率=（预算调整数/预算数）×100%，用以反映和考核部门（单位）预算的调整程度。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预算包括一般公共预算与政府性基金预算。</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预算调整率绝对值≤5%，得5分。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预算调整率绝对值＞5%的，每增加0.1个百分点扣0.1分，扣完为止。</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预算调整率=（预算调整数/预算数）×100%；预算数；决算数</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1"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i w:val="0"/>
                <w:iCs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支出进度率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支出进度率=（实际支出/支出预算）×100%，用以反映和考核部门（单位）预算执行的及时性和均衡性程度。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半年支出进度＝部门上半年实际支出/（上年结余结转+本年部门预算安排+上半年执行中追加追减）*100%。</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前三季度支出进度＝部门前三季度实际支出/（上年结余结转+本年部门预算安排+前三季度执行中追加追减）*100%。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半年进度：进度率≥45%，得2分；进度率在40%（含）和45%之间，得1分；进度率＜40%，得0分。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前三季度进度：进度率≥75%，得3分；进度率在60%（含）和75%之间，得2分；进度率＜60%，得0分。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支出进度率=（实际支出/支出预算）×100%；财务凭证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76.44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118.6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i w:val="0"/>
                <w:iCs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预算编制准确率（5分）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部门预算中除财政拨款外的其他收入预算与决算差异率。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预算编制准确率＝其他收入决算数/其他收入预算数×100%-100%。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预算编制准确率≤20%，得5分。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预算编制准确率在20%和40%（含）之间，得3分。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预算编制准确率＞40%，得0分。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预算编制准确率＝其他收入决算数/其他收入预算数×100%-100%；决算数；预算数</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过程</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预算管理（15分）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“三公经费”控制率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三公经费控制率 ≤100%，得5分，每增加0.1个百分点扣0.5分，扣完为止。</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“三公经费”控制率=（“三公经费”实际支出数/“三公经费”预算安排数）×100%；决算数；预算数</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3.23</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0.61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i w:val="0"/>
                <w:iCs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资产管理规范性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部门（单位）资产管理是否规范，用以反映和考核部门（单位）资产管理情况。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1.新增资产配置按预算执行。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2.资产有偿使用、处置按规定程序审批。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3.资产收益及时、足额上缴财政。</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全部符合5分，有1项不符扣2分,扣完为止。</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楷体_GB2312" w:hAnsi="宋体" w:eastAsia="楷体_GB2312" w:cs="楷体_GB2312"/>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合规管理资产</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合规管理资产</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1"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过程</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预算管理（15分）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资金使用合规性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部门（单位）使用预算资金是否符合相关的预算财务管理制度的规定，用以反映和考核部门（单位）预算资金的规范运行情况。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1.符合国家财经法规和财务管理制度规定以及有关专项资金管理办法的规定；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2.资金的拨付有完整的审批程序和手续；</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3.重大项目开支经过评估论证；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4.符合部门预算批复的用途；</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5.不存在截留、挤占、挪用、虚列支出等情况。</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全部符合5分,有1项不符扣2分。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楷体_GB2312" w:hAnsi="宋体" w:eastAsia="楷体_GB2312" w:cs="楷体_GB2312"/>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合规使用资金</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合规使用资金</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9"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效果</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履职尽责（60分）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项目产出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（40分）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40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楷体_GB2312" w:hAnsi="宋体" w:eastAsia="楷体_GB2312" w:cs="楷体_GB2312"/>
                <w:i w:val="0"/>
                <w:iCs w:val="0"/>
                <w:color w:val="000000"/>
                <w:sz w:val="20"/>
                <w:szCs w:val="20"/>
                <w:u w:val="none"/>
              </w:rPr>
            </w:pP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1.若为定性指标，根据“三档”原则分别按照指标分值的100-80%（含）、80-50%（含）、50-10%来记分；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_GB2312" w:hAnsi="宋体" w:eastAsia="楷体_GB2312" w:cs="楷体_GB2312"/>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28.8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38.4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i w:val="0"/>
                <w:iCs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项目效益</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（20分）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20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楷体_GB2312" w:hAnsi="宋体" w:eastAsia="楷体_GB2312" w:cs="楷体_GB2312"/>
                <w:i w:val="0"/>
                <w:iCs w:val="0"/>
                <w:color w:val="000000"/>
                <w:sz w:val="20"/>
                <w:szCs w:val="20"/>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_GB2312" w:hAnsi="宋体" w:eastAsia="楷体_GB2312" w:cs="楷体_GB2312"/>
                <w:i w:val="0"/>
                <w:iCs w:val="0"/>
                <w:color w:val="000000"/>
                <w:sz w:val="20"/>
                <w:szCs w:val="20"/>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_GB2312" w:hAnsi="宋体" w:eastAsia="楷体_GB2312" w:cs="楷体_GB2312"/>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30</w:t>
            </w:r>
            <w:bookmarkStart w:id="4" w:name="_GoBack"/>
            <w:bookmarkEnd w:id="4"/>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28.2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i w:val="0"/>
                <w:iCs w:val="0"/>
                <w:color w:val="000000"/>
                <w:sz w:val="20"/>
                <w:szCs w:val="20"/>
                <w:u w:val="none"/>
              </w:rPr>
            </w:pPr>
            <w:r>
              <w:rPr>
                <w:rFonts w:hint="eastAsia" w:ascii="楷体_GB2312" w:hAnsi="宋体" w:eastAsia="楷体_GB2312" w:cs="楷体_GB2312"/>
                <w:i w:val="0"/>
                <w:iCs w:val="0"/>
                <w:color w:val="000000"/>
                <w:kern w:val="0"/>
                <w:sz w:val="20"/>
                <w:szCs w:val="20"/>
                <w:u w:val="none"/>
                <w:lang w:val="en-US" w:eastAsia="zh-CN" w:bidi="ar"/>
              </w:rPr>
              <w:t>18.8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435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备注：1.“项目产出”和“项目效果”直接细化成部门年初绩效目标中的指标，并根据重要程度赋权。</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jc w:val="left"/>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bookmarkStart w:id="3" w:name="_1662907696"/>
      <w:bookmarkEnd w:id="3"/>
    </w:p>
    <w:p>
      <w:pPr>
        <w:numPr>
          <w:ilvl w:val="0"/>
          <w:numId w:val="0"/>
        </w:numPr>
        <w:jc w:val="center"/>
        <w:rPr>
          <w:rFonts w:hint="eastAsia" w:ascii="黑体" w:hAnsi="宋体" w:eastAsia="黑体"/>
          <w:color w:val="000000"/>
          <w:kern w:val="0"/>
          <w:sz w:val="44"/>
          <w:szCs w:val="44"/>
          <w:lang w:eastAsia="zh-CN"/>
        </w:rPr>
      </w:pPr>
    </w:p>
    <w:p>
      <w:pPr>
        <w:numPr>
          <w:ilvl w:val="0"/>
          <w:numId w:val="0"/>
        </w:numPr>
        <w:jc w:val="center"/>
        <w:rPr>
          <w:rFonts w:hint="eastAsia"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lang w:val="en-US" w:eastAsia="zh-CN"/>
        </w:rPr>
        <w:t xml:space="preserve">  </w:t>
      </w:r>
      <w:r>
        <w:rPr>
          <w:rFonts w:hint="eastAsia" w:ascii="黑体" w:hAnsi="宋体" w:eastAsia="黑体"/>
          <w:color w:val="000000"/>
          <w:kern w:val="0"/>
          <w:sz w:val="44"/>
          <w:szCs w:val="44"/>
        </w:rPr>
        <w:t>专业名词解释</w:t>
      </w:r>
    </w:p>
    <w:p>
      <w:pPr>
        <w:numPr>
          <w:ilvl w:val="0"/>
          <w:numId w:val="0"/>
        </w:numPr>
        <w:jc w:val="center"/>
        <w:rPr>
          <w:rFonts w:hint="eastAsia"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C9976CA"/>
    <w:multiLevelType w:val="singleLevel"/>
    <w:tmpl w:val="AC9976C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A3659"/>
    <w:rsid w:val="00D44852"/>
    <w:rsid w:val="010E3361"/>
    <w:rsid w:val="0173470E"/>
    <w:rsid w:val="01840A76"/>
    <w:rsid w:val="019001DE"/>
    <w:rsid w:val="01E73B91"/>
    <w:rsid w:val="01F32C83"/>
    <w:rsid w:val="03A7089C"/>
    <w:rsid w:val="047F1934"/>
    <w:rsid w:val="04DB464C"/>
    <w:rsid w:val="05941050"/>
    <w:rsid w:val="068B7849"/>
    <w:rsid w:val="07292B29"/>
    <w:rsid w:val="07422AC4"/>
    <w:rsid w:val="07B61C44"/>
    <w:rsid w:val="07D434B1"/>
    <w:rsid w:val="080C71A6"/>
    <w:rsid w:val="08134E54"/>
    <w:rsid w:val="08586301"/>
    <w:rsid w:val="086C1E64"/>
    <w:rsid w:val="089E3942"/>
    <w:rsid w:val="08C05F26"/>
    <w:rsid w:val="093E0634"/>
    <w:rsid w:val="09BE3A8A"/>
    <w:rsid w:val="09F56D6B"/>
    <w:rsid w:val="0A557F81"/>
    <w:rsid w:val="0BA7522A"/>
    <w:rsid w:val="0C2C1F1F"/>
    <w:rsid w:val="0C2D7704"/>
    <w:rsid w:val="0D0C2BC4"/>
    <w:rsid w:val="0DBA6E85"/>
    <w:rsid w:val="0DC72692"/>
    <w:rsid w:val="0E0C3BD9"/>
    <w:rsid w:val="0E2B5C83"/>
    <w:rsid w:val="0E38768C"/>
    <w:rsid w:val="0EC368FB"/>
    <w:rsid w:val="0ECE423F"/>
    <w:rsid w:val="0EF5200E"/>
    <w:rsid w:val="0F092DE7"/>
    <w:rsid w:val="0F0A5794"/>
    <w:rsid w:val="0F70572B"/>
    <w:rsid w:val="102B6DF1"/>
    <w:rsid w:val="120E784D"/>
    <w:rsid w:val="12184E79"/>
    <w:rsid w:val="12D420A8"/>
    <w:rsid w:val="13753E1B"/>
    <w:rsid w:val="13EF1DBB"/>
    <w:rsid w:val="14174CED"/>
    <w:rsid w:val="15916C1F"/>
    <w:rsid w:val="161F7A38"/>
    <w:rsid w:val="16921B06"/>
    <w:rsid w:val="17877A17"/>
    <w:rsid w:val="178E4E9E"/>
    <w:rsid w:val="18241E34"/>
    <w:rsid w:val="18281798"/>
    <w:rsid w:val="18634A0D"/>
    <w:rsid w:val="18BC4DAB"/>
    <w:rsid w:val="18E20488"/>
    <w:rsid w:val="191A102A"/>
    <w:rsid w:val="19CC5414"/>
    <w:rsid w:val="19DA40E6"/>
    <w:rsid w:val="1A6178A4"/>
    <w:rsid w:val="1A913AE8"/>
    <w:rsid w:val="1AF1223D"/>
    <w:rsid w:val="1AF22409"/>
    <w:rsid w:val="1B055B6B"/>
    <w:rsid w:val="1BD51349"/>
    <w:rsid w:val="1C582E8E"/>
    <w:rsid w:val="1CC315DB"/>
    <w:rsid w:val="1D0C5F19"/>
    <w:rsid w:val="1D8B0C78"/>
    <w:rsid w:val="1E6E4C3B"/>
    <w:rsid w:val="1E711180"/>
    <w:rsid w:val="1E7D6429"/>
    <w:rsid w:val="1F1A1F49"/>
    <w:rsid w:val="1F226BC7"/>
    <w:rsid w:val="1F2D5080"/>
    <w:rsid w:val="1FA53A9D"/>
    <w:rsid w:val="20B96E79"/>
    <w:rsid w:val="20E506C4"/>
    <w:rsid w:val="21822358"/>
    <w:rsid w:val="21902B8D"/>
    <w:rsid w:val="220031EB"/>
    <w:rsid w:val="220B5117"/>
    <w:rsid w:val="22551999"/>
    <w:rsid w:val="2256467C"/>
    <w:rsid w:val="2256488F"/>
    <w:rsid w:val="23610FD3"/>
    <w:rsid w:val="236267D8"/>
    <w:rsid w:val="23857D2F"/>
    <w:rsid w:val="24171B10"/>
    <w:rsid w:val="24537A42"/>
    <w:rsid w:val="245918C8"/>
    <w:rsid w:val="246B06D0"/>
    <w:rsid w:val="24861FF8"/>
    <w:rsid w:val="256264C3"/>
    <w:rsid w:val="25A152FF"/>
    <w:rsid w:val="262C087E"/>
    <w:rsid w:val="2642696E"/>
    <w:rsid w:val="2660352B"/>
    <w:rsid w:val="26C5592B"/>
    <w:rsid w:val="27345405"/>
    <w:rsid w:val="27E0289B"/>
    <w:rsid w:val="280A34A5"/>
    <w:rsid w:val="28326461"/>
    <w:rsid w:val="28501CB4"/>
    <w:rsid w:val="287C13F1"/>
    <w:rsid w:val="28C03F87"/>
    <w:rsid w:val="28E71CD7"/>
    <w:rsid w:val="28FB2AB2"/>
    <w:rsid w:val="295415FA"/>
    <w:rsid w:val="2A6F2640"/>
    <w:rsid w:val="2A7F5B56"/>
    <w:rsid w:val="2B11264C"/>
    <w:rsid w:val="2C1E58CB"/>
    <w:rsid w:val="2C366C63"/>
    <w:rsid w:val="2C446AF1"/>
    <w:rsid w:val="2C80121F"/>
    <w:rsid w:val="2C8F7948"/>
    <w:rsid w:val="2CF051FA"/>
    <w:rsid w:val="2D38229C"/>
    <w:rsid w:val="2D62741D"/>
    <w:rsid w:val="2DA368D1"/>
    <w:rsid w:val="2DF854D4"/>
    <w:rsid w:val="2EC53938"/>
    <w:rsid w:val="2EE9246E"/>
    <w:rsid w:val="2F3F7267"/>
    <w:rsid w:val="30C91BCC"/>
    <w:rsid w:val="30DF4759"/>
    <w:rsid w:val="32370DD4"/>
    <w:rsid w:val="324878CF"/>
    <w:rsid w:val="32E651BA"/>
    <w:rsid w:val="33260C5D"/>
    <w:rsid w:val="3339709D"/>
    <w:rsid w:val="333C204A"/>
    <w:rsid w:val="339F628F"/>
    <w:rsid w:val="33B06F9D"/>
    <w:rsid w:val="3504022C"/>
    <w:rsid w:val="350A5D93"/>
    <w:rsid w:val="350B7FE8"/>
    <w:rsid w:val="355B5577"/>
    <w:rsid w:val="35AE2CC6"/>
    <w:rsid w:val="362B28C7"/>
    <w:rsid w:val="3669223E"/>
    <w:rsid w:val="366C12FC"/>
    <w:rsid w:val="37000267"/>
    <w:rsid w:val="373E3750"/>
    <w:rsid w:val="390A5D5B"/>
    <w:rsid w:val="39BE5AB2"/>
    <w:rsid w:val="3AFB7F86"/>
    <w:rsid w:val="3B03272F"/>
    <w:rsid w:val="3B0C2B2C"/>
    <w:rsid w:val="3B2C0C80"/>
    <w:rsid w:val="3BFC6DCC"/>
    <w:rsid w:val="3C067D8D"/>
    <w:rsid w:val="3C446E8B"/>
    <w:rsid w:val="3C7A6DAB"/>
    <w:rsid w:val="3D380F19"/>
    <w:rsid w:val="3D4E2733"/>
    <w:rsid w:val="3D904069"/>
    <w:rsid w:val="3DB01CC2"/>
    <w:rsid w:val="3E3479B1"/>
    <w:rsid w:val="3F74105D"/>
    <w:rsid w:val="3FCA23EC"/>
    <w:rsid w:val="404E6342"/>
    <w:rsid w:val="40871E38"/>
    <w:rsid w:val="409D789E"/>
    <w:rsid w:val="41942E54"/>
    <w:rsid w:val="421E415E"/>
    <w:rsid w:val="424D60E4"/>
    <w:rsid w:val="42DF3ED1"/>
    <w:rsid w:val="42FA4769"/>
    <w:rsid w:val="433A1366"/>
    <w:rsid w:val="43BC1030"/>
    <w:rsid w:val="43BF7D37"/>
    <w:rsid w:val="4447106E"/>
    <w:rsid w:val="44786400"/>
    <w:rsid w:val="46F82343"/>
    <w:rsid w:val="47964FBE"/>
    <w:rsid w:val="47A141F9"/>
    <w:rsid w:val="47FC7C96"/>
    <w:rsid w:val="4817178D"/>
    <w:rsid w:val="482E2C6E"/>
    <w:rsid w:val="485C7C7D"/>
    <w:rsid w:val="48F12D42"/>
    <w:rsid w:val="490F1645"/>
    <w:rsid w:val="49616AEF"/>
    <w:rsid w:val="49915349"/>
    <w:rsid w:val="49DB26F6"/>
    <w:rsid w:val="49EA6175"/>
    <w:rsid w:val="4A1752A2"/>
    <w:rsid w:val="4A583C8E"/>
    <w:rsid w:val="4AAA48B0"/>
    <w:rsid w:val="4AB663FF"/>
    <w:rsid w:val="4AC33D26"/>
    <w:rsid w:val="4AC94221"/>
    <w:rsid w:val="4B18398F"/>
    <w:rsid w:val="4B1D404D"/>
    <w:rsid w:val="4B917734"/>
    <w:rsid w:val="4BC4384D"/>
    <w:rsid w:val="4BCF243C"/>
    <w:rsid w:val="4C8F1C6B"/>
    <w:rsid w:val="4DAC3D0C"/>
    <w:rsid w:val="4E1826EB"/>
    <w:rsid w:val="502162E1"/>
    <w:rsid w:val="50446E39"/>
    <w:rsid w:val="50C46A00"/>
    <w:rsid w:val="50C62B98"/>
    <w:rsid w:val="513E2A91"/>
    <w:rsid w:val="51AA47B2"/>
    <w:rsid w:val="51C1525F"/>
    <w:rsid w:val="51EA117C"/>
    <w:rsid w:val="52AC7AB3"/>
    <w:rsid w:val="532511AB"/>
    <w:rsid w:val="532D0511"/>
    <w:rsid w:val="54207C4C"/>
    <w:rsid w:val="544D3043"/>
    <w:rsid w:val="555C235D"/>
    <w:rsid w:val="561550C1"/>
    <w:rsid w:val="572016AE"/>
    <w:rsid w:val="579D4C18"/>
    <w:rsid w:val="57E3761C"/>
    <w:rsid w:val="58E26FD5"/>
    <w:rsid w:val="59477A05"/>
    <w:rsid w:val="595C4212"/>
    <w:rsid w:val="596D661C"/>
    <w:rsid w:val="59836C48"/>
    <w:rsid w:val="59C246B5"/>
    <w:rsid w:val="5A610FED"/>
    <w:rsid w:val="5AD32C36"/>
    <w:rsid w:val="5B56067A"/>
    <w:rsid w:val="5C252D34"/>
    <w:rsid w:val="5C4B14E0"/>
    <w:rsid w:val="5C8073CA"/>
    <w:rsid w:val="5C85137D"/>
    <w:rsid w:val="5D85090C"/>
    <w:rsid w:val="5DBC131F"/>
    <w:rsid w:val="5DF34FA9"/>
    <w:rsid w:val="5E7E3630"/>
    <w:rsid w:val="5F384EFF"/>
    <w:rsid w:val="5F5027A5"/>
    <w:rsid w:val="604B4D81"/>
    <w:rsid w:val="6151303A"/>
    <w:rsid w:val="618A6433"/>
    <w:rsid w:val="625B2DA2"/>
    <w:rsid w:val="636A5BE2"/>
    <w:rsid w:val="64BF7908"/>
    <w:rsid w:val="6516448E"/>
    <w:rsid w:val="65706DA4"/>
    <w:rsid w:val="664C1E33"/>
    <w:rsid w:val="6653341A"/>
    <w:rsid w:val="670A2D22"/>
    <w:rsid w:val="671E745B"/>
    <w:rsid w:val="680917F3"/>
    <w:rsid w:val="68777ACE"/>
    <w:rsid w:val="691240AE"/>
    <w:rsid w:val="692B7805"/>
    <w:rsid w:val="696473D9"/>
    <w:rsid w:val="6977251D"/>
    <w:rsid w:val="697876A2"/>
    <w:rsid w:val="69A157A9"/>
    <w:rsid w:val="6AF21D88"/>
    <w:rsid w:val="6B3B79EC"/>
    <w:rsid w:val="6B7A142D"/>
    <w:rsid w:val="6BAE416E"/>
    <w:rsid w:val="6C875305"/>
    <w:rsid w:val="6C875E70"/>
    <w:rsid w:val="6CAD3A0C"/>
    <w:rsid w:val="6EAC6681"/>
    <w:rsid w:val="6EB546C3"/>
    <w:rsid w:val="6F094735"/>
    <w:rsid w:val="6F4F2D6C"/>
    <w:rsid w:val="6F7B59D3"/>
    <w:rsid w:val="6FAE0CDC"/>
    <w:rsid w:val="706878D8"/>
    <w:rsid w:val="70D566CD"/>
    <w:rsid w:val="70EA4662"/>
    <w:rsid w:val="71840673"/>
    <w:rsid w:val="72647864"/>
    <w:rsid w:val="72856C98"/>
    <w:rsid w:val="72CC2CB1"/>
    <w:rsid w:val="72D3396E"/>
    <w:rsid w:val="72E47E81"/>
    <w:rsid w:val="730969AA"/>
    <w:rsid w:val="73431FE5"/>
    <w:rsid w:val="734808A9"/>
    <w:rsid w:val="74F620C5"/>
    <w:rsid w:val="7594634B"/>
    <w:rsid w:val="75B86FF9"/>
    <w:rsid w:val="760A19E3"/>
    <w:rsid w:val="7621417F"/>
    <w:rsid w:val="76301274"/>
    <w:rsid w:val="7687055C"/>
    <w:rsid w:val="76D06209"/>
    <w:rsid w:val="76DF5587"/>
    <w:rsid w:val="77285EAB"/>
    <w:rsid w:val="776F078B"/>
    <w:rsid w:val="777E657E"/>
    <w:rsid w:val="778B0394"/>
    <w:rsid w:val="77BC7ED6"/>
    <w:rsid w:val="77C43856"/>
    <w:rsid w:val="77EA1885"/>
    <w:rsid w:val="791C4BA8"/>
    <w:rsid w:val="795760E2"/>
    <w:rsid w:val="79861760"/>
    <w:rsid w:val="79DA500A"/>
    <w:rsid w:val="7A7921D3"/>
    <w:rsid w:val="7A9354C5"/>
    <w:rsid w:val="7B037932"/>
    <w:rsid w:val="7B2B5E9E"/>
    <w:rsid w:val="7B465659"/>
    <w:rsid w:val="7B6D5E4A"/>
    <w:rsid w:val="7B8D2408"/>
    <w:rsid w:val="7CC00C24"/>
    <w:rsid w:val="7D91393A"/>
    <w:rsid w:val="7E04435F"/>
    <w:rsid w:val="7E8C0663"/>
    <w:rsid w:val="7EE55A34"/>
    <w:rsid w:val="7F203382"/>
    <w:rsid w:val="7F8F0E05"/>
    <w:rsid w:val="7FF51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character" w:customStyle="1" w:styleId="17">
    <w:name w:val="font31"/>
    <w:basedOn w:val="8"/>
    <w:uiPriority w:val="0"/>
    <w:rPr>
      <w:rFonts w:hint="eastAsia" w:ascii="宋体" w:hAnsi="宋体" w:eastAsia="宋体" w:cs="宋体"/>
      <w:color w:val="000000"/>
      <w:sz w:val="20"/>
      <w:szCs w:val="20"/>
      <w:u w:val="none"/>
    </w:rPr>
  </w:style>
  <w:style w:type="character" w:customStyle="1" w:styleId="18">
    <w:name w:val="font41"/>
    <w:basedOn w:val="8"/>
    <w:uiPriority w:val="0"/>
    <w:rPr>
      <w:rFonts w:hint="eastAsia" w:ascii="宋体" w:hAnsi="宋体" w:eastAsia="宋体" w:cs="宋体"/>
      <w:color w:val="000000"/>
      <w:sz w:val="18"/>
      <w:szCs w:val="18"/>
      <w:u w:val="none"/>
    </w:rPr>
  </w:style>
  <w:style w:type="character" w:customStyle="1" w:styleId="19">
    <w:name w:val="font121"/>
    <w:basedOn w:val="8"/>
    <w:uiPriority w:val="0"/>
    <w:rPr>
      <w:rFonts w:hint="eastAsia" w:ascii="宋体" w:hAnsi="宋体" w:eastAsia="宋体" w:cs="宋体"/>
      <w:color w:val="000000"/>
      <w:sz w:val="20"/>
      <w:szCs w:val="20"/>
      <w:u w:val="none"/>
    </w:rPr>
  </w:style>
  <w:style w:type="character" w:customStyle="1" w:styleId="20">
    <w:name w:val="font71"/>
    <w:basedOn w:val="8"/>
    <w:uiPriority w:val="0"/>
    <w:rPr>
      <w:rFonts w:hint="eastAsia" w:ascii="宋体" w:hAnsi="宋体" w:eastAsia="宋体" w:cs="宋体"/>
      <w:color w:val="000000"/>
      <w:sz w:val="18"/>
      <w:szCs w:val="18"/>
      <w:u w:val="none"/>
    </w:rPr>
  </w:style>
  <w:style w:type="character" w:customStyle="1" w:styleId="21">
    <w:name w:val="font111"/>
    <w:basedOn w:val="8"/>
    <w:uiPriority w:val="0"/>
    <w:rPr>
      <w:rFonts w:hint="eastAsia" w:ascii="宋体" w:hAnsi="宋体" w:eastAsia="宋体" w:cs="宋体"/>
      <w:color w:val="000000"/>
      <w:sz w:val="32"/>
      <w:szCs w:val="32"/>
      <w:u w:val="none"/>
    </w:rPr>
  </w:style>
  <w:style w:type="character" w:customStyle="1" w:styleId="22">
    <w:name w:val="font122"/>
    <w:basedOn w:val="8"/>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部门收入支出总体情况图</a:t>
            </a:r>
          </a:p>
        </c:rich>
      </c:tx>
      <c:layout/>
      <c:overlay val="0"/>
      <c:spPr>
        <a:noFill/>
        <a:ln>
          <a:noFill/>
        </a:ln>
        <a:effectLst/>
      </c:spPr>
    </c:title>
    <c:autoTitleDeleted val="0"/>
    <c:plotArea>
      <c:layout/>
      <c:barChart>
        <c:barDir val="col"/>
        <c:grouping val="clustered"/>
        <c:varyColors val="0"/>
        <c:ser>
          <c:idx val="0"/>
          <c:order val="0"/>
          <c:tx>
            <c:strRef>
              <c:f>[工作簿1]Sheet1!$F$8</c:f>
              <c:strCache>
                <c:ptCount val="1"/>
                <c:pt idx="0">
                  <c:v>2019</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136.67万元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106.67万元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[工作簿1]Sheet1!$G$7:$H$7</c:f>
              <c:strCache>
                <c:ptCount val="2"/>
                <c:pt idx="0">
                  <c:v>本年收入</c:v>
                </c:pt>
                <c:pt idx="1">
                  <c:v>本年支出</c:v>
                </c:pt>
              </c:strCache>
            </c:strRef>
          </c:cat>
          <c:val>
            <c:numRef>
              <c:f>[工作簿1]Sheet1!$G$8:$H$8</c:f>
              <c:numCache>
                <c:formatCode>General</c:formatCode>
                <c:ptCount val="2"/>
                <c:pt idx="0">
                  <c:v>136.67</c:v>
                </c:pt>
                <c:pt idx="1">
                  <c:v>106.67</c:v>
                </c:pt>
              </c:numCache>
            </c:numRef>
          </c:val>
        </c:ser>
        <c:ser>
          <c:idx val="1"/>
          <c:order val="1"/>
          <c:tx>
            <c:strRef>
              <c:f>[工作簿1]Sheet1!$F$9</c:f>
              <c:strCache>
                <c:ptCount val="1"/>
                <c:pt idx="0">
                  <c:v>2020</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148.24万元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148.24万元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[工作簿1]Sheet1!$G$7:$H$7</c:f>
              <c:strCache>
                <c:ptCount val="2"/>
                <c:pt idx="0">
                  <c:v>本年收入</c:v>
                </c:pt>
                <c:pt idx="1">
                  <c:v>本年支出</c:v>
                </c:pt>
              </c:strCache>
            </c:strRef>
          </c:cat>
          <c:val>
            <c:numRef>
              <c:f>[工作簿1]Sheet1!$G$9:$H$9</c:f>
              <c:numCache>
                <c:formatCode>General</c:formatCode>
                <c:ptCount val="2"/>
                <c:pt idx="0">
                  <c:v>148.24</c:v>
                </c:pt>
                <c:pt idx="1">
                  <c:v>148.24</c:v>
                </c:pt>
              </c:numCache>
            </c:numRef>
          </c:val>
        </c:ser>
        <c:dLbls>
          <c:showLegendKey val="0"/>
          <c:showVal val="1"/>
          <c:showCatName val="0"/>
          <c:showSerName val="0"/>
          <c:showPercent val="0"/>
          <c:showBubbleSize val="0"/>
        </c:dLbls>
        <c:gapWidth val="219"/>
        <c:overlap val="-27"/>
        <c:axId val="106894309"/>
        <c:axId val="634246442"/>
      </c:barChart>
      <c:catAx>
        <c:axId val="1068943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4246442"/>
        <c:crosses val="autoZero"/>
        <c:auto val="1"/>
        <c:lblAlgn val="ctr"/>
        <c:lblOffset val="100"/>
        <c:noMultiLvlLbl val="0"/>
      </c:catAx>
      <c:valAx>
        <c:axId val="6342464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8943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部门收入决算情况图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68829008649368"/>
                  <c:y val="-0.042635658914728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148.24万元，占比</a:t>
                    </a: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616666666666667"/>
                  <c:y val="-0.0027777777777777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6666666666667"/>
                  <c:y val="0"/>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[工作簿1]Sheet1!$F$23:$F$26</c:f>
              <c:strCache>
                <c:ptCount val="4"/>
                <c:pt idx="0">
                  <c:v>财政拨款收入</c:v>
                </c:pt>
                <c:pt idx="1">
                  <c:v>事业收入</c:v>
                </c:pt>
                <c:pt idx="2">
                  <c:v>经营收入</c:v>
                </c:pt>
                <c:pt idx="3">
                  <c:v>其他收入</c:v>
                </c:pt>
              </c:strCache>
            </c:strRef>
          </c:cat>
          <c:val>
            <c:numRef>
              <c:f>[工作簿1]Sheet1!$G$23:$G$26</c:f>
              <c:numCache>
                <c:formatCode>General</c:formatCode>
                <c:ptCount val="4"/>
                <c:pt idx="0">
                  <c:v>148.24</c:v>
                </c:pt>
                <c:pt idx="1">
                  <c:v>0</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部门支出决算情况图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446808510638298"/>
                  <c:y val="-0.12606577344701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104.24万元，占比</a:t>
                    </a:r>
                    <a:r>
                      <a:rPr lang="en-US" altLang="zh-CN"/>
                      <a:t>70%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18821603927987"/>
                  <c:y val="0.082825822168087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44万元，占比</a:t>
                    </a:r>
                    <a:r>
                      <a:rPr lang="en-US" altLang="zh-CN"/>
                      <a:t>30%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85597381342062"/>
                  <c:y val="0.056333739342265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0万元，占比</a:t>
                    </a:r>
                    <a:r>
                      <a:rPr lang="en-US" altLang="zh-CN"/>
                      <a:t>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[工作簿1]Sheet1!$F$32:$F$34</c:f>
              <c:strCache>
                <c:ptCount val="3"/>
                <c:pt idx="0">
                  <c:v>基本支出</c:v>
                </c:pt>
                <c:pt idx="1">
                  <c:v>项目支出</c:v>
                </c:pt>
                <c:pt idx="2">
                  <c:v>经营支出</c:v>
                </c:pt>
              </c:strCache>
            </c:strRef>
          </c:cat>
          <c:val>
            <c:numRef>
              <c:f>[工作簿1]Sheet1!$G$32:$G$34</c:f>
              <c:numCache>
                <c:formatCode>General</c:formatCode>
                <c:ptCount val="3"/>
                <c:pt idx="0">
                  <c:v>104.24</c:v>
                </c:pt>
                <c:pt idx="1">
                  <c:v>44</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部门财政拨款收入支出总体情况图</a:t>
            </a:r>
          </a:p>
        </c:rich>
      </c:tx>
      <c:layout/>
      <c:overlay val="0"/>
      <c:spPr>
        <a:noFill/>
        <a:ln>
          <a:noFill/>
        </a:ln>
        <a:effectLst/>
      </c:spPr>
    </c:title>
    <c:autoTitleDeleted val="0"/>
    <c:plotArea>
      <c:layout/>
      <c:barChart>
        <c:barDir val="col"/>
        <c:grouping val="clustered"/>
        <c:varyColors val="0"/>
        <c:ser>
          <c:idx val="0"/>
          <c:order val="0"/>
          <c:tx>
            <c:strRef>
              <c:f>[工作簿1]Sheet1!$F$8</c:f>
              <c:strCache>
                <c:ptCount val="1"/>
                <c:pt idx="0">
                  <c:v>2019</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136.67万元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106.67万元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[工作簿1]Sheet1!$G$7:$H$7</c:f>
              <c:strCache>
                <c:ptCount val="2"/>
                <c:pt idx="0">
                  <c:v>本年收入</c:v>
                </c:pt>
                <c:pt idx="1">
                  <c:v>本年支出</c:v>
                </c:pt>
              </c:strCache>
            </c:strRef>
          </c:cat>
          <c:val>
            <c:numRef>
              <c:f>[工作簿1]Sheet1!$G$8:$H$8</c:f>
              <c:numCache>
                <c:formatCode>General</c:formatCode>
                <c:ptCount val="2"/>
                <c:pt idx="0">
                  <c:v>136.67</c:v>
                </c:pt>
                <c:pt idx="1">
                  <c:v>106.67</c:v>
                </c:pt>
              </c:numCache>
            </c:numRef>
          </c:val>
        </c:ser>
        <c:ser>
          <c:idx val="1"/>
          <c:order val="1"/>
          <c:tx>
            <c:strRef>
              <c:f>[工作簿1]Sheet1!$F$9</c:f>
              <c:strCache>
                <c:ptCount val="1"/>
                <c:pt idx="0">
                  <c:v>2020</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148.24万元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148.24万元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[工作簿1]Sheet1!$G$7:$H$7</c:f>
              <c:strCache>
                <c:ptCount val="2"/>
                <c:pt idx="0">
                  <c:v>本年收入</c:v>
                </c:pt>
                <c:pt idx="1">
                  <c:v>本年支出</c:v>
                </c:pt>
              </c:strCache>
            </c:strRef>
          </c:cat>
          <c:val>
            <c:numRef>
              <c:f>[工作簿1]Sheet1!$G$9:$H$9</c:f>
              <c:numCache>
                <c:formatCode>General</c:formatCode>
                <c:ptCount val="2"/>
                <c:pt idx="0">
                  <c:v>148.24</c:v>
                </c:pt>
                <c:pt idx="1">
                  <c:v>148.24</c:v>
                </c:pt>
              </c:numCache>
            </c:numRef>
          </c:val>
        </c:ser>
        <c:dLbls>
          <c:showLegendKey val="0"/>
          <c:showVal val="1"/>
          <c:showCatName val="0"/>
          <c:showSerName val="0"/>
          <c:showPercent val="0"/>
          <c:showBubbleSize val="0"/>
        </c:dLbls>
        <c:gapWidth val="219"/>
        <c:overlap val="-27"/>
        <c:axId val="106894309"/>
        <c:axId val="634246442"/>
      </c:barChart>
      <c:catAx>
        <c:axId val="1068943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4246442"/>
        <c:crosses val="autoZero"/>
        <c:auto val="1"/>
        <c:lblAlgn val="ctr"/>
        <c:lblOffset val="100"/>
        <c:noMultiLvlLbl val="0"/>
      </c:catAx>
      <c:valAx>
        <c:axId val="6342464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8943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财政拨款支出决算总体情况图</a:t>
            </a:r>
          </a:p>
        </c:rich>
      </c:tx>
      <c:layout/>
      <c:overlay val="0"/>
      <c:spPr>
        <a:noFill/>
        <a:ln>
          <a:noFill/>
        </a:ln>
        <a:effectLst/>
      </c:spPr>
    </c:title>
    <c:autoTitleDeleted val="0"/>
    <c:plotArea>
      <c:layout/>
      <c:barChart>
        <c:barDir val="col"/>
        <c:grouping val="stacked"/>
        <c:varyColors val="0"/>
        <c:ser>
          <c:idx val="0"/>
          <c:order val="0"/>
          <c:tx>
            <c:strRef>
              <c:f>[工作簿1]Sheet1!$E$49</c:f>
              <c:strCache>
                <c:ptCount val="1"/>
                <c:pt idx="0">
                  <c:v>本年财政拨款支出</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92.07万元</a:t>
                    </a:r>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118.24万元</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[工作簿1]Sheet1!$F$48:$G$48</c:f>
              <c:numCache>
                <c:formatCode>General</c:formatCode>
                <c:ptCount val="2"/>
                <c:pt idx="0">
                  <c:v>2019</c:v>
                </c:pt>
                <c:pt idx="1">
                  <c:v>2020</c:v>
                </c:pt>
              </c:numCache>
            </c:numRef>
          </c:cat>
          <c:val>
            <c:numRef>
              <c:f>[工作簿1]Sheet1!$F$49:$G$49</c:f>
              <c:numCache>
                <c:formatCode>General</c:formatCode>
                <c:ptCount val="2"/>
                <c:pt idx="0">
                  <c:v>92.07</c:v>
                </c:pt>
                <c:pt idx="1">
                  <c:v>118.24</c:v>
                </c:pt>
              </c:numCache>
            </c:numRef>
          </c:val>
        </c:ser>
        <c:ser>
          <c:idx val="1"/>
          <c:order val="1"/>
          <c:tx>
            <c:strRef>
              <c:f>[工作簿1]Sheet1!$E$50</c:f>
              <c:strCache>
                <c:ptCount val="1"/>
                <c:pt idx="0">
                  <c:v>年初结转结余</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14.6</a:t>
                    </a:r>
                    <a:r>
                      <a:rPr lang="en-US" altLang="zh-CN"/>
                      <a:t>0</a:t>
                    </a:r>
                    <a:r>
                      <a:rPr altLang="en-US"/>
                      <a:t>万元</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30</a:t>
                    </a:r>
                    <a:r>
                      <a:rPr lang="en-US" altLang="zh-CN"/>
                      <a:t>.00</a:t>
                    </a:r>
                    <a:r>
                      <a:rPr altLang="en-US"/>
                      <a:t>万元</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[工作簿1]Sheet1!$F$48:$G$48</c:f>
              <c:numCache>
                <c:formatCode>General</c:formatCode>
                <c:ptCount val="2"/>
                <c:pt idx="0">
                  <c:v>2019</c:v>
                </c:pt>
                <c:pt idx="1">
                  <c:v>2020</c:v>
                </c:pt>
              </c:numCache>
            </c:numRef>
          </c:cat>
          <c:val>
            <c:numRef>
              <c:f>[工作簿1]Sheet1!$F$50:$G$50</c:f>
              <c:numCache>
                <c:formatCode>General</c:formatCode>
                <c:ptCount val="2"/>
                <c:pt idx="0">
                  <c:v>14.6</c:v>
                </c:pt>
                <c:pt idx="1">
                  <c:v>30</c:v>
                </c:pt>
              </c:numCache>
            </c:numRef>
          </c:val>
        </c:ser>
        <c:dLbls>
          <c:showLegendKey val="0"/>
          <c:showVal val="1"/>
          <c:showCatName val="0"/>
          <c:showSerName val="0"/>
          <c:showPercent val="0"/>
          <c:showBubbleSize val="0"/>
        </c:dLbls>
        <c:gapWidth val="150"/>
        <c:overlap val="100"/>
        <c:axId val="189581845"/>
        <c:axId val="438030548"/>
      </c:barChart>
      <c:catAx>
        <c:axId val="1895818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8030548"/>
        <c:crosses val="autoZero"/>
        <c:auto val="1"/>
        <c:lblAlgn val="ctr"/>
        <c:lblOffset val="100"/>
        <c:noMultiLvlLbl val="0"/>
      </c:catAx>
      <c:valAx>
        <c:axId val="4380305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5818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支出构成图</a:t>
            </a:r>
            <a:endParaRPr altLang="en-US"/>
          </a:p>
        </c:rich>
      </c:tx>
      <c:layout>
        <c:manualLayout>
          <c:xMode val="edge"/>
          <c:yMode val="edge"/>
          <c:x val="0.416111111111111"/>
          <c:y val="0.0277777777777778"/>
        </c:manualLayout>
      </c:layout>
      <c:overlay val="0"/>
      <c:spPr>
        <a:noFill/>
        <a:ln>
          <a:noFill/>
        </a:ln>
        <a:effectLst/>
      </c:spPr>
    </c:title>
    <c:autoTitleDeleted val="0"/>
    <c:plotArea>
      <c:layout>
        <c:manualLayout>
          <c:layoutTarget val="inner"/>
          <c:xMode val="edge"/>
          <c:yMode val="edge"/>
          <c:x val="0.34235"/>
          <c:y val="0.213291666666667"/>
          <c:w val="0.318633333333333"/>
          <c:h val="0.531055555555556"/>
        </c:manualLayout>
      </c:layout>
      <c:doughnut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983333333333333"/>
                  <c:y val="-0.063888888888888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a:t>
                    </a:r>
                  </a:p>
                </c:rich>
              </c:tx>
              <c:showLegendKey val="0"/>
              <c:showVal val="1"/>
              <c:showCatName val="0"/>
              <c:showSerName val="0"/>
              <c:showPercent val="0"/>
              <c:showBubbleSize val="0"/>
              <c:extLst>
                <c:ext xmlns:c15="http://schemas.microsoft.com/office/drawing/2012/chart" uri="{CE6537A1-D6FC-4f65-9D91-7224C49458BB}">
                  <c15:layout>
                    <c:manualLayout>
                      <c:w val="0.0308333333333333"/>
                      <c:h val="0.0611111111111111"/>
                    </c:manualLayout>
                  </c15:layout>
                </c:ext>
              </c:extLst>
            </c:dLbl>
            <c:dLbl>
              <c:idx val="1"/>
              <c:layout>
                <c:manualLayout>
                  <c:x val="0.11"/>
                  <c:y val="-0.063888888888888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0.44万元</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0.16万元</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[工作簿1]Sheet1!$E$67:$E$70</c:f>
              <c:strCache>
                <c:ptCount val="4"/>
                <c:pt idx="0">
                  <c:v>因公出国（境）支出</c:v>
                </c:pt>
                <c:pt idx="1">
                  <c:v>公务用车购置费用</c:v>
                </c:pt>
                <c:pt idx="2">
                  <c:v>公务用车运行维护费</c:v>
                </c:pt>
                <c:pt idx="3">
                  <c:v>公务接待费支出</c:v>
                </c:pt>
              </c:strCache>
            </c:strRef>
          </c:cat>
          <c:val>
            <c:numRef>
              <c:f>[工作簿1]Sheet1!$F$67:$F$70</c:f>
              <c:numCache>
                <c:formatCode>General</c:formatCode>
                <c:ptCount val="4"/>
                <c:pt idx="0">
                  <c:v>0</c:v>
                </c:pt>
                <c:pt idx="1">
                  <c:v>0</c:v>
                </c:pt>
                <c:pt idx="2">
                  <c:v>0.44</c:v>
                </c:pt>
                <c:pt idx="3">
                  <c:v>0.16</c:v>
                </c:pt>
              </c:numCache>
            </c:numRef>
          </c:val>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支出预算数与决算数对比图</a:t>
            </a:r>
            <a:endParaRPr altLang="en-US"/>
          </a:p>
        </c:rich>
      </c:tx>
      <c:layout>
        <c:manualLayout>
          <c:xMode val="edge"/>
          <c:yMode val="edge"/>
          <c:x val="0.202083333333333"/>
          <c:y val="0.0222222222222222"/>
        </c:manualLayout>
      </c:layout>
      <c:overlay val="0"/>
      <c:spPr>
        <a:noFill/>
        <a:ln>
          <a:noFill/>
        </a:ln>
        <a:effectLst/>
      </c:spPr>
    </c:title>
    <c:autoTitleDeleted val="0"/>
    <c:plotArea>
      <c:layout/>
      <c:barChart>
        <c:barDir val="col"/>
        <c:grouping val="clustered"/>
        <c:varyColors val="0"/>
        <c:ser>
          <c:idx val="0"/>
          <c:order val="0"/>
          <c:tx>
            <c:strRef>
              <c:f>[工作簿1]Sheet1!$E$84</c:f>
              <c:strCache>
                <c:ptCount val="1"/>
                <c:pt idx="0">
                  <c:v>预算数</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2.85万元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0.38万元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[工作簿1]Sheet1!$D$85:$D$88</c:f>
              <c:strCache>
                <c:ptCount val="4"/>
                <c:pt idx="0">
                  <c:v>公务用车运行维护费</c:v>
                </c:pt>
                <c:pt idx="1">
                  <c:v>公务接待费支出</c:v>
                </c:pt>
                <c:pt idx="2">
                  <c:v>因公出国（境）支出</c:v>
                </c:pt>
                <c:pt idx="3">
                  <c:v>公务用车购置费用</c:v>
                </c:pt>
              </c:strCache>
            </c:strRef>
          </c:cat>
          <c:val>
            <c:numRef>
              <c:f>[工作簿1]Sheet1!$E$85:$E$88</c:f>
              <c:numCache>
                <c:formatCode>General</c:formatCode>
                <c:ptCount val="4"/>
                <c:pt idx="0">
                  <c:v>2.85</c:v>
                </c:pt>
                <c:pt idx="1">
                  <c:v>0.38</c:v>
                </c:pt>
                <c:pt idx="2">
                  <c:v>0</c:v>
                </c:pt>
                <c:pt idx="3">
                  <c:v>0</c:v>
                </c:pt>
              </c:numCache>
            </c:numRef>
          </c:val>
        </c:ser>
        <c:ser>
          <c:idx val="1"/>
          <c:order val="1"/>
          <c:tx>
            <c:strRef>
              <c:f>[工作簿1]Sheet1!$F$84</c:f>
              <c:strCache>
                <c:ptCount val="1"/>
                <c:pt idx="0">
                  <c:v>决算数</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0.44万元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0.16万元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[工作簿1]Sheet1!$D$85:$D$88</c:f>
              <c:strCache>
                <c:ptCount val="4"/>
                <c:pt idx="0">
                  <c:v>公务用车运行维护费</c:v>
                </c:pt>
                <c:pt idx="1">
                  <c:v>公务接待费支出</c:v>
                </c:pt>
                <c:pt idx="2">
                  <c:v>因公出国（境）支出</c:v>
                </c:pt>
                <c:pt idx="3">
                  <c:v>公务用车购置费用</c:v>
                </c:pt>
              </c:strCache>
            </c:strRef>
          </c:cat>
          <c:val>
            <c:numRef>
              <c:f>[工作簿1]Sheet1!$F$85:$F$88</c:f>
              <c:numCache>
                <c:formatCode>General</c:formatCode>
                <c:ptCount val="4"/>
                <c:pt idx="0">
                  <c:v>0.44</c:v>
                </c:pt>
                <c:pt idx="1">
                  <c:v>0.16</c:v>
                </c:pt>
                <c:pt idx="2">
                  <c:v>0</c:v>
                </c:pt>
                <c:pt idx="3">
                  <c:v>0</c:v>
                </c:pt>
              </c:numCache>
            </c:numRef>
          </c:val>
        </c:ser>
        <c:dLbls>
          <c:showLegendKey val="0"/>
          <c:showVal val="1"/>
          <c:showCatName val="0"/>
          <c:showSerName val="0"/>
          <c:showPercent val="0"/>
          <c:showBubbleSize val="0"/>
        </c:dLbls>
        <c:gapWidth val="219"/>
        <c:overlap val="-27"/>
        <c:axId val="21617695"/>
        <c:axId val="440055719"/>
      </c:barChart>
      <c:catAx>
        <c:axId val="216176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0055719"/>
        <c:crosses val="autoZero"/>
        <c:auto val="1"/>
        <c:lblAlgn val="ctr"/>
        <c:lblOffset val="100"/>
        <c:noMultiLvlLbl val="0"/>
      </c:catAx>
      <c:valAx>
        <c:axId val="440055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61769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Administrator</cp:lastModifiedBy>
  <cp:lastPrinted>2021-10-25T09:49:00Z</cp:lastPrinted>
  <dcterms:modified xsi:type="dcterms:W3CDTF">2021-10-27T03:28:58Z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C59B3CA2EF5540999361023A2665CAB7</vt:lpwstr>
  </property>
</Properties>
</file>