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0"/>
        </w:rPr>
      </w:pPr>
      <w:r>
        <w:rPr>
          <w:rFonts w:ascii="黑体" w:hAnsi="黑体" w:eastAsia="黑体" w:cs="黑体"/>
          <w:sz w:val="32"/>
        </w:rPr>
        <w:t>附件1</w:t>
      </w:r>
    </w:p>
    <w:p>
      <w:pPr>
        <w:jc w:val="center"/>
        <w:rPr>
          <w:rFonts w:ascii="宋体" w:hAnsi="宋体" w:eastAsia="宋体" w:cs="宋体"/>
          <w:b/>
          <w:sz w:val="44"/>
        </w:rPr>
      </w:pPr>
    </w:p>
    <w:p>
      <w:pPr>
        <w:spacing w:line="440" w:lineRule="auto"/>
        <w:jc w:val="center"/>
        <w:rPr>
          <w:rFonts w:ascii="宋体" w:hAnsi="宋体" w:eastAsia="宋体" w:cs="宋体"/>
          <w:b/>
          <w:sz w:val="44"/>
        </w:rPr>
      </w:pPr>
    </w:p>
    <w:p>
      <w:pPr>
        <w:jc w:val="center"/>
        <w:rPr>
          <w:rFonts w:ascii="宋体" w:hAnsi="宋体" w:eastAsia="宋体" w:cs="宋体"/>
          <w:b/>
          <w:sz w:val="36"/>
          <w:shd w:val="clear" w:color="auto" w:fill="FFFFFF"/>
        </w:rPr>
      </w:pPr>
    </w:p>
    <w:p>
      <w:pPr>
        <w:spacing w:line="520" w:lineRule="auto"/>
        <w:jc w:val="center"/>
        <w:rPr>
          <w:rFonts w:ascii="方正小标宋简体" w:hAnsi="方正小标宋简体" w:eastAsia="方正小标宋简体" w:cs="方正小标宋简体"/>
          <w:b/>
          <w:color w:val="000000"/>
          <w:sz w:val="44"/>
          <w:shd w:val="clear" w:color="auto" w:fill="FFFFFF"/>
        </w:rPr>
      </w:pPr>
      <w:r>
        <w:rPr>
          <w:rFonts w:ascii="宋体" w:hAnsi="宋体" w:eastAsia="宋体" w:cs="宋体"/>
          <w:b/>
          <w:color w:val="000000"/>
          <w:sz w:val="44"/>
          <w:shd w:val="clear" w:color="auto" w:fill="FFFFFF"/>
        </w:rPr>
        <w:t>中共西安市阎良区委政法委员会</w:t>
      </w:r>
    </w:p>
    <w:p>
      <w:pPr>
        <w:spacing w:line="520" w:lineRule="auto"/>
        <w:jc w:val="center"/>
        <w:rPr>
          <w:rFonts w:ascii="方正小标宋简体" w:hAnsi="方正小标宋简体" w:eastAsia="方正小标宋简体" w:cs="方正小标宋简体"/>
          <w:color w:val="000000"/>
          <w:sz w:val="44"/>
          <w:shd w:val="clear" w:color="auto" w:fill="FFFFFF"/>
        </w:rPr>
      </w:pPr>
      <w:r>
        <w:rPr>
          <w:rFonts w:ascii="方正小标宋简体" w:hAnsi="方正小标宋简体" w:eastAsia="方正小标宋简体" w:cs="方正小标宋简体"/>
          <w:b/>
          <w:color w:val="000000"/>
          <w:sz w:val="44"/>
          <w:shd w:val="clear" w:color="auto" w:fill="FFFFFF"/>
        </w:rPr>
        <w:t>2020</w:t>
      </w:r>
      <w:r>
        <w:rPr>
          <w:rFonts w:ascii="宋体" w:hAnsi="宋体" w:eastAsia="宋体" w:cs="宋体"/>
          <w:b/>
          <w:color w:val="000000"/>
          <w:sz w:val="44"/>
          <w:shd w:val="clear" w:color="auto" w:fill="FFFFFF"/>
        </w:rPr>
        <w:t>年度部门决算</w:t>
      </w:r>
    </w:p>
    <w:p>
      <w:pPr>
        <w:spacing w:line="560" w:lineRule="auto"/>
        <w:jc w:val="center"/>
        <w:rPr>
          <w:rFonts w:ascii="Calibri" w:hAnsi="Calibri" w:eastAsia="Calibri" w:cs="Calibri"/>
          <w:b/>
          <w:sz w:val="20"/>
        </w:rPr>
      </w:pPr>
    </w:p>
    <w:p>
      <w:pPr>
        <w:spacing w:line="560" w:lineRule="auto"/>
        <w:jc w:val="center"/>
        <w:rPr>
          <w:rFonts w:ascii="Calibri" w:hAnsi="Calibri" w:eastAsia="Calibri" w:cs="Calibri"/>
          <w:b/>
          <w:sz w:val="44"/>
        </w:rPr>
      </w:pPr>
    </w:p>
    <w:p>
      <w:pPr>
        <w:spacing w:line="560" w:lineRule="auto"/>
        <w:jc w:val="center"/>
        <w:rPr>
          <w:rFonts w:ascii="Calibri" w:hAnsi="Calibri" w:eastAsia="Calibri" w:cs="Calibri"/>
          <w:b/>
          <w:sz w:val="44"/>
        </w:rPr>
      </w:pPr>
    </w:p>
    <w:p>
      <w:pPr>
        <w:spacing w:line="560" w:lineRule="auto"/>
        <w:jc w:val="center"/>
        <w:rPr>
          <w:rFonts w:ascii="Calibri" w:hAnsi="Calibri" w:eastAsia="Calibri" w:cs="Calibri"/>
          <w:b/>
          <w:sz w:val="44"/>
        </w:rPr>
      </w:pPr>
    </w:p>
    <w:p>
      <w:pPr>
        <w:spacing w:line="560" w:lineRule="auto"/>
        <w:rPr>
          <w:rFonts w:ascii="Calibri" w:hAnsi="Calibri" w:eastAsia="Calibri" w:cs="Calibri"/>
          <w:b/>
          <w:sz w:val="44"/>
        </w:rPr>
      </w:pPr>
    </w:p>
    <w:p>
      <w:pPr>
        <w:spacing w:line="560" w:lineRule="auto"/>
        <w:rPr>
          <w:rFonts w:ascii="Calibri" w:hAnsi="Calibri" w:eastAsia="Calibri" w:cs="Calibri"/>
          <w:b/>
          <w:sz w:val="44"/>
        </w:rPr>
      </w:pPr>
    </w:p>
    <w:p>
      <w:pPr>
        <w:spacing w:line="560" w:lineRule="auto"/>
        <w:rPr>
          <w:rFonts w:ascii="Calibri" w:hAnsi="Calibri" w:eastAsia="Calibri" w:cs="Calibri"/>
          <w:b/>
          <w:sz w:val="44"/>
        </w:rPr>
      </w:pPr>
    </w:p>
    <w:p>
      <w:pPr>
        <w:spacing w:line="560" w:lineRule="auto"/>
        <w:rPr>
          <w:rFonts w:ascii="Calibri" w:hAnsi="Calibri" w:eastAsia="Calibri" w:cs="Calibri"/>
          <w:b/>
          <w:sz w:val="44"/>
        </w:rPr>
      </w:pPr>
    </w:p>
    <w:p>
      <w:pPr>
        <w:spacing w:line="560" w:lineRule="auto"/>
        <w:rPr>
          <w:rFonts w:ascii="Calibri" w:hAnsi="Calibri" w:eastAsia="Calibri" w:cs="Calibri"/>
          <w:b/>
          <w:sz w:val="44"/>
        </w:rPr>
      </w:pPr>
    </w:p>
    <w:p>
      <w:pPr>
        <w:spacing w:line="400" w:lineRule="auto"/>
        <w:ind w:firstLine="2570"/>
        <w:rPr>
          <w:rFonts w:ascii="Calibri" w:hAnsi="Calibri" w:eastAsia="Calibri" w:cs="Calibri"/>
          <w:b/>
          <w:sz w:val="20"/>
        </w:rPr>
      </w:pPr>
    </w:p>
    <w:p>
      <w:pPr>
        <w:spacing w:line="400" w:lineRule="auto"/>
        <w:ind w:firstLine="2570"/>
        <w:rPr>
          <w:rFonts w:ascii="Calibri" w:hAnsi="Calibri" w:eastAsia="Calibri" w:cs="Calibri"/>
          <w:b/>
          <w:sz w:val="20"/>
        </w:rPr>
      </w:pPr>
    </w:p>
    <w:p>
      <w:pPr>
        <w:spacing w:line="400" w:lineRule="auto"/>
        <w:ind w:firstLine="2088"/>
        <w:rPr>
          <w:rFonts w:ascii="Calibri" w:hAnsi="Calibri" w:eastAsia="Calibri" w:cs="Calibri"/>
          <w:b/>
          <w:sz w:val="20"/>
        </w:rPr>
      </w:pPr>
      <w:r>
        <w:rPr>
          <w:rFonts w:ascii="宋体" w:hAnsi="宋体" w:eastAsia="宋体" w:cs="宋体"/>
          <w:b/>
          <w:sz w:val="32"/>
        </w:rPr>
        <w:t>保密审查情况：已审查</w:t>
      </w:r>
    </w:p>
    <w:p>
      <w:pPr>
        <w:spacing w:line="400" w:lineRule="auto"/>
        <w:jc w:val="center"/>
        <w:rPr>
          <w:rFonts w:ascii="Calibri" w:hAnsi="Calibri" w:eastAsia="Calibri" w:cs="Calibri"/>
          <w:b/>
          <w:sz w:val="20"/>
          <w:shd w:val="clear" w:color="auto" w:fill="FFFF00"/>
        </w:rPr>
      </w:pPr>
    </w:p>
    <w:p>
      <w:pPr>
        <w:spacing w:line="400" w:lineRule="auto"/>
        <w:ind w:firstLine="2088"/>
        <w:rPr>
          <w:rFonts w:ascii="黑体" w:hAnsi="黑体" w:eastAsia="黑体" w:cs="黑体"/>
          <w:b/>
          <w:color w:val="000000"/>
          <w:sz w:val="56"/>
        </w:rPr>
      </w:pPr>
      <w:r>
        <w:rPr>
          <w:rFonts w:ascii="宋体" w:hAnsi="宋体" w:eastAsia="宋体" w:cs="宋体"/>
          <w:b/>
          <w:sz w:val="32"/>
        </w:rPr>
        <w:t>部门主要负责人审签情况：已审签</w:t>
      </w:r>
    </w:p>
    <w:p>
      <w:pPr>
        <w:jc w:val="center"/>
        <w:rPr>
          <w:rFonts w:ascii="黑体" w:hAnsi="黑体" w:eastAsia="黑体" w:cs="黑体"/>
          <w:color w:val="000000"/>
          <w:sz w:val="36"/>
        </w:rPr>
      </w:pPr>
      <w:r>
        <w:rPr>
          <w:rFonts w:ascii="黑体" w:hAnsi="黑体" w:eastAsia="黑体" w:cs="黑体"/>
          <w:color w:val="000000"/>
          <w:sz w:val="36"/>
        </w:rPr>
        <w:t>目录</w:t>
      </w:r>
    </w:p>
    <w:p>
      <w:pPr>
        <w:jc w:val="center"/>
        <w:rPr>
          <w:rFonts w:ascii="黑体" w:hAnsi="黑体" w:eastAsia="黑体" w:cs="黑体"/>
          <w:color w:val="000000"/>
          <w:sz w:val="36"/>
        </w:rPr>
      </w:pPr>
    </w:p>
    <w:p>
      <w:pPr>
        <w:spacing w:line="360" w:lineRule="auto"/>
        <w:jc w:val="center"/>
        <w:rPr>
          <w:rFonts w:ascii="Calibri" w:hAnsi="Calibri" w:eastAsia="Calibri" w:cs="Calibri"/>
          <w:b/>
          <w:i/>
          <w:caps/>
          <w:sz w:val="32"/>
        </w:rPr>
      </w:pPr>
      <w:r>
        <w:rPr>
          <w:rFonts w:ascii="黑体" w:hAnsi="黑体" w:eastAsia="黑体" w:cs="黑体"/>
          <w:color w:val="000000"/>
          <w:sz w:val="32"/>
        </w:rPr>
        <w:t>第一部分 部门概况</w:t>
      </w:r>
    </w:p>
    <w:p>
      <w:pPr>
        <w:spacing w:line="360" w:lineRule="auto"/>
        <w:jc w:val="left"/>
        <w:rPr>
          <w:rFonts w:ascii="仿宋" w:hAnsi="仿宋" w:eastAsia="仿宋" w:cs="仿宋"/>
          <w:color w:val="000000"/>
          <w:sz w:val="20"/>
        </w:rPr>
      </w:pPr>
      <w:r>
        <w:rPr>
          <w:rFonts w:ascii="仿宋" w:hAnsi="仿宋" w:eastAsia="仿宋" w:cs="仿宋"/>
          <w:color w:val="000000"/>
          <w:sz w:val="32"/>
        </w:rPr>
        <w:t>一、部门主要职责及内设机构</w:t>
      </w:r>
    </w:p>
    <w:p>
      <w:pPr>
        <w:spacing w:line="360" w:lineRule="auto"/>
        <w:jc w:val="left"/>
        <w:rPr>
          <w:rFonts w:ascii="仿宋" w:hAnsi="仿宋" w:eastAsia="仿宋" w:cs="仿宋"/>
          <w:color w:val="000000"/>
          <w:sz w:val="20"/>
        </w:rPr>
      </w:pPr>
      <w:r>
        <w:rPr>
          <w:rFonts w:ascii="仿宋" w:hAnsi="仿宋" w:eastAsia="仿宋" w:cs="仿宋"/>
          <w:color w:val="000000"/>
          <w:sz w:val="32"/>
        </w:rPr>
        <w:t>二、部门决算单位构成</w:t>
      </w:r>
    </w:p>
    <w:p>
      <w:pPr>
        <w:spacing w:line="360" w:lineRule="auto"/>
        <w:jc w:val="left"/>
        <w:rPr>
          <w:rFonts w:ascii="仿宋" w:hAnsi="仿宋" w:eastAsia="仿宋" w:cs="仿宋"/>
          <w:color w:val="000000"/>
          <w:sz w:val="20"/>
        </w:rPr>
      </w:pPr>
      <w:r>
        <w:rPr>
          <w:rFonts w:ascii="仿宋" w:hAnsi="仿宋" w:eastAsia="仿宋" w:cs="仿宋"/>
          <w:color w:val="000000"/>
          <w:sz w:val="32"/>
        </w:rPr>
        <w:t>三、部门人员情况</w:t>
      </w:r>
    </w:p>
    <w:p>
      <w:pPr>
        <w:spacing w:line="360" w:lineRule="auto"/>
        <w:jc w:val="center"/>
        <w:rPr>
          <w:rFonts w:ascii="Calibri" w:hAnsi="Calibri" w:eastAsia="Calibri" w:cs="Calibri"/>
          <w:b/>
          <w:i/>
          <w:caps/>
          <w:sz w:val="32"/>
        </w:rPr>
      </w:pPr>
      <w:r>
        <w:rPr>
          <w:rFonts w:ascii="黑体" w:hAnsi="黑体" w:eastAsia="黑体" w:cs="黑体"/>
          <w:color w:val="000000"/>
          <w:sz w:val="32"/>
        </w:rPr>
        <w:t>第二部分  2020年部门决算表</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一、收入支出决算总表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二、收入决算总表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三、支出决算总表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四、财政拨款收入支出决算总表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五、一般公共预算财政拨款支出决算表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六、一般公共预算财政拨款基本支出决算表    </w:t>
      </w:r>
    </w:p>
    <w:p>
      <w:pPr>
        <w:spacing w:line="360" w:lineRule="auto"/>
        <w:jc w:val="left"/>
        <w:rPr>
          <w:rFonts w:ascii="仿宋" w:hAnsi="仿宋" w:eastAsia="仿宋" w:cs="仿宋"/>
          <w:color w:val="000000"/>
          <w:sz w:val="20"/>
        </w:rPr>
      </w:pPr>
      <w:r>
        <w:rPr>
          <w:rFonts w:ascii="仿宋" w:hAnsi="仿宋" w:eastAsia="仿宋" w:cs="仿宋"/>
          <w:color w:val="000000"/>
          <w:sz w:val="32"/>
        </w:rPr>
        <w:t xml:space="preserve">七、一般公共预算财政拨款“三公”经费及会议费、培训费支出决算表    </w:t>
      </w:r>
    </w:p>
    <w:p>
      <w:pPr>
        <w:spacing w:line="360" w:lineRule="auto"/>
        <w:jc w:val="left"/>
        <w:rPr>
          <w:rFonts w:ascii="仿宋" w:hAnsi="仿宋" w:eastAsia="仿宋" w:cs="仿宋"/>
          <w:color w:val="000000"/>
          <w:sz w:val="20"/>
        </w:rPr>
      </w:pPr>
      <w:r>
        <w:rPr>
          <w:rFonts w:ascii="仿宋" w:hAnsi="仿宋" w:eastAsia="仿宋" w:cs="仿宋"/>
          <w:color w:val="000000"/>
          <w:sz w:val="32"/>
        </w:rPr>
        <w:t>八、政府性基金预算财政拨款收入支出决算表</w:t>
      </w:r>
    </w:p>
    <w:p>
      <w:pPr>
        <w:spacing w:line="360" w:lineRule="auto"/>
        <w:jc w:val="left"/>
        <w:rPr>
          <w:rFonts w:ascii="仿宋" w:hAnsi="仿宋" w:eastAsia="仿宋" w:cs="仿宋"/>
          <w:color w:val="000000"/>
          <w:sz w:val="20"/>
        </w:rPr>
      </w:pPr>
      <w:r>
        <w:rPr>
          <w:rFonts w:ascii="仿宋" w:hAnsi="仿宋" w:eastAsia="仿宋" w:cs="仿宋"/>
          <w:color w:val="000000"/>
          <w:sz w:val="32"/>
        </w:rPr>
        <w:t>九、国有资本经营预算财政拨款支出决算表</w:t>
      </w:r>
    </w:p>
    <w:p>
      <w:pPr>
        <w:spacing w:line="360" w:lineRule="auto"/>
        <w:jc w:val="center"/>
        <w:rPr>
          <w:rFonts w:ascii="Calibri" w:hAnsi="Calibri" w:eastAsia="Calibri" w:cs="Calibri"/>
          <w:b/>
          <w:i/>
          <w:caps/>
          <w:sz w:val="32"/>
        </w:rPr>
      </w:pPr>
      <w:r>
        <w:rPr>
          <w:rFonts w:ascii="黑体" w:hAnsi="黑体" w:eastAsia="黑体" w:cs="黑体"/>
          <w:color w:val="000000"/>
          <w:sz w:val="32"/>
        </w:rPr>
        <w:t>第三部分 2020年部门决算情况说明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一、收入支出决算总体情况说明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二、收入决算情况说明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三、支出决算情况说明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四、财政拨款收入支出决算总体情况说明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五、一般公共预算财政拨款支出决算情况说明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六、一般公共预算财政拨款基本支出决算情况说明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七、一般公共预算财政拨款“三公”经费及会议费、培训费支出决算情况说明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八、政府性基金预算财政拨款收入支出情况说明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九、国有资本经营财政拨款收入支出情况说明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十、机关运行经费支出情况说明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十一、政府采购支出情况说明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十二、国有资产占用及购置情况说明</w:t>
      </w:r>
    </w:p>
    <w:p>
      <w:pPr>
        <w:spacing w:line="360" w:lineRule="auto"/>
        <w:jc w:val="left"/>
        <w:rPr>
          <w:rFonts w:ascii="仿宋" w:hAnsi="仿宋" w:eastAsia="仿宋" w:cs="仿宋"/>
          <w:color w:val="000000"/>
          <w:sz w:val="20"/>
        </w:rPr>
      </w:pPr>
      <w:r>
        <w:rPr>
          <w:rFonts w:ascii="仿宋" w:hAnsi="仿宋" w:eastAsia="仿宋" w:cs="仿宋"/>
          <w:color w:val="000000"/>
          <w:sz w:val="32"/>
        </w:rPr>
        <w:t>十三、预算绩效情况说明</w:t>
      </w:r>
    </w:p>
    <w:p>
      <w:pPr>
        <w:spacing w:line="360" w:lineRule="auto"/>
        <w:jc w:val="center"/>
        <w:rPr>
          <w:rFonts w:ascii="黑体" w:hAnsi="黑体" w:eastAsia="黑体" w:cs="黑体"/>
          <w:color w:val="000000"/>
          <w:sz w:val="20"/>
        </w:rPr>
      </w:pPr>
      <w:r>
        <w:rPr>
          <w:rFonts w:ascii="黑体" w:hAnsi="黑体" w:eastAsia="黑体" w:cs="黑体"/>
          <w:color w:val="000000"/>
          <w:sz w:val="32"/>
        </w:rPr>
        <w:t>第四部分 专业名词解释</w:t>
      </w: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rPr>
          <w:rFonts w:ascii="黑体" w:hAnsi="黑体" w:eastAsia="黑体" w:cs="黑体"/>
          <w:color w:val="000000"/>
          <w:sz w:val="20"/>
        </w:rPr>
      </w:pPr>
    </w:p>
    <w:p>
      <w:pPr>
        <w:numPr>
          <w:ilvl w:val="0"/>
          <w:numId w:val="1"/>
        </w:numPr>
        <w:jc w:val="center"/>
        <w:rPr>
          <w:rFonts w:ascii="黑体" w:hAnsi="黑体" w:eastAsia="黑体" w:cs="黑体"/>
          <w:color w:val="000000"/>
          <w:sz w:val="44"/>
        </w:rPr>
      </w:pPr>
      <w:r>
        <w:rPr>
          <w:rFonts w:ascii="黑体" w:hAnsi="黑体" w:eastAsia="黑体" w:cs="黑体"/>
          <w:color w:val="000000"/>
          <w:sz w:val="44"/>
        </w:rPr>
        <w:t>部门概况</w:t>
      </w:r>
    </w:p>
    <w:p>
      <w:pPr>
        <w:rPr>
          <w:rFonts w:ascii="黑体" w:hAnsi="黑体" w:eastAsia="黑体" w:cs="黑体"/>
          <w:color w:val="000000"/>
          <w:sz w:val="44"/>
        </w:rPr>
      </w:pPr>
    </w:p>
    <w:p>
      <w:pPr>
        <w:numPr>
          <w:ilvl w:val="0"/>
          <w:numId w:val="2"/>
        </w:numPr>
        <w:spacing w:line="560" w:lineRule="auto"/>
        <w:ind w:firstLine="640"/>
        <w:jc w:val="left"/>
        <w:rPr>
          <w:rFonts w:ascii="黑体" w:hAnsi="黑体" w:eastAsia="黑体" w:cs="黑体"/>
          <w:color w:val="000000"/>
          <w:sz w:val="32"/>
        </w:rPr>
      </w:pPr>
      <w:r>
        <w:rPr>
          <w:rFonts w:ascii="黑体" w:hAnsi="黑体" w:eastAsia="黑体" w:cs="黑体"/>
          <w:color w:val="000000"/>
          <w:sz w:val="32"/>
        </w:rPr>
        <w:t>部门主要职责及内设机构</w:t>
      </w:r>
    </w:p>
    <w:p>
      <w:pPr>
        <w:spacing w:line="560" w:lineRule="auto"/>
        <w:ind w:firstLine="800"/>
        <w:rPr>
          <w:rFonts w:ascii="仿宋_GB2312" w:hAnsi="仿宋_GB2312" w:eastAsia="仿宋_GB2312" w:cs="仿宋_GB2312"/>
          <w:sz w:val="20"/>
        </w:rPr>
      </w:pPr>
      <w:r>
        <w:rPr>
          <w:rFonts w:ascii="宋体" w:hAnsi="宋体" w:eastAsia="宋体" w:cs="宋体"/>
          <w:sz w:val="32"/>
        </w:rPr>
        <w:t>根据《中共西安市阎良区委办公室关于印发中共西安市阎良区委政法委员会职能配置内设机构和人员编制规定的通知》（阎办字【</w:t>
      </w:r>
      <w:r>
        <w:rPr>
          <w:rFonts w:ascii="仿宋_GB2312" w:hAnsi="仿宋_GB2312" w:eastAsia="仿宋_GB2312" w:cs="仿宋_GB2312"/>
          <w:sz w:val="32"/>
        </w:rPr>
        <w:t>2019</w:t>
      </w:r>
      <w:r>
        <w:rPr>
          <w:rFonts w:ascii="宋体" w:hAnsi="宋体" w:eastAsia="宋体" w:cs="宋体"/>
          <w:sz w:val="32"/>
        </w:rPr>
        <w:t>】</w:t>
      </w:r>
      <w:r>
        <w:rPr>
          <w:rFonts w:ascii="仿宋_GB2312" w:hAnsi="仿宋_GB2312" w:eastAsia="仿宋_GB2312" w:cs="仿宋_GB2312"/>
          <w:sz w:val="32"/>
        </w:rPr>
        <w:t>40</w:t>
      </w:r>
      <w:r>
        <w:rPr>
          <w:rFonts w:ascii="宋体" w:hAnsi="宋体" w:eastAsia="宋体" w:cs="宋体"/>
          <w:sz w:val="32"/>
        </w:rPr>
        <w:t>号），中共西安市阎良区委政法委员会是区委领导和管理政法工作的职能部门，是区委工作机关，为正处级，贯彻落实党中央、省委、市委、和区委对政法工作的方针政策和决策部署。</w:t>
      </w:r>
    </w:p>
    <w:p>
      <w:pPr>
        <w:spacing w:line="560" w:lineRule="auto"/>
        <w:ind w:firstLine="643"/>
        <w:jc w:val="left"/>
        <w:rPr>
          <w:rFonts w:ascii="楷体" w:hAnsi="楷体" w:eastAsia="楷体" w:cs="楷体"/>
          <w:b/>
          <w:color w:val="000000"/>
          <w:sz w:val="20"/>
        </w:rPr>
      </w:pPr>
      <w:r>
        <w:rPr>
          <w:rFonts w:ascii="楷体" w:hAnsi="楷体" w:eastAsia="楷体" w:cs="楷体"/>
          <w:b/>
          <w:color w:val="000000"/>
          <w:sz w:val="32"/>
        </w:rPr>
        <w:t>（一）主要职责</w:t>
      </w:r>
    </w:p>
    <w:p>
      <w:pPr>
        <w:spacing w:line="560" w:lineRule="auto"/>
        <w:ind w:firstLine="640"/>
        <w:rPr>
          <w:rFonts w:ascii="仿宋_GB2312" w:hAnsi="仿宋_GB2312" w:eastAsia="仿宋_GB2312" w:cs="仿宋_GB2312"/>
          <w:sz w:val="20"/>
        </w:rPr>
      </w:pPr>
      <w:r>
        <w:rPr>
          <w:rFonts w:ascii="宋体" w:hAnsi="宋体" w:eastAsia="宋体" w:cs="宋体"/>
          <w:sz w:val="32"/>
        </w:rPr>
        <w:t>（一）贯彻落实习近平新时代中国特色社会主义思想，坚持党对政法工作的绝对领导，坚决维护习近平总书记核心地位，坚决维护党中央权威和集中统一领导，坚决执行党的路线方针政策和决策部署，贯彻执行《中国共产党政法工作条例》。</w:t>
      </w:r>
    </w:p>
    <w:p>
      <w:pPr>
        <w:spacing w:line="560" w:lineRule="auto"/>
        <w:ind w:firstLine="640"/>
        <w:rPr>
          <w:rFonts w:ascii="仿宋_GB2312" w:hAnsi="仿宋_GB2312" w:eastAsia="仿宋_GB2312" w:cs="仿宋_GB2312"/>
          <w:sz w:val="20"/>
        </w:rPr>
      </w:pPr>
      <w:r>
        <w:rPr>
          <w:rFonts w:ascii="宋体" w:hAnsi="宋体" w:eastAsia="宋体" w:cs="宋体"/>
          <w:sz w:val="32"/>
        </w:rPr>
        <w:t>（二）拟订全区政法工作规划和年度工作计划并组织实施。组织开展全区政法领域重大实践和理论问题调查研究，统筹推进政法改革工作。</w:t>
      </w:r>
    </w:p>
    <w:p>
      <w:pPr>
        <w:spacing w:line="560" w:lineRule="auto"/>
        <w:ind w:firstLine="640"/>
        <w:rPr>
          <w:rFonts w:ascii="仿宋_GB2312" w:hAnsi="仿宋_GB2312" w:eastAsia="仿宋_GB2312" w:cs="仿宋_GB2312"/>
          <w:sz w:val="20"/>
        </w:rPr>
      </w:pPr>
      <w:r>
        <w:rPr>
          <w:rFonts w:ascii="宋体" w:hAnsi="宋体" w:eastAsia="宋体" w:cs="宋体"/>
          <w:sz w:val="32"/>
        </w:rPr>
        <w:t>（三）组织、协调、指导维护社会稳定工作，了解掌握和分析研判全区社会稳定形势；组织完善维稳工作机制，负责全区社会稳定风险评估工作，指导政法各部门处理影响全区社会稳定的重大事项，牵头负责协调应对和妥善处置重大突发事件，协调处理群体性事件。</w:t>
      </w:r>
    </w:p>
    <w:p>
      <w:pPr>
        <w:spacing w:line="560" w:lineRule="auto"/>
        <w:ind w:firstLine="640"/>
        <w:rPr>
          <w:rFonts w:ascii="仿宋_GB2312" w:hAnsi="仿宋_GB2312" w:eastAsia="仿宋_GB2312" w:cs="仿宋_GB2312"/>
          <w:sz w:val="20"/>
        </w:rPr>
      </w:pPr>
      <w:r>
        <w:rPr>
          <w:rFonts w:ascii="宋体" w:hAnsi="宋体" w:eastAsia="宋体" w:cs="宋体"/>
          <w:sz w:val="32"/>
        </w:rPr>
        <w:t>（四）分析研判全区社会治安形势并提出对策建议；加</w:t>
      </w:r>
    </w:p>
    <w:p>
      <w:pPr>
        <w:spacing w:line="560" w:lineRule="auto"/>
        <w:rPr>
          <w:rFonts w:ascii="仿宋_GB2312" w:hAnsi="仿宋_GB2312" w:eastAsia="仿宋_GB2312" w:cs="仿宋_GB2312"/>
          <w:sz w:val="20"/>
        </w:rPr>
      </w:pPr>
      <w:r>
        <w:rPr>
          <w:rFonts w:ascii="宋体" w:hAnsi="宋体" w:eastAsia="宋体" w:cs="宋体"/>
          <w:sz w:val="32"/>
        </w:rPr>
        <w:t>强对社会治安综合治理工作的督导检查，协调指导全区推进治安问题排查整治和社会治安防控体系建设，统筹协调推进社会治安综合治理工作，提升社会公众安全感。</w:t>
      </w:r>
    </w:p>
    <w:p>
      <w:pPr>
        <w:spacing w:line="560" w:lineRule="auto"/>
        <w:ind w:firstLine="640"/>
        <w:rPr>
          <w:rFonts w:ascii="仿宋_GB2312" w:hAnsi="仿宋_GB2312" w:eastAsia="仿宋_GB2312" w:cs="仿宋_GB2312"/>
          <w:sz w:val="20"/>
        </w:rPr>
      </w:pPr>
      <w:r>
        <w:rPr>
          <w:rFonts w:ascii="宋体" w:hAnsi="宋体" w:eastAsia="宋体" w:cs="宋体"/>
          <w:sz w:val="32"/>
        </w:rPr>
        <w:t>（五）了解掌握邪教发展动向，组织开展涉邪教问题调查研充，提出对策和建议；协调指导全区反邪教相关工作，统筹部署开展重大斗争活动。</w:t>
      </w:r>
    </w:p>
    <w:p>
      <w:pPr>
        <w:spacing w:line="560" w:lineRule="auto"/>
        <w:ind w:firstLine="640"/>
        <w:rPr>
          <w:rFonts w:ascii="仿宋_GB2312" w:hAnsi="仿宋_GB2312" w:eastAsia="仿宋_GB2312" w:cs="仿宋_GB2312"/>
          <w:sz w:val="20"/>
        </w:rPr>
      </w:pPr>
      <w:r>
        <w:rPr>
          <w:rFonts w:ascii="宋体" w:hAnsi="宋体" w:eastAsia="宋体" w:cs="宋体"/>
          <w:sz w:val="32"/>
        </w:rPr>
        <w:t>（六）协调推进全区基层社会综合治理体系建设，完善基层综治维稳机制，协调指导推动社会治安综合治理信息化建设，组织推进全区矛盾纠纷多元化解工作。</w:t>
      </w:r>
    </w:p>
    <w:p>
      <w:pPr>
        <w:spacing w:line="560" w:lineRule="auto"/>
        <w:ind w:firstLine="640"/>
        <w:rPr>
          <w:rFonts w:ascii="仿宋_GB2312" w:hAnsi="仿宋_GB2312" w:eastAsia="仿宋_GB2312" w:cs="仿宋_GB2312"/>
          <w:sz w:val="20"/>
        </w:rPr>
      </w:pPr>
      <w:r>
        <w:rPr>
          <w:rFonts w:ascii="宋体" w:hAnsi="宋体" w:eastAsia="宋体" w:cs="宋体"/>
          <w:sz w:val="32"/>
        </w:rPr>
        <w:t>（七）监督和支持区级政法单位依法行使职权，检查区级政法单位执行党的路线方针政策和国家法律法规的情况，指导和协调政法单位密切配合，完善与纪检监察机关工作衔接和协作配合机制，推进严格执法、公正司法。</w:t>
      </w:r>
    </w:p>
    <w:p>
      <w:pPr>
        <w:spacing w:line="560" w:lineRule="auto"/>
        <w:ind w:firstLine="640"/>
        <w:rPr>
          <w:rFonts w:ascii="仿宋_GB2312" w:hAnsi="仿宋_GB2312" w:eastAsia="仿宋_GB2312" w:cs="仿宋_GB2312"/>
          <w:sz w:val="20"/>
        </w:rPr>
      </w:pPr>
      <w:r>
        <w:rPr>
          <w:rFonts w:ascii="宋体" w:hAnsi="宋体" w:eastAsia="宋体" w:cs="宋体"/>
          <w:sz w:val="32"/>
        </w:rPr>
        <w:t>（八）指导推动政法系统党的建设和政法队伍建设，协助组织部门加强政法单位领导班子和干部队伍建设，指导全区政法系统人才队伍建设，承担全区政法系统干部教育培训工作。</w:t>
      </w:r>
    </w:p>
    <w:p>
      <w:pPr>
        <w:spacing w:line="560" w:lineRule="auto"/>
        <w:ind w:firstLine="640"/>
        <w:rPr>
          <w:rFonts w:ascii="仿宋_GB2312" w:hAnsi="仿宋_GB2312" w:eastAsia="仿宋_GB2312" w:cs="仿宋_GB2312"/>
          <w:sz w:val="20"/>
        </w:rPr>
      </w:pPr>
      <w:r>
        <w:rPr>
          <w:rFonts w:ascii="宋体" w:hAnsi="宋体" w:eastAsia="宋体" w:cs="宋体"/>
          <w:sz w:val="32"/>
        </w:rPr>
        <w:t>（九）落实区委全面依法治区领导机构的决策部署，分析研判全区政治安全形势和法治建设情况，并提出意见建议，指导和协调区级政法单位维护政治安全工作和执法司法相关工作。</w:t>
      </w:r>
    </w:p>
    <w:p>
      <w:pPr>
        <w:spacing w:line="560" w:lineRule="auto"/>
        <w:ind w:firstLine="640"/>
        <w:rPr>
          <w:rFonts w:ascii="仿宋_GB2312" w:hAnsi="仿宋_GB2312" w:eastAsia="仿宋_GB2312" w:cs="仿宋_GB2312"/>
          <w:sz w:val="20"/>
        </w:rPr>
      </w:pPr>
      <w:r>
        <w:rPr>
          <w:rFonts w:ascii="宋体" w:hAnsi="宋体" w:eastAsia="宋体" w:cs="宋体"/>
          <w:sz w:val="32"/>
        </w:rPr>
        <w:t>（十）了解掌握和分析全区政法舆情动态并提出对策建议，加强涉及政法系统重大舆情的风险评估和监测报送，指导和协调政法单位和有关部门做好舆论引导工作，统筹指导全区政法宣传工作，做好政法系统先进典型培育和评选推荐</w:t>
      </w:r>
    </w:p>
    <w:p>
      <w:pPr>
        <w:spacing w:line="560" w:lineRule="auto"/>
        <w:ind w:firstLine="640"/>
        <w:rPr>
          <w:rFonts w:ascii="仿宋_GB2312" w:hAnsi="仿宋_GB2312" w:eastAsia="仿宋_GB2312" w:cs="仿宋_GB2312"/>
          <w:sz w:val="20"/>
        </w:rPr>
      </w:pPr>
      <w:r>
        <w:rPr>
          <w:rFonts w:ascii="仿宋_GB2312" w:hAnsi="仿宋_GB2312" w:eastAsia="仿宋_GB2312" w:cs="仿宋_GB2312"/>
          <w:sz w:val="32"/>
        </w:rPr>
        <w:t>(</w:t>
      </w:r>
      <w:r>
        <w:rPr>
          <w:rFonts w:ascii="宋体" w:hAnsi="宋体" w:eastAsia="宋体" w:cs="宋体"/>
          <w:sz w:val="32"/>
        </w:rPr>
        <w:t>十一）统一全区政法单位思想和行动，研究和协调区级政法单位之间、区级政法单位与部门、街道之间有关重大事项。统一管理区委平安建设工作办公室。</w:t>
      </w:r>
    </w:p>
    <w:p>
      <w:pPr>
        <w:spacing w:line="560" w:lineRule="auto"/>
        <w:ind w:firstLine="640"/>
        <w:rPr>
          <w:rFonts w:ascii="仿宋_GB2312" w:hAnsi="仿宋_GB2312" w:eastAsia="仿宋_GB2312" w:cs="仿宋_GB2312"/>
          <w:sz w:val="20"/>
        </w:rPr>
      </w:pPr>
      <w:r>
        <w:rPr>
          <w:rFonts w:ascii="宋体" w:hAnsi="宋体" w:eastAsia="宋体" w:cs="宋体"/>
          <w:sz w:val="32"/>
        </w:rPr>
        <w:t>（十二）组织推动区级政法各部门开展党风廉政建设，协助区纪委监委查处违纪违法行为。</w:t>
      </w:r>
    </w:p>
    <w:p>
      <w:pPr>
        <w:spacing w:line="560" w:lineRule="auto"/>
        <w:ind w:firstLine="640"/>
        <w:rPr>
          <w:rFonts w:ascii="仿宋_GB2312" w:hAnsi="仿宋_GB2312" w:eastAsia="仿宋_GB2312" w:cs="仿宋_GB2312"/>
          <w:sz w:val="20"/>
        </w:rPr>
      </w:pPr>
      <w:r>
        <w:rPr>
          <w:rFonts w:ascii="宋体" w:hAnsi="宋体" w:eastAsia="宋体" w:cs="宋体"/>
          <w:sz w:val="32"/>
        </w:rPr>
        <w:t>（十三）负责本机关安全生产管理工作。</w:t>
      </w:r>
    </w:p>
    <w:p>
      <w:pPr>
        <w:spacing w:line="560" w:lineRule="auto"/>
        <w:ind w:firstLine="640"/>
        <w:rPr>
          <w:rFonts w:ascii="仿宋_GB2312" w:hAnsi="仿宋_GB2312" w:eastAsia="仿宋_GB2312" w:cs="仿宋_GB2312"/>
          <w:sz w:val="20"/>
        </w:rPr>
      </w:pPr>
      <w:r>
        <w:rPr>
          <w:rFonts w:ascii="宋体" w:hAnsi="宋体" w:eastAsia="宋体" w:cs="宋体"/>
          <w:sz w:val="32"/>
        </w:rPr>
        <w:t>（十四）承办区委交办的其他事项。</w:t>
      </w:r>
    </w:p>
    <w:p>
      <w:pPr>
        <w:spacing w:line="560" w:lineRule="auto"/>
        <w:ind w:firstLine="640"/>
        <w:jc w:val="left"/>
        <w:rPr>
          <w:rFonts w:ascii="仿宋_GB2312" w:hAnsi="仿宋_GB2312" w:eastAsia="仿宋_GB2312" w:cs="仿宋_GB2312"/>
          <w:sz w:val="20"/>
        </w:rPr>
      </w:pPr>
      <w:r>
        <w:rPr>
          <w:rFonts w:ascii="楷体" w:hAnsi="楷体" w:eastAsia="楷体" w:cs="楷体"/>
          <w:b/>
          <w:color w:val="000000"/>
          <w:sz w:val="32"/>
        </w:rPr>
        <w:t>（二）内设机构</w:t>
      </w:r>
    </w:p>
    <w:p>
      <w:pPr>
        <w:spacing w:line="560" w:lineRule="auto"/>
        <w:ind w:firstLine="640"/>
        <w:jc w:val="left"/>
        <w:rPr>
          <w:rFonts w:ascii="Calibri" w:hAnsi="Calibri" w:eastAsia="Calibri" w:cs="Calibri"/>
          <w:b/>
          <w:i/>
          <w:caps/>
          <w:sz w:val="32"/>
        </w:rPr>
      </w:pPr>
      <w:r>
        <w:rPr>
          <w:rFonts w:hint="eastAsia" w:ascii="黑体" w:hAnsi="黑体" w:eastAsia="黑体" w:cs="黑体"/>
          <w:color w:val="000000"/>
          <w:sz w:val="32"/>
        </w:rPr>
        <w:t>一</w:t>
      </w:r>
      <w:r>
        <w:rPr>
          <w:rFonts w:ascii="黑体" w:hAnsi="黑体" w:eastAsia="黑体" w:cs="黑体"/>
          <w:color w:val="000000"/>
          <w:sz w:val="32"/>
        </w:rPr>
        <w:t>、部门决算单位构成</w:t>
      </w:r>
    </w:p>
    <w:p>
      <w:pPr>
        <w:spacing w:line="560" w:lineRule="auto"/>
        <w:ind w:firstLine="640"/>
        <w:jc w:val="left"/>
        <w:rPr>
          <w:rFonts w:ascii="楷体" w:hAnsi="楷体" w:eastAsia="楷体" w:cs="楷体"/>
          <w:b/>
          <w:color w:val="000000"/>
          <w:sz w:val="20"/>
        </w:rPr>
      </w:pPr>
      <w:r>
        <w:rPr>
          <w:rFonts w:ascii="宋体" w:hAnsi="宋体" w:eastAsia="宋体" w:cs="宋体"/>
          <w:sz w:val="32"/>
        </w:rPr>
        <w:t>中共西安市阎良区委政法委员会下设</w:t>
      </w:r>
      <w:r>
        <w:rPr>
          <w:rFonts w:ascii="仿宋_GB2312" w:hAnsi="仿宋_GB2312" w:eastAsia="仿宋_GB2312" w:cs="仿宋_GB2312"/>
          <w:sz w:val="32"/>
        </w:rPr>
        <w:t>3</w:t>
      </w:r>
      <w:r>
        <w:rPr>
          <w:rFonts w:ascii="宋体" w:hAnsi="宋体" w:eastAsia="宋体" w:cs="宋体"/>
          <w:sz w:val="32"/>
        </w:rPr>
        <w:t>个科室：办公室、综治科、维稳科。</w:t>
      </w:r>
    </w:p>
    <w:p>
      <w:pPr>
        <w:spacing w:line="560" w:lineRule="auto"/>
        <w:ind w:firstLine="640"/>
        <w:jc w:val="left"/>
        <w:rPr>
          <w:rFonts w:ascii="Calibri" w:hAnsi="Calibri" w:eastAsia="Calibri" w:cs="Calibri"/>
          <w:b/>
          <w:i/>
          <w:caps/>
          <w:sz w:val="32"/>
        </w:rPr>
      </w:pPr>
      <w:r>
        <w:rPr>
          <w:rFonts w:ascii="黑体" w:hAnsi="黑体" w:eastAsia="黑体" w:cs="黑体"/>
          <w:color w:val="000000"/>
          <w:sz w:val="32"/>
        </w:rPr>
        <w:t>二、部门决算单位构成</w:t>
      </w:r>
    </w:p>
    <w:p>
      <w:pPr>
        <w:spacing w:line="560" w:lineRule="auto"/>
        <w:ind w:firstLine="640"/>
        <w:rPr>
          <w:rFonts w:ascii="仿宋_GB2312" w:hAnsi="仿宋_GB2312" w:eastAsia="仿宋_GB2312" w:cs="仿宋_GB2312"/>
          <w:sz w:val="20"/>
        </w:rPr>
      </w:pPr>
      <w:r>
        <w:rPr>
          <w:rFonts w:ascii="宋体" w:hAnsi="宋体" w:eastAsia="宋体" w:cs="宋体"/>
          <w:sz w:val="32"/>
        </w:rPr>
        <w:t>纳入</w:t>
      </w:r>
      <w:r>
        <w:rPr>
          <w:rFonts w:ascii="仿宋_GB2312" w:hAnsi="仿宋_GB2312" w:eastAsia="仿宋_GB2312" w:cs="仿宋_GB2312"/>
          <w:sz w:val="32"/>
        </w:rPr>
        <w:t>2020</w:t>
      </w:r>
      <w:r>
        <w:rPr>
          <w:rFonts w:ascii="宋体" w:hAnsi="宋体" w:eastAsia="宋体" w:cs="宋体"/>
          <w:sz w:val="32"/>
        </w:rPr>
        <w:t>年度本部门决算编制范围的单位共</w:t>
      </w:r>
      <w:r>
        <w:rPr>
          <w:rFonts w:ascii="仿宋_GB2312" w:hAnsi="仿宋_GB2312" w:eastAsia="仿宋_GB2312" w:cs="仿宋_GB2312"/>
          <w:sz w:val="32"/>
        </w:rPr>
        <w:t>1</w:t>
      </w:r>
      <w:r>
        <w:rPr>
          <w:rFonts w:ascii="宋体" w:hAnsi="宋体" w:eastAsia="宋体" w:cs="宋体"/>
          <w:sz w:val="32"/>
        </w:rPr>
        <w:t>个，决算包括部门本级（机关）决算，无二级决算单位：</w:t>
      </w:r>
    </w:p>
    <w:tbl>
      <w:tblPr>
        <w:tblStyle w:val="5"/>
        <w:tblW w:w="0" w:type="auto"/>
        <w:tblInd w:w="0" w:type="dxa"/>
        <w:tblLayout w:type="autofit"/>
        <w:tblCellMar>
          <w:top w:w="0" w:type="dxa"/>
          <w:left w:w="10" w:type="dxa"/>
          <w:bottom w:w="0" w:type="dxa"/>
          <w:right w:w="10" w:type="dxa"/>
        </w:tblCellMar>
      </w:tblPr>
      <w:tblGrid>
        <w:gridCol w:w="1712"/>
        <w:gridCol w:w="7412"/>
      </w:tblGrid>
      <w:tr>
        <w:tblPrEx>
          <w:tblCellMar>
            <w:top w:w="0" w:type="dxa"/>
            <w:left w:w="10" w:type="dxa"/>
            <w:bottom w:w="0" w:type="dxa"/>
            <w:right w:w="10" w:type="dxa"/>
          </w:tblCellMar>
        </w:tblPrEx>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32"/>
              </w:rPr>
              <w:t>序号</w:t>
            </w:r>
          </w:p>
        </w:tc>
        <w:tc>
          <w:tcPr>
            <w:tcW w:w="74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32"/>
              </w:rPr>
              <w:t>单位名称</w:t>
            </w:r>
          </w:p>
        </w:tc>
      </w:tr>
      <w:tr>
        <w:tblPrEx>
          <w:tblCellMar>
            <w:top w:w="0" w:type="dxa"/>
            <w:left w:w="10" w:type="dxa"/>
            <w:bottom w:w="0" w:type="dxa"/>
            <w:right w:w="10" w:type="dxa"/>
          </w:tblCellMar>
        </w:tblPrEx>
        <w:tc>
          <w:tcPr>
            <w:tcW w:w="17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_GB2312" w:hAnsi="仿宋_GB2312" w:eastAsia="仿宋_GB2312" w:cs="仿宋_GB2312"/>
                <w:sz w:val="32"/>
              </w:rPr>
              <w:t>1</w:t>
            </w:r>
          </w:p>
        </w:tc>
        <w:tc>
          <w:tcPr>
            <w:tcW w:w="74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32"/>
              </w:rPr>
              <w:t>中共西安市阎良区委政法委本级（机关）</w:t>
            </w:r>
          </w:p>
        </w:tc>
      </w:tr>
    </w:tbl>
    <w:p>
      <w:pPr>
        <w:ind w:firstLine="640"/>
        <w:rPr>
          <w:rFonts w:ascii="黑体" w:hAnsi="黑体" w:eastAsia="黑体" w:cs="黑体"/>
          <w:b/>
          <w:sz w:val="20"/>
        </w:rPr>
      </w:pPr>
      <w:r>
        <w:rPr>
          <w:rFonts w:ascii="黑体" w:hAnsi="黑体" w:eastAsia="黑体" w:cs="黑体"/>
          <w:b/>
          <w:sz w:val="32"/>
        </w:rPr>
        <w:t>三、部门人员情况</w:t>
      </w:r>
    </w:p>
    <w:p>
      <w:pPr>
        <w:spacing w:line="560" w:lineRule="auto"/>
        <w:ind w:firstLine="641"/>
        <w:rPr>
          <w:rFonts w:ascii="宋体" w:hAnsi="宋体" w:eastAsia="宋体" w:cs="宋体"/>
          <w:sz w:val="32"/>
        </w:rPr>
      </w:pPr>
      <w:r>
        <w:rPr>
          <w:rFonts w:ascii="宋体" w:hAnsi="宋体" w:eastAsia="宋体" w:cs="宋体"/>
          <w:sz w:val="32"/>
        </w:rPr>
        <w:t>截止</w:t>
      </w:r>
      <w:r>
        <w:rPr>
          <w:rFonts w:ascii="仿宋_GB2312" w:hAnsi="仿宋_GB2312" w:eastAsia="仿宋_GB2312" w:cs="仿宋_GB2312"/>
          <w:sz w:val="32"/>
        </w:rPr>
        <w:t>2020</w:t>
      </w:r>
      <w:r>
        <w:rPr>
          <w:rFonts w:ascii="宋体" w:hAnsi="宋体" w:eastAsia="宋体" w:cs="宋体"/>
          <w:sz w:val="32"/>
        </w:rPr>
        <w:t>年底，本部门人员编制</w:t>
      </w:r>
      <w:r>
        <w:rPr>
          <w:rFonts w:ascii="仿宋_GB2312" w:hAnsi="仿宋_GB2312" w:eastAsia="仿宋_GB2312" w:cs="仿宋_GB2312"/>
          <w:sz w:val="32"/>
        </w:rPr>
        <w:t>9</w:t>
      </w:r>
      <w:r>
        <w:rPr>
          <w:rFonts w:ascii="宋体" w:hAnsi="宋体" w:eastAsia="宋体" w:cs="宋体"/>
          <w:sz w:val="32"/>
        </w:rPr>
        <w:t>人，其中行政编制</w:t>
      </w:r>
      <w:r>
        <w:rPr>
          <w:rFonts w:ascii="仿宋_GB2312" w:hAnsi="仿宋_GB2312" w:eastAsia="仿宋_GB2312" w:cs="仿宋_GB2312"/>
          <w:sz w:val="32"/>
        </w:rPr>
        <w:t>9</w:t>
      </w:r>
      <w:r>
        <w:rPr>
          <w:rFonts w:ascii="宋体" w:hAnsi="宋体" w:eastAsia="宋体" w:cs="宋体"/>
          <w:sz w:val="32"/>
        </w:rPr>
        <w:t>人；实有人员</w:t>
      </w:r>
      <w:r>
        <w:rPr>
          <w:rFonts w:hint="eastAsia" w:ascii="仿宋_GB2312" w:hAnsi="仿宋_GB2312" w:eastAsia="仿宋_GB2312" w:cs="仿宋_GB2312"/>
          <w:sz w:val="32"/>
        </w:rPr>
        <w:t>8</w:t>
      </w:r>
      <w:r>
        <w:rPr>
          <w:rFonts w:ascii="仿宋_GB2312" w:hAnsi="仿宋_GB2312" w:eastAsia="仿宋_GB2312" w:cs="仿宋_GB2312"/>
          <w:sz w:val="32"/>
        </w:rPr>
        <w:t xml:space="preserve"> </w:t>
      </w:r>
      <w:r>
        <w:rPr>
          <w:rFonts w:ascii="宋体" w:hAnsi="宋体" w:eastAsia="宋体" w:cs="宋体"/>
          <w:sz w:val="32"/>
        </w:rPr>
        <w:t>人，其中行政</w:t>
      </w:r>
      <w:r>
        <w:rPr>
          <w:rFonts w:hint="eastAsia" w:ascii="仿宋_GB2312" w:hAnsi="仿宋_GB2312" w:eastAsia="仿宋_GB2312" w:cs="仿宋_GB2312"/>
          <w:sz w:val="32"/>
        </w:rPr>
        <w:t>8</w:t>
      </w:r>
      <w:r>
        <w:rPr>
          <w:rFonts w:ascii="宋体" w:hAnsi="宋体" w:eastAsia="宋体" w:cs="宋体"/>
          <w:sz w:val="32"/>
        </w:rPr>
        <w:t>人。单位管理的离退休人员</w:t>
      </w:r>
      <w:r>
        <w:rPr>
          <w:rFonts w:ascii="仿宋_GB2312" w:hAnsi="仿宋_GB2312" w:eastAsia="仿宋_GB2312" w:cs="仿宋_GB2312"/>
          <w:sz w:val="32"/>
        </w:rPr>
        <w:t xml:space="preserve">  5</w:t>
      </w:r>
      <w:r>
        <w:rPr>
          <w:rFonts w:ascii="宋体" w:hAnsi="宋体" w:eastAsia="宋体" w:cs="宋体"/>
          <w:sz w:val="32"/>
        </w:rPr>
        <w:t>人。</w:t>
      </w:r>
    </w:p>
    <w:p>
      <w:pPr>
        <w:spacing w:line="560" w:lineRule="auto"/>
        <w:ind w:firstLine="641"/>
        <w:rPr>
          <w:rFonts w:ascii="仿宋_GB2312" w:hAnsi="仿宋_GB2312" w:eastAsia="仿宋_GB2312" w:cs="仿宋_GB2312"/>
          <w:sz w:val="20"/>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60" w:lineRule="auto"/>
        <w:ind w:firstLine="641"/>
        <w:rPr>
          <w:rFonts w:ascii="仿宋_GB2312" w:hAnsi="仿宋_GB2312" w:eastAsia="仿宋_GB2312" w:cs="仿宋_GB2312"/>
          <w:sz w:val="32"/>
        </w:rPr>
      </w:pPr>
    </w:p>
    <w:p>
      <w:pPr>
        <w:spacing w:line="560" w:lineRule="auto"/>
        <w:ind w:firstLine="641"/>
        <w:rPr>
          <w:rFonts w:ascii="仿宋_GB2312" w:hAnsi="仿宋_GB2312" w:eastAsia="仿宋_GB2312" w:cs="仿宋_GB2312"/>
          <w:sz w:val="32"/>
        </w:rPr>
      </w:pPr>
    </w:p>
    <w:p>
      <w:pPr>
        <w:spacing w:line="560" w:lineRule="auto"/>
        <w:ind w:firstLine="641"/>
        <w:rPr>
          <w:rFonts w:ascii="仿宋_GB2312" w:hAnsi="仿宋_GB2312" w:eastAsia="仿宋_GB2312" w:cs="仿宋_GB2312"/>
          <w:sz w:val="32"/>
        </w:rPr>
      </w:pPr>
    </w:p>
    <w:p>
      <w:pPr>
        <w:spacing w:line="560" w:lineRule="auto"/>
        <w:ind w:firstLine="641"/>
        <w:rPr>
          <w:rFonts w:ascii="仿宋_GB2312" w:hAnsi="仿宋_GB2312" w:eastAsia="仿宋_GB2312" w:cs="仿宋_GB2312"/>
          <w:sz w:val="32"/>
        </w:rPr>
      </w:pPr>
    </w:p>
    <w:p>
      <w:pPr>
        <w:spacing w:line="560" w:lineRule="auto"/>
        <w:ind w:firstLine="641"/>
        <w:rPr>
          <w:rFonts w:ascii="仿宋_GB2312" w:hAnsi="仿宋_GB2312" w:eastAsia="仿宋_GB2312" w:cs="仿宋_GB2312"/>
          <w:sz w:val="32"/>
        </w:rPr>
      </w:pPr>
    </w:p>
    <w:p>
      <w:pPr>
        <w:spacing w:line="560" w:lineRule="auto"/>
        <w:ind w:firstLine="641"/>
        <w:rPr>
          <w:rFonts w:ascii="仿宋_GB2312" w:hAnsi="仿宋_GB2312" w:eastAsia="仿宋_GB2312" w:cs="仿宋_GB2312"/>
          <w:sz w:val="32"/>
        </w:rPr>
      </w:pPr>
    </w:p>
    <w:p>
      <w:pPr>
        <w:jc w:val="center"/>
        <w:rPr>
          <w:rFonts w:ascii="Calibri" w:hAnsi="Calibri" w:eastAsia="Calibri" w:cs="Calibri"/>
          <w:sz w:val="44"/>
        </w:rPr>
      </w:pPr>
      <w:r>
        <w:rPr>
          <w:rFonts w:ascii="黑体" w:hAnsi="黑体" w:eastAsia="黑体" w:cs="黑体"/>
          <w:color w:val="000000"/>
          <w:sz w:val="44"/>
        </w:rPr>
        <w:t>第二部分 2020年部门决算表</w:t>
      </w:r>
    </w:p>
    <w:tbl>
      <w:tblPr>
        <w:tblStyle w:val="5"/>
        <w:tblW w:w="0" w:type="auto"/>
        <w:tblInd w:w="0" w:type="dxa"/>
        <w:tblLayout w:type="autofit"/>
        <w:tblCellMar>
          <w:top w:w="0" w:type="dxa"/>
          <w:left w:w="10" w:type="dxa"/>
          <w:bottom w:w="0" w:type="dxa"/>
          <w:right w:w="10" w:type="dxa"/>
        </w:tblCellMar>
      </w:tblPr>
      <w:tblGrid>
        <w:gridCol w:w="570"/>
        <w:gridCol w:w="6240"/>
        <w:gridCol w:w="660"/>
        <w:gridCol w:w="1740"/>
      </w:tblGrid>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pPr>
            <w:r>
              <w:rPr>
                <w:rFonts w:ascii="黑体" w:hAnsi="黑体" w:eastAsia="黑体" w:cs="黑体"/>
                <w:color w:val="00000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pPr>
            <w:r>
              <w:rPr>
                <w:rFonts w:ascii="黑体" w:hAnsi="黑体" w:eastAsia="黑体" w:cs="黑体"/>
                <w:color w:val="00000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黑体" w:hAnsi="黑体" w:eastAsia="黑体" w:cs="黑体"/>
                <w:color w:val="000000"/>
                <w:sz w:val="24"/>
              </w:rPr>
            </w:pPr>
            <w:r>
              <w:rPr>
                <w:rFonts w:ascii="黑体" w:hAnsi="黑体" w:eastAsia="黑体" w:cs="黑体"/>
                <w:color w:val="000000"/>
                <w:sz w:val="24"/>
              </w:rPr>
              <w:t>是否</w:t>
            </w:r>
          </w:p>
          <w:p>
            <w:pPr>
              <w:jc w:val="center"/>
            </w:pPr>
            <w:r>
              <w:rPr>
                <w:rFonts w:ascii="黑体" w:hAnsi="黑体" w:eastAsia="黑体" w:cs="黑体"/>
                <w:color w:val="00000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pPr>
            <w:r>
              <w:rPr>
                <w:rFonts w:ascii="黑体" w:hAnsi="黑体" w:eastAsia="黑体" w:cs="黑体"/>
                <w:color w:val="000000"/>
                <w:sz w:val="24"/>
              </w:rPr>
              <w:t>表格为空的理由</w:t>
            </w: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rPr>
                <w:rFonts w:ascii="宋体" w:hAnsi="宋体" w:eastAsia="宋体" w:cs="宋体"/>
              </w:rPr>
            </w:pPr>
            <w:r>
              <w:rPr>
                <w:rFonts w:ascii="宋体" w:hAnsi="宋体" w:eastAsia="宋体" w:cs="宋体"/>
                <w:color w:val="000000"/>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0"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表7</w:t>
            </w:r>
          </w:p>
        </w:tc>
        <w:tc>
          <w:tcPr>
            <w:tcW w:w="6240" w:type="dxa"/>
            <w:tcBorders>
              <w:top w:val="single" w:color="000000" w:sz="4" w:space="0"/>
              <w:left w:val="single" w:color="000000" w:sz="4" w:space="0"/>
              <w:bottom w:val="single" w:color="000000" w:sz="0"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一般公共预算财政拨款“三公”经费及会议费、培训费支出决算表</w:t>
            </w:r>
          </w:p>
        </w:tc>
        <w:tc>
          <w:tcPr>
            <w:tcW w:w="660" w:type="dxa"/>
            <w:tcBorders>
              <w:top w:val="single" w:color="000000" w:sz="4" w:space="0"/>
              <w:left w:val="single" w:color="000000" w:sz="4" w:space="0"/>
              <w:bottom w:val="single" w:color="000000" w:sz="0"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否</w:t>
            </w:r>
          </w:p>
        </w:tc>
        <w:tc>
          <w:tcPr>
            <w:tcW w:w="1740" w:type="dxa"/>
            <w:tcBorders>
              <w:top w:val="single" w:color="000000" w:sz="4" w:space="0"/>
              <w:left w:val="single" w:color="000000" w:sz="4" w:space="0"/>
              <w:bottom w:val="single" w:color="000000" w:sz="0" w:space="0"/>
              <w:right w:val="single" w:color="000000" w:sz="4" w:space="0"/>
            </w:tcBorders>
            <w:shd w:val="clear" w:color="auto" w:fill="auto"/>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rPr>
                <w:rFonts w:ascii="宋体" w:hAnsi="宋体" w:eastAsia="宋体" w:cs="宋体"/>
                <w:color w:val="000000"/>
              </w:rPr>
            </w:pPr>
          </w:p>
          <w:p>
            <w:pPr>
              <w:rPr>
                <w:rFonts w:ascii="宋体" w:hAnsi="宋体" w:eastAsia="宋体" w:cs="宋体"/>
                <w:color w:val="000000"/>
              </w:rPr>
            </w:pPr>
            <w:r>
              <w:rPr>
                <w:rFonts w:ascii="宋体" w:hAnsi="宋体" w:eastAsia="宋体" w:cs="宋体"/>
                <w:color w:val="000000"/>
              </w:rPr>
              <w:t>政府性基金预算财政拨款收入支出决算表</w:t>
            </w:r>
          </w:p>
          <w:p>
            <w:pPr>
              <w:jc w:val="left"/>
              <w:rPr>
                <w:rFonts w:ascii="宋体" w:hAnsi="宋体" w:eastAsia="宋体" w:cs="宋体"/>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无基金支出</w:t>
            </w:r>
          </w:p>
        </w:tc>
      </w:tr>
      <w:tr>
        <w:tblPrEx>
          <w:tblCellMar>
            <w:top w:w="0" w:type="dxa"/>
            <w:left w:w="10" w:type="dxa"/>
            <w:bottom w:w="0" w:type="dxa"/>
            <w:right w:w="10"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rPr>
              <w:t>表9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rPr>
            </w:pPr>
            <w:r>
              <w:rPr>
                <w:rFonts w:ascii="宋体" w:hAnsi="宋体" w:eastAsia="宋体" w:cs="宋体"/>
                <w:color w:val="000000"/>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center"/>
              <w:rPr>
                <w:rFonts w:ascii="宋体" w:hAnsi="宋体" w:eastAsia="宋体" w:cs="宋体"/>
              </w:rPr>
            </w:pPr>
            <w:r>
              <w:rPr>
                <w:rFonts w:ascii="宋体" w:hAnsi="宋体" w:eastAsia="宋体" w:cs="宋体"/>
                <w:color w:val="000000"/>
                <w:sz w:val="24"/>
              </w:rPr>
              <w:t>无国有资本经营支出</w:t>
            </w:r>
          </w:p>
        </w:tc>
      </w:tr>
    </w:tbl>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黑体" w:hAnsi="黑体" w:eastAsia="黑体" w:cs="黑体"/>
          <w:color w:val="000000"/>
          <w:sz w:val="44"/>
        </w:rPr>
      </w:pPr>
    </w:p>
    <w:p>
      <w:pPr>
        <w:rPr>
          <w:rFonts w:ascii="宋体" w:hAnsi="宋体" w:eastAsia="宋体" w:cs="宋体"/>
          <w:b/>
          <w:color w:val="000000"/>
          <w:sz w:val="40"/>
        </w:rPr>
      </w:pPr>
      <w:r>
        <w:rPr>
          <w:rFonts w:ascii="宋体" w:hAnsi="宋体" w:eastAsia="宋体" w:cs="宋体"/>
          <w:b/>
          <w:color w:val="000000"/>
          <w:sz w:val="40"/>
        </w:rPr>
        <w:br w:type="textWrapping"/>
      </w:r>
    </w:p>
    <w:p>
      <w:pPr>
        <w:rPr>
          <w:rFonts w:ascii="宋体" w:hAnsi="宋体" w:eastAsia="宋体" w:cs="宋体"/>
          <w:b/>
          <w:color w:val="000000"/>
          <w:sz w:val="40"/>
        </w:rPr>
      </w:pPr>
    </w:p>
    <w:p>
      <w:pPr>
        <w:jc w:val="center"/>
        <w:rPr>
          <w:rFonts w:ascii="宋体" w:hAnsi="宋体" w:eastAsia="宋体" w:cs="宋体"/>
          <w:b/>
          <w:sz w:val="20"/>
        </w:rPr>
      </w:pPr>
      <w:r>
        <w:rPr>
          <w:rFonts w:ascii="宋体" w:hAnsi="宋体" w:eastAsia="宋体" w:cs="宋体"/>
          <w:b/>
          <w:sz w:val="32"/>
        </w:rPr>
        <w:t>收入支出决算总表</w:t>
      </w:r>
    </w:p>
    <w:p>
      <w:pPr>
        <w:jc w:val="right"/>
        <w:rPr>
          <w:rFonts w:ascii="宋体" w:hAnsi="宋体" w:eastAsia="宋体" w:cs="宋体"/>
          <w:b/>
        </w:rPr>
      </w:pPr>
      <w:r>
        <w:rPr>
          <w:rFonts w:ascii="宋体" w:hAnsi="宋体" w:eastAsia="宋体" w:cs="宋体"/>
          <w:b/>
        </w:rPr>
        <w:t>公开01表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3388"/>
        <w:gridCol w:w="1080"/>
        <w:gridCol w:w="3090"/>
        <w:gridCol w:w="1326"/>
      </w:tblGrid>
      <w:tr>
        <w:tblPrEx>
          <w:tblCellMar>
            <w:top w:w="0" w:type="dxa"/>
            <w:left w:w="10" w:type="dxa"/>
            <w:bottom w:w="0" w:type="dxa"/>
            <w:right w:w="10" w:type="dxa"/>
          </w:tblCellMar>
        </w:tblPrEx>
        <w:tc>
          <w:tcPr>
            <w:tcW w:w="44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收    入</w:t>
            </w:r>
          </w:p>
        </w:tc>
        <w:tc>
          <w:tcPr>
            <w:tcW w:w="4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支    出</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决算数</w:t>
            </w: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决算数</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275.50</w:t>
            </w: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5、事业收入</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6、经营收入</w:t>
            </w: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7、附属单位上缴收入</w:t>
            </w: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20"/>
              </w:rPr>
              <w:t>8、其他收入</w:t>
            </w: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08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rPr>
            </w:pPr>
            <w:r>
              <w:rPr>
                <w:rFonts w:ascii="宋体" w:hAnsi="宋体" w:eastAsia="宋体" w:cs="宋体"/>
                <w:color w:val="000000"/>
              </w:rPr>
              <w:t>20、粮油物资储备支出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21、国有资本经营预算支出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22、灾害防治及应急管理支出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rPr>
            </w:pPr>
            <w:r>
              <w:rPr>
                <w:rFonts w:ascii="宋体" w:hAnsi="宋体" w:eastAsia="宋体" w:cs="宋体"/>
                <w:color w:val="000000"/>
              </w:rPr>
              <w:t>23、其他支出</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本年收入合计</w:t>
            </w:r>
          </w:p>
        </w:tc>
        <w:tc>
          <w:tcPr>
            <w:tcW w:w="1080"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w:t>
            </w:r>
          </w:p>
        </w:tc>
        <w:tc>
          <w:tcPr>
            <w:tcW w:w="3090"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本年支出合计</w:t>
            </w:r>
          </w:p>
        </w:tc>
        <w:tc>
          <w:tcPr>
            <w:tcW w:w="1326"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b/>
                <w:color w:val="000000"/>
              </w:rPr>
              <w:t>279.5</w:t>
            </w: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使用非财政拨款结余</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 xml:space="preserve">结余分配 </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年初结转和结余</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年末结转和结余</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收入总计</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right="210"/>
              <w:jc w:val="right"/>
              <w:rPr>
                <w:rFonts w:ascii="宋体" w:hAnsi="宋体" w:eastAsia="宋体" w:cs="宋体"/>
              </w:rPr>
            </w:pPr>
            <w:r>
              <w:rPr>
                <w:rFonts w:ascii="宋体" w:hAnsi="宋体" w:eastAsia="宋体" w:cs="宋体"/>
                <w:color w:val="000000"/>
              </w:rPr>
              <w:t>279.5</w:t>
            </w:r>
          </w:p>
        </w:tc>
        <w:tc>
          <w:tcPr>
            <w:tcW w:w="30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b/>
                <w:color w:val="000000"/>
              </w:rPr>
              <w:t>支出总计</w:t>
            </w:r>
          </w:p>
        </w:tc>
        <w:tc>
          <w:tcPr>
            <w:tcW w:w="132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b/>
                <w:color w:val="000000"/>
              </w:rPr>
              <w:t>279.5</w:t>
            </w:r>
          </w:p>
        </w:tc>
      </w:tr>
    </w:tbl>
    <w:p>
      <w:pPr>
        <w:jc w:val="left"/>
        <w:rPr>
          <w:rFonts w:ascii="宋体" w:hAnsi="宋体" w:eastAsia="宋体" w:cs="宋体"/>
          <w:sz w:val="48"/>
        </w:rPr>
      </w:pPr>
      <w:r>
        <w:rPr>
          <w:rFonts w:ascii="宋体" w:hAnsi="宋体" w:eastAsia="宋体" w:cs="宋体"/>
          <w:color w:val="000000"/>
        </w:rPr>
        <w:t>注：本表反映部门本年度的总收支和年末结转结余情况。本表金额转换为万元时，因四舍五入可能存在尾差。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cs="Calibri"/>
          <w:b/>
          <w:i/>
          <w:caps/>
          <w:sz w:val="32"/>
        </w:rPr>
      </w:pPr>
    </w:p>
    <w:p>
      <w:pPr>
        <w:rPr>
          <w:rFonts w:ascii="Calibri" w:hAnsi="Calibri" w:cs="Calibri"/>
          <w:b/>
          <w:i/>
          <w:caps/>
          <w:sz w:val="32"/>
        </w:rPr>
      </w:pPr>
    </w:p>
    <w:p>
      <w:pPr>
        <w:rPr>
          <w:rFonts w:ascii="Calibri" w:hAnsi="Calibri" w:eastAsia="Calibri" w:cs="Calibri"/>
          <w:b/>
          <w:i/>
          <w:caps/>
          <w:sz w:val="32"/>
        </w:rPr>
      </w:pPr>
    </w:p>
    <w:p>
      <w:pPr>
        <w:jc w:val="center"/>
        <w:rPr>
          <w:rFonts w:ascii="宋体" w:hAnsi="宋体" w:eastAsia="宋体" w:cs="宋体"/>
          <w:b/>
          <w:sz w:val="20"/>
        </w:rPr>
      </w:pPr>
      <w:r>
        <w:rPr>
          <w:rFonts w:ascii="宋体" w:hAnsi="宋体" w:eastAsia="宋体" w:cs="宋体"/>
          <w:b/>
          <w:sz w:val="32"/>
        </w:rPr>
        <w:t>收入决算表</w:t>
      </w:r>
    </w:p>
    <w:p>
      <w:pPr>
        <w:ind w:firstLine="7379"/>
        <w:rPr>
          <w:rFonts w:ascii="宋体" w:hAnsi="宋体" w:eastAsia="宋体" w:cs="宋体"/>
          <w:b/>
        </w:rPr>
      </w:pPr>
      <w:r>
        <w:rPr>
          <w:rFonts w:ascii="宋体" w:hAnsi="宋体" w:eastAsia="宋体" w:cs="宋体"/>
          <w:b/>
        </w:rPr>
        <w:t>公开02表</w:t>
      </w:r>
    </w:p>
    <w:p>
      <w:pPr>
        <w:rPr>
          <w:rFonts w:ascii="宋体" w:hAnsi="宋体" w:eastAsia="宋体" w:cs="宋体"/>
          <w:b/>
          <w:sz w:val="48"/>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993"/>
        <w:gridCol w:w="575"/>
        <w:gridCol w:w="1693"/>
        <w:gridCol w:w="992"/>
        <w:gridCol w:w="709"/>
        <w:gridCol w:w="567"/>
        <w:gridCol w:w="567"/>
        <w:gridCol w:w="1082"/>
        <w:gridCol w:w="567"/>
        <w:gridCol w:w="709"/>
        <w:gridCol w:w="708"/>
      </w:tblGrid>
      <w:tr>
        <w:tblPrEx>
          <w:tblCellMar>
            <w:top w:w="0" w:type="dxa"/>
            <w:left w:w="10" w:type="dxa"/>
            <w:bottom w:w="0" w:type="dxa"/>
            <w:right w:w="10" w:type="dxa"/>
          </w:tblCellMar>
        </w:tblPrEx>
        <w:tc>
          <w:tcPr>
            <w:tcW w:w="3261"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本年收入合计</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财政拨款收入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上级补助收入</w:t>
            </w:r>
          </w:p>
        </w:tc>
        <w:tc>
          <w:tcPr>
            <w:tcW w:w="11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事业收入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经营</w:t>
            </w:r>
          </w:p>
          <w:p>
            <w:pPr>
              <w:jc w:val="center"/>
              <w:rPr>
                <w:rFonts w:ascii="宋体" w:hAnsi="宋体" w:eastAsia="宋体" w:cs="宋体"/>
              </w:rPr>
            </w:pPr>
            <w:r>
              <w:rPr>
                <w:rFonts w:ascii="宋体" w:hAnsi="宋体" w:eastAsia="宋体" w:cs="宋体"/>
                <w:b/>
                <w:color w:val="000000"/>
              </w:rPr>
              <w:t>收入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附属单位上缴收入</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其他</w:t>
            </w:r>
          </w:p>
          <w:p>
            <w:pPr>
              <w:jc w:val="center"/>
              <w:rPr>
                <w:rFonts w:ascii="宋体" w:hAnsi="宋体" w:eastAsia="宋体" w:cs="宋体"/>
              </w:rPr>
            </w:pPr>
            <w:r>
              <w:rPr>
                <w:rFonts w:ascii="宋体" w:hAnsi="宋体" w:eastAsia="宋体" w:cs="宋体"/>
                <w:b/>
                <w:color w:val="000000"/>
              </w:rPr>
              <w:t>收入</w:t>
            </w:r>
          </w:p>
        </w:tc>
      </w:tr>
      <w:tr>
        <w:tblPrEx>
          <w:tblCellMar>
            <w:top w:w="0" w:type="dxa"/>
            <w:left w:w="10" w:type="dxa"/>
            <w:bottom w:w="0" w:type="dxa"/>
            <w:right w:w="10" w:type="dxa"/>
          </w:tblCellMar>
        </w:tblPrEx>
        <w:tc>
          <w:tcPr>
            <w:tcW w:w="1568" w:type="dxa"/>
            <w:gridSpan w:val="2"/>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功能分类科目编码</w:t>
            </w:r>
          </w:p>
        </w:tc>
        <w:tc>
          <w:tcPr>
            <w:tcW w:w="1693"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科目</w:t>
            </w:r>
          </w:p>
          <w:p>
            <w:pPr>
              <w:jc w:val="center"/>
              <w:rPr>
                <w:rFonts w:ascii="宋体" w:hAnsi="宋体" w:eastAsia="宋体" w:cs="宋体"/>
              </w:rPr>
            </w:pPr>
            <w:r>
              <w:rPr>
                <w:rFonts w:ascii="宋体" w:hAnsi="宋体" w:eastAsia="宋体" w:cs="宋体"/>
                <w:b/>
                <w:color w:val="000000"/>
              </w:rPr>
              <w:t>名称</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其中：教育</w:t>
            </w:r>
          </w:p>
          <w:p>
            <w:pPr>
              <w:ind w:firstLine="843"/>
              <w:rPr>
                <w:rFonts w:ascii="宋体" w:hAnsi="宋体" w:eastAsia="宋体" w:cs="宋体"/>
              </w:rPr>
            </w:pPr>
            <w:r>
              <w:rPr>
                <w:rFonts w:ascii="宋体" w:hAnsi="宋体" w:eastAsia="宋体" w:cs="宋体"/>
                <w:b/>
                <w:color w:val="000000"/>
              </w:rPr>
              <w:t>收费</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3261"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r>
              <w:rPr>
                <w:rFonts w:ascii="宋体" w:hAnsi="宋体" w:eastAsia="宋体" w:cs="宋体"/>
                <w:color w:val="000000"/>
                <w:sz w:val="22"/>
              </w:rPr>
              <w:t>党委办公厅（室）及相关机构事务</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right="105"/>
              <w:jc w:val="right"/>
              <w:rPr>
                <w:rFonts w:ascii="宋体" w:hAnsi="宋体" w:eastAsia="宋体" w:cs="宋体"/>
              </w:rPr>
            </w:pPr>
            <w:r>
              <w:rPr>
                <w:rFonts w:ascii="宋体" w:hAnsi="宋体" w:eastAsia="宋体" w:cs="宋体"/>
                <w:color w:val="000000"/>
              </w:rPr>
              <w:t>72.49</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2013199</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18"/>
              </w:rPr>
              <w:t>其他党委办公厅（室）及相关机构事务支出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20136</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r>
              <w:rPr>
                <w:rFonts w:ascii="宋体" w:hAnsi="宋体" w:eastAsia="宋体" w:cs="宋体"/>
                <w:color w:val="000000"/>
                <w:sz w:val="22"/>
              </w:rPr>
              <w:t>其他共产党事务支出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right"/>
            </w:pPr>
            <w:r>
              <w:rPr>
                <w:rFonts w:ascii="ËÎÌå" w:hAnsi="ËÎÌå" w:eastAsia="ËÎÌå" w:cs="ËÎÌå"/>
                <w:color w:val="000000"/>
              </w:rPr>
              <w:t xml:space="preserve"> 187.05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187.05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2013601</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行政运行</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right"/>
            </w:pPr>
            <w:r>
              <w:rPr>
                <w:rFonts w:ascii="ËÎÌå" w:hAnsi="ËÎÌå" w:eastAsia="ËÎÌå" w:cs="ËÎÌå"/>
                <w:color w:val="000000"/>
              </w:rPr>
              <w:t xml:space="preserve"> 157.77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2013602</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一般行政管理事务</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20805</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行政事业单位离退休</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2080505</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卫生健康支出</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21011</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行政事业单位医疗</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2101101</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行政单位医疗</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注：本表反映部门本年度取得的各项收入情况。</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cs="Calibri"/>
          <w:b/>
          <w:i/>
          <w:caps/>
          <w:sz w:val="32"/>
        </w:rPr>
      </w:pPr>
    </w:p>
    <w:p>
      <w:pPr>
        <w:rPr>
          <w:rFonts w:ascii="Calibri" w:hAnsi="Calibri" w:cs="Calibri"/>
          <w:b/>
          <w:i/>
          <w:caps/>
          <w:sz w:val="32"/>
        </w:rPr>
      </w:pPr>
    </w:p>
    <w:p>
      <w:pPr>
        <w:rPr>
          <w:rFonts w:ascii="Calibri" w:hAnsi="Calibri" w:eastAsia="Calibri" w:cs="Calibri"/>
          <w:b/>
          <w:i/>
          <w:caps/>
          <w:sz w:val="32"/>
        </w:rPr>
      </w:pPr>
    </w:p>
    <w:p>
      <w:pPr>
        <w:jc w:val="center"/>
        <w:rPr>
          <w:rFonts w:ascii="宋体" w:hAnsi="宋体" w:eastAsia="宋体" w:cs="宋体"/>
          <w:b/>
          <w:sz w:val="20"/>
        </w:rPr>
      </w:pPr>
    </w:p>
    <w:p>
      <w:pPr>
        <w:jc w:val="center"/>
        <w:rPr>
          <w:rFonts w:ascii="宋体" w:hAnsi="宋体" w:eastAsia="宋体" w:cs="宋体"/>
          <w:b/>
          <w:sz w:val="20"/>
        </w:rPr>
      </w:pPr>
    </w:p>
    <w:p>
      <w:pPr>
        <w:jc w:val="center"/>
        <w:rPr>
          <w:rFonts w:ascii="宋体" w:hAnsi="宋体" w:eastAsia="宋体" w:cs="宋体"/>
          <w:b/>
          <w:sz w:val="20"/>
        </w:rPr>
      </w:pPr>
    </w:p>
    <w:p>
      <w:pPr>
        <w:jc w:val="center"/>
        <w:rPr>
          <w:rFonts w:ascii="宋体" w:hAnsi="宋体" w:eastAsia="宋体" w:cs="宋体"/>
          <w:b/>
          <w:sz w:val="20"/>
        </w:rPr>
      </w:pPr>
      <w:r>
        <w:rPr>
          <w:rFonts w:ascii="宋体" w:hAnsi="宋体" w:eastAsia="宋体" w:cs="宋体"/>
          <w:b/>
          <w:sz w:val="32"/>
        </w:rPr>
        <w:t>支出决算表</w:t>
      </w:r>
    </w:p>
    <w:p>
      <w:pPr>
        <w:rPr>
          <w:rFonts w:ascii="宋体" w:hAnsi="宋体" w:eastAsia="宋体" w:cs="宋体"/>
          <w:b/>
        </w:rPr>
      </w:pPr>
      <w:r>
        <w:rPr>
          <w:rFonts w:ascii="宋体" w:hAnsi="宋体" w:eastAsia="宋体" w:cs="宋体"/>
          <w:b/>
        </w:rPr>
        <w:t>公开03表</w:t>
      </w:r>
    </w:p>
    <w:p>
      <w:pPr>
        <w:rPr>
          <w:rFonts w:ascii="宋体" w:hAnsi="宋体" w:eastAsia="宋体" w:cs="宋体"/>
          <w:b/>
          <w:sz w:val="48"/>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897"/>
        <w:gridCol w:w="905"/>
        <w:gridCol w:w="1134"/>
        <w:gridCol w:w="1189"/>
        <w:gridCol w:w="950"/>
        <w:gridCol w:w="1031"/>
        <w:gridCol w:w="1059"/>
        <w:gridCol w:w="857"/>
        <w:gridCol w:w="1246"/>
      </w:tblGrid>
      <w:tr>
        <w:tblPrEx>
          <w:tblCellMar>
            <w:top w:w="0" w:type="dxa"/>
            <w:left w:w="10" w:type="dxa"/>
            <w:bottom w:w="0" w:type="dxa"/>
            <w:right w:w="10" w:type="dxa"/>
          </w:tblCellMar>
        </w:tblPrEx>
        <w:tc>
          <w:tcPr>
            <w:tcW w:w="3121"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上缴上</w:t>
            </w:r>
          </w:p>
          <w:p>
            <w:pPr>
              <w:jc w:val="center"/>
              <w:rPr>
                <w:rFonts w:ascii="宋体" w:hAnsi="宋体" w:eastAsia="宋体" w:cs="宋体"/>
              </w:rPr>
            </w:pPr>
            <w:r>
              <w:rPr>
                <w:rFonts w:ascii="宋体" w:hAnsi="宋体" w:eastAsia="宋体" w:cs="宋体"/>
                <w:b/>
                <w:color w:val="000000"/>
              </w:rPr>
              <w:t>级支出</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对附属单位</w:t>
            </w:r>
          </w:p>
          <w:p>
            <w:pPr>
              <w:jc w:val="center"/>
              <w:rPr>
                <w:rFonts w:ascii="宋体" w:hAnsi="宋体" w:eastAsia="宋体" w:cs="宋体"/>
              </w:rPr>
            </w:pPr>
            <w:r>
              <w:rPr>
                <w:rFonts w:ascii="宋体" w:hAnsi="宋体" w:eastAsia="宋体" w:cs="宋体"/>
                <w:b/>
                <w:color w:val="000000"/>
              </w:rPr>
              <w:t>补助支出</w:t>
            </w:r>
          </w:p>
        </w:tc>
      </w:tr>
      <w:tr>
        <w:tblPrEx>
          <w:tblCellMar>
            <w:top w:w="0" w:type="dxa"/>
            <w:left w:w="10" w:type="dxa"/>
            <w:bottom w:w="0" w:type="dxa"/>
            <w:right w:w="10" w:type="dxa"/>
          </w:tblCellMar>
        </w:tblPrEx>
        <w:tc>
          <w:tcPr>
            <w:tcW w:w="19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功能分类科目编码</w:t>
            </w:r>
          </w:p>
        </w:tc>
        <w:tc>
          <w:tcPr>
            <w:tcW w:w="121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3121"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173.73</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105.77</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一般公共服务支出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101.77</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r>
              <w:rPr>
                <w:rFonts w:ascii="宋体" w:hAnsi="宋体" w:eastAsia="宋体" w:cs="宋体"/>
                <w:color w:val="000000"/>
                <w:sz w:val="22"/>
              </w:rPr>
              <w:t>党委办公厅（室）及相关机构事务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2013199</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sz w:val="18"/>
              </w:rPr>
              <w:t>其他党委办公厅（室）及相关机构事务支出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right="210"/>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20136</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r>
              <w:rPr>
                <w:rFonts w:ascii="宋体" w:hAnsi="宋体" w:eastAsia="宋体" w:cs="宋体"/>
                <w:color w:val="000000"/>
                <w:sz w:val="22"/>
              </w:rPr>
              <w:t>其他共产党事务支出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187.05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2013601</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行政运行</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2013602</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一般行政管理事务</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社会保障和就业支出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20805</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行政事业单位离退休</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2080505</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卫生健康支出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21011</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行政事业单位医疗</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2101101</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行政单位医疗</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公共安全支出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20499</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其他公共安全支出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2049901</w:t>
            </w: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其他公共安全支出</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right="105"/>
              <w:jc w:val="right"/>
              <w:rPr>
                <w:rFonts w:ascii="宋体" w:hAnsi="宋体" w:eastAsia="宋体" w:cs="宋体"/>
                <w:sz w:val="22"/>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注：本表反映部门本年度各项支出情况。</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cs="Calibri"/>
          <w:b/>
          <w:i/>
          <w:caps/>
          <w:sz w:val="32"/>
        </w:rPr>
      </w:pPr>
    </w:p>
    <w:p>
      <w:pPr>
        <w:rPr>
          <w:rFonts w:ascii="Calibri" w:hAnsi="Calibri" w:cs="Calibri"/>
          <w:b/>
          <w:i/>
          <w:caps/>
          <w:sz w:val="32"/>
        </w:rPr>
      </w:pPr>
    </w:p>
    <w:p>
      <w:pPr>
        <w:jc w:val="center"/>
        <w:rPr>
          <w:rFonts w:ascii="宋体" w:hAnsi="宋体" w:eastAsia="宋体" w:cs="宋体"/>
          <w:b/>
          <w:sz w:val="20"/>
        </w:rPr>
      </w:pPr>
    </w:p>
    <w:p>
      <w:pPr>
        <w:jc w:val="center"/>
        <w:rPr>
          <w:rFonts w:ascii="宋体" w:hAnsi="宋体" w:eastAsia="宋体" w:cs="宋体"/>
          <w:b/>
          <w:sz w:val="20"/>
        </w:rPr>
      </w:pPr>
      <w:r>
        <w:rPr>
          <w:rFonts w:ascii="宋体" w:hAnsi="宋体" w:eastAsia="宋体" w:cs="宋体"/>
          <w:b/>
          <w:sz w:val="32"/>
        </w:rPr>
        <w:t>财政拨款收入支出决算总表</w:t>
      </w:r>
    </w:p>
    <w:p>
      <w:pPr>
        <w:ind w:firstLine="7379"/>
        <w:rPr>
          <w:rFonts w:ascii="宋体" w:hAnsi="宋体" w:eastAsia="宋体" w:cs="宋体"/>
          <w:b/>
        </w:rPr>
      </w:pPr>
      <w:r>
        <w:rPr>
          <w:rFonts w:ascii="宋体" w:hAnsi="宋体" w:eastAsia="宋体" w:cs="宋体"/>
          <w:b/>
        </w:rPr>
        <w:t>公开04表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539"/>
        <w:gridCol w:w="968"/>
        <w:gridCol w:w="2440"/>
        <w:gridCol w:w="1023"/>
        <w:gridCol w:w="991"/>
        <w:gridCol w:w="891"/>
        <w:gridCol w:w="887"/>
      </w:tblGrid>
      <w:tr>
        <w:tblPrEx>
          <w:tblCellMar>
            <w:top w:w="0" w:type="dxa"/>
            <w:left w:w="10" w:type="dxa"/>
            <w:bottom w:w="0" w:type="dxa"/>
            <w:right w:w="10" w:type="dxa"/>
          </w:tblCellMar>
        </w:tblPrEx>
        <w:tc>
          <w:tcPr>
            <w:tcW w:w="25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收入</w:t>
            </w:r>
          </w:p>
        </w:tc>
        <w:tc>
          <w:tcPr>
            <w:tcW w:w="6232"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支出</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决算数</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一般公共预算财政拨款</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国有资本经营预算财政拨款</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1、一般公共预算财政拨款</w:t>
            </w: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275.5</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1、一般公共服务支出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2、外交支出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3、国有资本经营预算收入</w:t>
            </w: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3、国防支出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4、公共安全支出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5、教育支出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6、科学技术支出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7、</w:t>
            </w:r>
            <w:r>
              <w:rPr>
                <w:rFonts w:ascii="宋体" w:hAnsi="宋体" w:eastAsia="宋体" w:cs="宋体"/>
                <w:color w:val="000000"/>
                <w:spacing w:val="-1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8、社会保障和就业支出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9、卫生健康支出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10、节能环保支出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11、城乡社区支出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12、农林水支出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13、交通运输支出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14、资源勘探信息等支出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15、商业服务业等支出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16、金融支出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17、援助其他地区支出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18、</w:t>
            </w:r>
            <w:r>
              <w:rPr>
                <w:rFonts w:ascii="宋体" w:hAnsi="宋体" w:eastAsia="宋体" w:cs="宋体"/>
                <w:color w:val="000000"/>
                <w:spacing w:val="-1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19、住房保障支出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20、粮油物资储备支出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22、灾害防治及应急管理支出</w:t>
            </w:r>
          </w:p>
        </w:tc>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23、其他支出</w:t>
            </w:r>
          </w:p>
        </w:tc>
        <w:tc>
          <w:tcPr>
            <w:tcW w:w="10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sz w:val="22"/>
              </w:rPr>
            </w:pPr>
          </w:p>
        </w:tc>
        <w:tc>
          <w:tcPr>
            <w:tcW w:w="9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8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87"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24、债务还本支出</w:t>
            </w:r>
          </w:p>
        </w:tc>
        <w:tc>
          <w:tcPr>
            <w:tcW w:w="10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sz w:val="22"/>
              </w:rPr>
            </w:pPr>
          </w:p>
        </w:tc>
        <w:tc>
          <w:tcPr>
            <w:tcW w:w="9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8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87"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25、债务付息支出</w:t>
            </w:r>
          </w:p>
        </w:tc>
        <w:tc>
          <w:tcPr>
            <w:tcW w:w="10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sz w:val="22"/>
              </w:rPr>
            </w:pPr>
          </w:p>
        </w:tc>
        <w:tc>
          <w:tcPr>
            <w:tcW w:w="9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8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87"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6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26、抗疫特别国债安排支出</w:t>
            </w:r>
          </w:p>
        </w:tc>
        <w:tc>
          <w:tcPr>
            <w:tcW w:w="102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ind w:firstLine="210"/>
              <w:jc w:val="left"/>
              <w:rPr>
                <w:rFonts w:ascii="宋体" w:hAnsi="宋体" w:eastAsia="宋体" w:cs="宋体"/>
                <w:sz w:val="22"/>
              </w:rPr>
            </w:pPr>
          </w:p>
        </w:tc>
        <w:tc>
          <w:tcPr>
            <w:tcW w:w="9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89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87"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bl>
    <w:p>
      <w:pPr>
        <w:rPr>
          <w:rFonts w:ascii="Calibri" w:hAnsi="Calibri" w:eastAsia="Calibri" w:cs="Calibri"/>
          <w:b/>
          <w:i/>
          <w:caps/>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20"/>
        </w:rPr>
      </w:pPr>
      <w:r>
        <w:rPr>
          <w:rFonts w:ascii="宋体" w:hAnsi="宋体" w:eastAsia="宋体" w:cs="宋体"/>
          <w:b/>
          <w:sz w:val="32"/>
        </w:rPr>
        <w:t xml:space="preserve">财政拨款收入支出决算总表 </w:t>
      </w:r>
    </w:p>
    <w:p>
      <w:pPr>
        <w:jc w:val="right"/>
        <w:rPr>
          <w:rFonts w:ascii="宋体" w:hAnsi="宋体" w:eastAsia="宋体" w:cs="宋体"/>
          <w:b/>
        </w:rPr>
      </w:pPr>
      <w:r>
        <w:rPr>
          <w:rFonts w:ascii="宋体" w:hAnsi="宋体" w:eastAsia="宋体" w:cs="宋体"/>
          <w:b/>
        </w:rPr>
        <w:t xml:space="preserve"> 公开04表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681"/>
        <w:gridCol w:w="1304"/>
        <w:gridCol w:w="1523"/>
        <w:gridCol w:w="1032"/>
        <w:gridCol w:w="890"/>
        <w:gridCol w:w="1005"/>
        <w:gridCol w:w="991"/>
      </w:tblGrid>
      <w:tr>
        <w:tblPrEx>
          <w:tblCellMar>
            <w:top w:w="0" w:type="dxa"/>
            <w:left w:w="10" w:type="dxa"/>
            <w:bottom w:w="0" w:type="dxa"/>
            <w:right w:w="10" w:type="dxa"/>
          </w:tblCellMar>
        </w:tblPrEx>
        <w:tc>
          <w:tcPr>
            <w:tcW w:w="2985"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收入</w:t>
            </w:r>
          </w:p>
        </w:tc>
        <w:tc>
          <w:tcPr>
            <w:tcW w:w="544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支出</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决算数</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一般公共预算财政拨款</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政府性基金预算财政拨款</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国有资本经营预算财政拨款</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本年收入合计</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279.5</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本年支出合计</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279.5</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275.5</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b/>
                <w:color w:val="000000"/>
              </w:rPr>
              <w:t>4.00</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000000"/>
              </w:rPr>
            </w:pPr>
            <w:r>
              <w:rPr>
                <w:rFonts w:ascii="宋体" w:hAnsi="宋体" w:eastAsia="宋体" w:cs="宋体"/>
                <w:color w:val="000000"/>
              </w:rPr>
              <w:t>年末财政拨款</w:t>
            </w:r>
          </w:p>
          <w:p>
            <w:pPr>
              <w:jc w:val="center"/>
              <w:rPr>
                <w:rFonts w:ascii="宋体" w:hAnsi="宋体" w:eastAsia="宋体" w:cs="宋体"/>
              </w:rPr>
            </w:pPr>
            <w:r>
              <w:rPr>
                <w:rFonts w:ascii="宋体" w:hAnsi="宋体" w:eastAsia="宋体" w:cs="宋体"/>
                <w:color w:val="000000"/>
              </w:rPr>
              <w:t>结转和结余</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4.00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一般公共预算财政拨款</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b/>
                <w:color w:val="000000"/>
              </w:rPr>
              <w:t>275.5</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国有资本经营财政拨款</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r>
        <w:tblPrEx>
          <w:tblCellMar>
            <w:top w:w="0" w:type="dxa"/>
            <w:left w:w="10" w:type="dxa"/>
            <w:bottom w:w="0" w:type="dxa"/>
            <w:right w:w="10" w:type="dxa"/>
          </w:tblCellMar>
        </w:tblPrEx>
        <w:tc>
          <w:tcPr>
            <w:tcW w:w="16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收入总计</w:t>
            </w:r>
          </w:p>
        </w:tc>
        <w:tc>
          <w:tcPr>
            <w:tcW w:w="13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支出总计</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8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r>
    </w:tbl>
    <w:p>
      <w:pPr>
        <w:rPr>
          <w:rFonts w:ascii="宋体" w:hAnsi="宋体" w:eastAsia="宋体" w:cs="宋体"/>
        </w:rPr>
      </w:pPr>
    </w:p>
    <w:p>
      <w:pPr>
        <w:jc w:val="left"/>
        <w:rPr>
          <w:rFonts w:ascii="Calibri" w:hAnsi="Calibri" w:eastAsia="Calibri" w:cs="Calibri"/>
        </w:rPr>
      </w:pPr>
      <w:r>
        <w:rPr>
          <w:rFonts w:ascii="宋体" w:hAnsi="宋体" w:eastAsia="宋体" w:cs="宋体"/>
        </w:rPr>
        <w:t>注：本表反映部门本年度一般公共预算财政拨款和政府性基金预算财政拨款的总收支和年末结转结余情况。</w:t>
      </w:r>
      <w:r>
        <w:rPr>
          <w:rFonts w:ascii="宋体" w:hAnsi="宋体" w:eastAsia="宋体" w:cs="宋体"/>
          <w:color w:val="000000"/>
        </w:rPr>
        <w:t>本表金额转换为万元时，因四舍五入可能存在尾差。</w:t>
      </w:r>
    </w:p>
    <w:p>
      <w:pPr>
        <w:rPr>
          <w:rFonts w:ascii="仿宋_GB2312" w:hAnsi="仿宋_GB2312" w:eastAsia="仿宋_GB2312" w:cs="仿宋_GB2312"/>
          <w:sz w:val="20"/>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ind w:firstLine="482"/>
        <w:rPr>
          <w:rFonts w:ascii="宋体" w:hAnsi="宋体" w:eastAsia="宋体" w:cs="宋体"/>
          <w:b/>
          <w:sz w:val="20"/>
          <w:shd w:val="clear" w:color="auto" w:fill="FFFF00"/>
        </w:rPr>
      </w:pPr>
      <w:r>
        <w:rPr>
          <w:rFonts w:ascii="宋体" w:hAnsi="宋体" w:eastAsia="宋体" w:cs="宋体"/>
          <w:b/>
          <w:sz w:val="32"/>
        </w:rPr>
        <w:t>一般公共预算财政拨款支出决算表（按功能分类科目）</w:t>
      </w:r>
    </w:p>
    <w:p>
      <w:pPr>
        <w:rPr>
          <w:rFonts w:ascii="宋体" w:hAnsi="宋体" w:eastAsia="宋体" w:cs="宋体"/>
          <w:b/>
        </w:rPr>
      </w:pPr>
      <w:r>
        <w:rPr>
          <w:rFonts w:ascii="宋体" w:hAnsi="宋体" w:eastAsia="宋体" w:cs="宋体"/>
          <w:b/>
        </w:rPr>
        <w:t xml:space="preserve">                                                                      公开05表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170"/>
        <w:gridCol w:w="1537"/>
        <w:gridCol w:w="1006"/>
        <w:gridCol w:w="1020"/>
        <w:gridCol w:w="935"/>
        <w:gridCol w:w="1039"/>
        <w:gridCol w:w="1020"/>
        <w:gridCol w:w="1050"/>
      </w:tblGrid>
      <w:tr>
        <w:tblPrEx>
          <w:tblCellMar>
            <w:top w:w="0" w:type="dxa"/>
            <w:left w:w="10" w:type="dxa"/>
            <w:bottom w:w="0" w:type="dxa"/>
            <w:right w:w="10" w:type="dxa"/>
          </w:tblCellMar>
        </w:tblPrEx>
        <w:tc>
          <w:tcPr>
            <w:tcW w:w="27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本年支出合计</w:t>
            </w:r>
          </w:p>
        </w:tc>
        <w:tc>
          <w:tcPr>
            <w:tcW w:w="2994" w:type="dxa"/>
            <w:gridSpan w:val="3"/>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备注</w:t>
            </w: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功能分类科目编码</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人员经费</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270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279.5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173.73</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168.87</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105.77</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一般公共服务支出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259.54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152.91</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101.77</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20131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党委办公厅（室）及相关机构事务</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2013199</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sz w:val="18"/>
              </w:rPr>
              <w:t>其他党委办公厅（室）及相关机构事务支出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72.49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20136</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其他共产党事务支出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187.05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152.91</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152.91</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2013601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行政运行</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157.77</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152.91</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000000"/>
              </w:rPr>
            </w:pPr>
            <w:r>
              <w:rPr>
                <w:rFonts w:ascii="宋体" w:hAnsi="宋体" w:eastAsia="宋体" w:cs="宋体"/>
                <w:color w:val="000000"/>
              </w:rPr>
              <w:t>2013602</w:t>
            </w:r>
          </w:p>
          <w:p>
            <w:pPr>
              <w:rPr>
                <w:rFonts w:ascii="宋体" w:hAnsi="宋体" w:eastAsia="宋体" w:cs="宋体"/>
              </w:rPr>
            </w:pP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一般行政管理事务</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29.28</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208</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社会保障和就业支出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firstLine="210"/>
              <w:rPr>
                <w:rFonts w:ascii="宋体" w:hAnsi="宋体" w:eastAsia="宋体" w:cs="宋体"/>
              </w:rPr>
            </w:pPr>
            <w:r>
              <w:rPr>
                <w:rFonts w:ascii="宋体" w:hAnsi="宋体" w:eastAsia="宋体" w:cs="宋体"/>
                <w:color w:val="000000"/>
              </w:rPr>
              <w:t>20805</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行政事业单位离退休</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right="105"/>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2080505</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210</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卫生健康支出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ind w:firstLine="210"/>
              <w:rPr>
                <w:rFonts w:ascii="宋体" w:hAnsi="宋体" w:eastAsia="宋体" w:cs="宋体"/>
              </w:rPr>
            </w:pPr>
            <w:r>
              <w:rPr>
                <w:rFonts w:ascii="宋体" w:hAnsi="宋体" w:eastAsia="宋体" w:cs="宋体"/>
                <w:color w:val="000000"/>
              </w:rPr>
              <w:t>21011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行政事业单位医疗</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2101101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rPr>
            </w:pPr>
            <w:r>
              <w:rPr>
                <w:rFonts w:ascii="宋体" w:hAnsi="宋体" w:eastAsia="宋体" w:cs="宋体"/>
                <w:color w:val="000000"/>
              </w:rPr>
              <w:t>行政单位医疗</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公共安全支出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20499</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sz w:val="22"/>
              </w:rPr>
            </w:pPr>
            <w:r>
              <w:rPr>
                <w:rFonts w:ascii="宋体" w:hAnsi="宋体" w:eastAsia="宋体" w:cs="宋体"/>
                <w:color w:val="000000"/>
                <w:sz w:val="22"/>
              </w:rPr>
              <w:t>其他公共安全支出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2049901</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sz w:val="22"/>
              </w:rPr>
            </w:pPr>
            <w:r>
              <w:rPr>
                <w:rFonts w:ascii="宋体" w:hAnsi="宋体" w:eastAsia="宋体" w:cs="宋体"/>
                <w:color w:val="000000"/>
                <w:sz w:val="22"/>
              </w:rPr>
              <w:t>其他公共安全支出</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注：本表反映部门本年度一般公共预算财政拨款实际支出情况。</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jc w:val="center"/>
        <w:rPr>
          <w:rFonts w:ascii="宋体" w:hAnsi="宋体" w:eastAsia="宋体" w:cs="宋体"/>
          <w:b/>
          <w:sz w:val="20"/>
        </w:rPr>
      </w:pPr>
      <w:r>
        <w:rPr>
          <w:rFonts w:ascii="宋体" w:hAnsi="宋体" w:eastAsia="宋体" w:cs="宋体"/>
          <w:b/>
          <w:sz w:val="32"/>
        </w:rPr>
        <w:t>一般公共预算财政拨款基本支出决算表（按经济分类科目）</w:t>
      </w:r>
    </w:p>
    <w:p>
      <w:pPr>
        <w:jc w:val="right"/>
        <w:rPr>
          <w:rFonts w:ascii="宋体" w:hAnsi="宋体" w:eastAsia="宋体" w:cs="宋体"/>
          <w:b/>
        </w:rPr>
      </w:pPr>
      <w:r>
        <w:rPr>
          <w:rFonts w:ascii="宋体" w:hAnsi="宋体" w:eastAsia="宋体" w:cs="宋体"/>
          <w:b/>
        </w:rPr>
        <w:t>公开06表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157"/>
        <w:gridCol w:w="2046"/>
        <w:gridCol w:w="1659"/>
        <w:gridCol w:w="1437"/>
        <w:gridCol w:w="1363"/>
        <w:gridCol w:w="1155"/>
      </w:tblGrid>
      <w:tr>
        <w:tblPrEx>
          <w:tblCellMar>
            <w:top w:w="0" w:type="dxa"/>
            <w:left w:w="10" w:type="dxa"/>
            <w:bottom w:w="0" w:type="dxa"/>
            <w:right w:w="10" w:type="dxa"/>
          </w:tblCellMar>
        </w:tblPrEx>
        <w:tc>
          <w:tcPr>
            <w:tcW w:w="3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备注</w:t>
            </w: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经济分类科目编码</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3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1659"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173.73</w:t>
            </w:r>
          </w:p>
        </w:tc>
        <w:tc>
          <w:tcPr>
            <w:tcW w:w="1437"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168.87</w:t>
            </w:r>
          </w:p>
        </w:tc>
        <w:tc>
          <w:tcPr>
            <w:tcW w:w="1363"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4.86</w:t>
            </w:r>
          </w:p>
        </w:tc>
        <w:tc>
          <w:tcPr>
            <w:tcW w:w="1155" w:type="dxa"/>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301</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168.75</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168.75</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30101</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基本工资</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39.38</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39.38</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30102</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津贴补贴</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44.89</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44.89</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30103</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 xml:space="preserve">  奖金</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43.45</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43.45</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30108</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12.46</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30111</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3.5</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30108</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职业年金</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3.1</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3.1</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30113</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21.97</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21.97</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302</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商品和服务支出</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30228</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工会经费</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4.86</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303</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对个人和家庭的补助</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0.12</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0.12</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30305</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pPr>
              <w:jc w:val="left"/>
              <w:rPr>
                <w:rFonts w:ascii="宋体" w:hAnsi="宋体" w:eastAsia="宋体" w:cs="宋体"/>
              </w:rPr>
            </w:pPr>
            <w:r>
              <w:rPr>
                <w:rFonts w:ascii="宋体" w:hAnsi="宋体" w:eastAsia="宋体" w:cs="宋体"/>
                <w:color w:val="000000"/>
              </w:rPr>
              <w:t xml:space="preserve">  生活补助</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0.12</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0.12</w:t>
            </w: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rPr>
            </w:pPr>
            <w:r>
              <w:rPr>
                <w:rFonts w:ascii="宋体" w:hAnsi="宋体" w:eastAsia="宋体" w:cs="宋体"/>
                <w:color w:val="000000"/>
              </w:rPr>
              <w:t>0.00</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31002</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房屋建筑物购建</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 xml:space="preserve">  31003</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办公设备购置</w:t>
            </w: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rPr>
            </w:pPr>
            <w:r>
              <w:rPr>
                <w:rFonts w:ascii="宋体" w:hAnsi="宋体" w:eastAsia="宋体" w:cs="宋体"/>
                <w:color w:val="000000"/>
              </w:rPr>
              <w:t>……</w:t>
            </w:r>
          </w:p>
        </w:tc>
        <w:tc>
          <w:tcPr>
            <w:tcW w:w="20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6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注：本表反映部门本年度一般公共预算财政拨款基本支出明细情况。</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jc w:val="center"/>
        <w:rPr>
          <w:rFonts w:ascii="宋体" w:hAnsi="宋体" w:eastAsia="宋体" w:cs="宋体"/>
          <w:b/>
          <w:sz w:val="20"/>
        </w:rPr>
      </w:pPr>
    </w:p>
    <w:p>
      <w:pPr>
        <w:jc w:val="center"/>
        <w:rPr>
          <w:rFonts w:ascii="宋体" w:hAnsi="宋体" w:eastAsia="宋体" w:cs="宋体"/>
          <w:b/>
          <w:sz w:val="20"/>
        </w:rPr>
      </w:pPr>
    </w:p>
    <w:p>
      <w:pPr>
        <w:jc w:val="center"/>
        <w:rPr>
          <w:rFonts w:ascii="宋体" w:hAnsi="宋体" w:eastAsia="宋体" w:cs="宋体"/>
          <w:b/>
          <w:sz w:val="20"/>
        </w:rPr>
      </w:pPr>
    </w:p>
    <w:p>
      <w:pPr>
        <w:jc w:val="center"/>
        <w:rPr>
          <w:rFonts w:ascii="宋体" w:hAnsi="宋体" w:eastAsia="宋体" w:cs="宋体"/>
          <w:b/>
          <w:sz w:val="20"/>
        </w:rPr>
      </w:pPr>
      <w:r>
        <w:rPr>
          <w:rFonts w:ascii="宋体" w:hAnsi="宋体" w:eastAsia="宋体" w:cs="宋体"/>
          <w:b/>
          <w:sz w:val="32"/>
        </w:rPr>
        <w:t>一般公共预算财政拨款“三公”经费</w:t>
      </w:r>
    </w:p>
    <w:p>
      <w:pPr>
        <w:spacing w:line="520" w:lineRule="auto"/>
        <w:jc w:val="center"/>
        <w:rPr>
          <w:rFonts w:ascii="宋体" w:hAnsi="宋体" w:eastAsia="宋体" w:cs="宋体"/>
          <w:b/>
          <w:sz w:val="20"/>
        </w:rPr>
      </w:pPr>
      <w:r>
        <w:rPr>
          <w:rFonts w:ascii="宋体" w:hAnsi="宋体" w:eastAsia="宋体" w:cs="宋体"/>
          <w:b/>
          <w:sz w:val="32"/>
        </w:rPr>
        <w:t>及会议费、培训费支出决算表</w:t>
      </w:r>
    </w:p>
    <w:p>
      <w:pPr>
        <w:jc w:val="right"/>
        <w:rPr>
          <w:rFonts w:ascii="宋体" w:hAnsi="宋体" w:eastAsia="宋体" w:cs="宋体"/>
          <w:b/>
        </w:rPr>
      </w:pPr>
      <w:r>
        <w:rPr>
          <w:rFonts w:ascii="宋体" w:hAnsi="宋体" w:eastAsia="宋体" w:cs="宋体"/>
          <w:b/>
        </w:rPr>
        <w:t xml:space="preserve">   公开07表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079"/>
        <w:gridCol w:w="985"/>
        <w:gridCol w:w="1117"/>
        <w:gridCol w:w="878"/>
        <w:gridCol w:w="878"/>
        <w:gridCol w:w="998"/>
        <w:gridCol w:w="1189"/>
        <w:gridCol w:w="772"/>
        <w:gridCol w:w="962"/>
      </w:tblGrid>
      <w:tr>
        <w:tblPrEx>
          <w:tblCellMar>
            <w:top w:w="0" w:type="dxa"/>
            <w:left w:w="10" w:type="dxa"/>
            <w:bottom w:w="0" w:type="dxa"/>
            <w:right w:w="10" w:type="dxa"/>
          </w:tblCellMar>
        </w:tblPrEx>
        <w:tc>
          <w:tcPr>
            <w:tcW w:w="10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w:t>
            </w:r>
          </w:p>
        </w:tc>
        <w:tc>
          <w:tcPr>
            <w:tcW w:w="6045"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会议费</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培训费</w:t>
            </w:r>
          </w:p>
        </w:tc>
      </w:tr>
      <w:tr>
        <w:tblPrEx>
          <w:tblCellMar>
            <w:top w:w="0" w:type="dxa"/>
            <w:left w:w="10" w:type="dxa"/>
            <w:bottom w:w="0" w:type="dxa"/>
            <w:right w:w="10" w:type="dxa"/>
          </w:tblCellMar>
        </w:tblPrEx>
        <w:tc>
          <w:tcPr>
            <w:tcW w:w="10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10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9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公务用车购置费</w:t>
            </w:r>
          </w:p>
        </w:tc>
        <w:tc>
          <w:tcPr>
            <w:tcW w:w="11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10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1</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2</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3</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4</w:t>
            </w:r>
          </w:p>
        </w:tc>
        <w:tc>
          <w:tcPr>
            <w:tcW w:w="9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5</w:t>
            </w:r>
          </w:p>
        </w:tc>
        <w:tc>
          <w:tcPr>
            <w:tcW w:w="11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6</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7</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color w:val="000000"/>
              </w:rPr>
              <w:t>8</w:t>
            </w:r>
          </w:p>
        </w:tc>
      </w:tr>
      <w:tr>
        <w:tblPrEx>
          <w:tblCellMar>
            <w:top w:w="0" w:type="dxa"/>
            <w:left w:w="10" w:type="dxa"/>
            <w:bottom w:w="0" w:type="dxa"/>
            <w:right w:w="10" w:type="dxa"/>
          </w:tblCellMar>
        </w:tblPrEx>
        <w:tc>
          <w:tcPr>
            <w:tcW w:w="10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预算数</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1.74</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1.14</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9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11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0.6</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r>
      <w:tr>
        <w:tblPrEx>
          <w:tblCellMar>
            <w:top w:w="0" w:type="dxa"/>
            <w:left w:w="10" w:type="dxa"/>
            <w:bottom w:w="0" w:type="dxa"/>
            <w:right w:w="10" w:type="dxa"/>
          </w:tblCellMar>
        </w:tblPrEx>
        <w:tc>
          <w:tcPr>
            <w:tcW w:w="10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决算数</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2.92</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0.13</w:t>
            </w:r>
          </w:p>
        </w:tc>
        <w:tc>
          <w:tcPr>
            <w:tcW w:w="8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9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11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0.00</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2.05</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0.74</w:t>
            </w:r>
          </w:p>
        </w:tc>
      </w:tr>
    </w:tbl>
    <w:p>
      <w:pPr>
        <w:jc w:val="left"/>
        <w:rPr>
          <w:rFonts w:ascii="Calibri" w:hAnsi="Calibri" w:eastAsia="Calibri" w:cs="Calibri"/>
        </w:rPr>
      </w:pPr>
      <w:r>
        <w:rPr>
          <w:rFonts w:ascii="宋体" w:hAnsi="宋体" w:eastAsia="宋体" w:cs="宋体"/>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jc w:val="center"/>
        <w:rPr>
          <w:rFonts w:ascii="宋体" w:hAnsi="宋体" w:eastAsia="宋体" w:cs="宋体"/>
          <w:b/>
          <w:sz w:val="20"/>
        </w:rPr>
      </w:pPr>
      <w:r>
        <w:rPr>
          <w:rFonts w:ascii="宋体" w:hAnsi="宋体" w:eastAsia="宋体" w:cs="宋体"/>
          <w:b/>
          <w:sz w:val="32"/>
        </w:rPr>
        <w:t>政府性基金预算财政拨款收入支出决算表</w:t>
      </w:r>
    </w:p>
    <w:p>
      <w:pPr>
        <w:jc w:val="right"/>
        <w:rPr>
          <w:rFonts w:ascii="宋体" w:hAnsi="宋体" w:eastAsia="宋体" w:cs="宋体"/>
          <w:b/>
        </w:rPr>
      </w:pPr>
      <w:r>
        <w:rPr>
          <w:rFonts w:ascii="宋体" w:hAnsi="宋体" w:eastAsia="宋体" w:cs="宋体"/>
          <w:b/>
        </w:rPr>
        <w:t>公开08表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023"/>
        <w:gridCol w:w="1341"/>
        <w:gridCol w:w="1049"/>
        <w:gridCol w:w="990"/>
        <w:gridCol w:w="930"/>
        <w:gridCol w:w="1049"/>
        <w:gridCol w:w="1024"/>
        <w:gridCol w:w="1471"/>
      </w:tblGrid>
      <w:tr>
        <w:tblPrEx>
          <w:tblCellMar>
            <w:top w:w="0" w:type="dxa"/>
            <w:left w:w="10" w:type="dxa"/>
            <w:bottom w:w="0" w:type="dxa"/>
            <w:right w:w="10" w:type="dxa"/>
          </w:tblCellMar>
        </w:tblPrEx>
        <w:tc>
          <w:tcPr>
            <w:tcW w:w="236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本年收入</w:t>
            </w:r>
          </w:p>
        </w:tc>
        <w:tc>
          <w:tcPr>
            <w:tcW w:w="3003" w:type="dxa"/>
            <w:gridSpan w:val="3"/>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年末结转和结余</w:t>
            </w: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功能分类科目编码</w:t>
            </w: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基本支出</w:t>
            </w: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r>
      <w:tr>
        <w:tblPrEx>
          <w:tblCellMar>
            <w:top w:w="0" w:type="dxa"/>
            <w:left w:w="10" w:type="dxa"/>
            <w:bottom w:w="0" w:type="dxa"/>
            <w:right w:w="10" w:type="dxa"/>
          </w:tblCellMar>
        </w:tblPrEx>
        <w:tc>
          <w:tcPr>
            <w:tcW w:w="236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1049"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r>
        <w:tblPrEx>
          <w:tblCellMar>
            <w:top w:w="0" w:type="dxa"/>
            <w:left w:w="10" w:type="dxa"/>
            <w:bottom w:w="0" w:type="dxa"/>
            <w:right w:w="10" w:type="dxa"/>
          </w:tblCellMar>
        </w:tblPrEx>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1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0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c>
          <w:tcPr>
            <w:tcW w:w="1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注：本表反映部门本年度政府性基金预算财政拨款收入、支出及结转和结余情况。</w:t>
      </w:r>
      <w:r>
        <w:rPr>
          <w:rFonts w:ascii="宋体" w:hAnsi="宋体" w:eastAsia="宋体" w:cs="宋体"/>
          <w:color w:val="000000"/>
        </w:rPr>
        <w:t>本表金额转换为万元时，因四舍五入可能存在尾差。</w:t>
      </w: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rPr>
          <w:rFonts w:ascii="Calibri" w:hAnsi="Calibri" w:eastAsia="Calibri" w:cs="Calibri"/>
          <w:b/>
          <w:i/>
          <w:caps/>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20"/>
        </w:rPr>
      </w:pPr>
      <w:r>
        <w:rPr>
          <w:rFonts w:ascii="宋体" w:hAnsi="宋体" w:eastAsia="宋体" w:cs="宋体"/>
          <w:b/>
          <w:sz w:val="32"/>
        </w:rPr>
        <w:t>国有资本经营预算财政拨款支出决算表</w:t>
      </w:r>
    </w:p>
    <w:p>
      <w:pPr>
        <w:jc w:val="right"/>
        <w:rPr>
          <w:rFonts w:ascii="宋体" w:hAnsi="宋体" w:eastAsia="宋体" w:cs="宋体"/>
          <w:b/>
        </w:rPr>
      </w:pPr>
      <w:r>
        <w:rPr>
          <w:rFonts w:ascii="宋体" w:hAnsi="宋体" w:eastAsia="宋体" w:cs="宋体"/>
          <w:b/>
        </w:rPr>
        <w:t>公开09表</w:t>
      </w:r>
    </w:p>
    <w:p>
      <w:pPr>
        <w:rPr>
          <w:rFonts w:ascii="宋体" w:hAnsi="宋体" w:eastAsia="宋体" w:cs="宋体"/>
          <w:b/>
        </w:rPr>
      </w:pPr>
      <w:r>
        <w:rPr>
          <w:rFonts w:ascii="宋体" w:hAnsi="宋体" w:eastAsia="宋体" w:cs="宋体"/>
          <w:b/>
        </w:rPr>
        <w:t>编制部门：                                                       金额单位：万元</w:t>
      </w:r>
    </w:p>
    <w:tbl>
      <w:tblPr>
        <w:tblStyle w:val="5"/>
        <w:tblW w:w="0" w:type="auto"/>
        <w:tblInd w:w="0" w:type="dxa"/>
        <w:tblLayout w:type="autofit"/>
        <w:tblCellMar>
          <w:top w:w="0" w:type="dxa"/>
          <w:left w:w="10" w:type="dxa"/>
          <w:bottom w:w="0" w:type="dxa"/>
          <w:right w:w="10" w:type="dxa"/>
        </w:tblCellMar>
      </w:tblPr>
      <w:tblGrid>
        <w:gridCol w:w="1935"/>
        <w:gridCol w:w="2100"/>
        <w:gridCol w:w="1183"/>
        <w:gridCol w:w="1534"/>
        <w:gridCol w:w="1566"/>
      </w:tblGrid>
      <w:tr>
        <w:tblPrEx>
          <w:tblCellMar>
            <w:top w:w="0" w:type="dxa"/>
            <w:left w:w="10" w:type="dxa"/>
            <w:bottom w:w="0" w:type="dxa"/>
            <w:right w:w="10" w:type="dxa"/>
          </w:tblCellMar>
        </w:tblPrEx>
        <w:tc>
          <w:tcPr>
            <w:tcW w:w="4035"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    目</w:t>
            </w:r>
          </w:p>
        </w:tc>
        <w:tc>
          <w:tcPr>
            <w:tcW w:w="4283" w:type="dxa"/>
            <w:gridSpan w:val="3"/>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本年支出</w:t>
            </w: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b/>
                <w:color w:val="000000"/>
              </w:rPr>
            </w:pPr>
            <w:r>
              <w:rPr>
                <w:rFonts w:ascii="宋体" w:hAnsi="宋体" w:eastAsia="宋体" w:cs="宋体"/>
                <w:b/>
                <w:color w:val="000000"/>
              </w:rPr>
              <w:t>功能分类</w:t>
            </w:r>
          </w:p>
          <w:p>
            <w:pPr>
              <w:jc w:val="center"/>
              <w:rPr>
                <w:rFonts w:ascii="宋体" w:hAnsi="宋体" w:eastAsia="宋体" w:cs="宋体"/>
              </w:rPr>
            </w:pPr>
            <w:r>
              <w:rPr>
                <w:rFonts w:ascii="宋体" w:hAnsi="宋体" w:eastAsia="宋体" w:cs="宋体"/>
                <w:b/>
                <w:color w:val="000000"/>
              </w:rPr>
              <w:t>科目编码</w:t>
            </w: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科目名称</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小计</w:t>
            </w: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基本支出</w:t>
            </w: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项目支出</w:t>
            </w:r>
          </w:p>
        </w:tc>
      </w:tr>
      <w:tr>
        <w:tblPrEx>
          <w:tblCellMar>
            <w:top w:w="0" w:type="dxa"/>
            <w:left w:w="10" w:type="dxa"/>
            <w:bottom w:w="0" w:type="dxa"/>
            <w:right w:w="10" w:type="dxa"/>
          </w:tblCellMar>
        </w:tblPrEx>
        <w:tc>
          <w:tcPr>
            <w:tcW w:w="4035"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rPr>
            </w:pPr>
            <w:r>
              <w:rPr>
                <w:rFonts w:ascii="宋体" w:hAnsi="宋体" w:eastAsia="宋体" w:cs="宋体"/>
                <w:b/>
                <w:color w:val="000000"/>
              </w:rPr>
              <w:t>合计</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bottom"/>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r>
        <w:tblPrEx>
          <w:tblCellMar>
            <w:top w:w="0" w:type="dxa"/>
            <w:left w:w="10" w:type="dxa"/>
            <w:bottom w:w="0" w:type="dxa"/>
            <w:right w:w="10" w:type="dxa"/>
          </w:tblCellMar>
        </w:tblPrEx>
        <w:tc>
          <w:tcPr>
            <w:tcW w:w="19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sz w:val="22"/>
              </w:rPr>
            </w:pPr>
          </w:p>
        </w:tc>
        <w:tc>
          <w:tcPr>
            <w:tcW w:w="21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18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right"/>
              <w:rPr>
                <w:rFonts w:ascii="宋体" w:hAnsi="宋体" w:eastAsia="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left"/>
              <w:rPr>
                <w:rFonts w:ascii="宋体" w:hAnsi="宋体" w:eastAsia="宋体" w:cs="宋体"/>
                <w:sz w:val="22"/>
              </w:rPr>
            </w:pPr>
          </w:p>
        </w:tc>
      </w:tr>
    </w:tbl>
    <w:p>
      <w:pPr>
        <w:jc w:val="left"/>
        <w:rPr>
          <w:rFonts w:ascii="Calibri" w:hAnsi="Calibri" w:eastAsia="Calibri" w:cs="Calibri"/>
        </w:rPr>
      </w:pPr>
      <w:r>
        <w:rPr>
          <w:rFonts w:ascii="宋体" w:hAnsi="宋体" w:eastAsia="宋体" w:cs="宋体"/>
        </w:rPr>
        <w:t>注：本表反映部门本年度国有资本经营预算财政拨款支出情况。</w:t>
      </w:r>
      <w:r>
        <w:rPr>
          <w:rFonts w:ascii="宋体" w:hAnsi="宋体" w:eastAsia="宋体" w:cs="宋体"/>
          <w:color w:val="000000"/>
        </w:rPr>
        <w:t>本表金额转换为万元时，因四舍五入可能存在尾差。</w:t>
      </w: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p>
    <w:p>
      <w:pPr>
        <w:jc w:val="center"/>
        <w:rPr>
          <w:rFonts w:ascii="黑体" w:hAnsi="黑体" w:eastAsia="黑体" w:cs="黑体"/>
          <w:color w:val="000000"/>
          <w:sz w:val="44"/>
        </w:rPr>
      </w:pPr>
      <w:bookmarkStart w:id="0" w:name="_GoBack"/>
      <w:bookmarkEnd w:id="0"/>
    </w:p>
    <w:p>
      <w:pPr>
        <w:jc w:val="center"/>
        <w:rPr>
          <w:rFonts w:ascii="黑体" w:hAnsi="黑体" w:eastAsia="黑体" w:cs="黑体"/>
          <w:color w:val="000000"/>
          <w:sz w:val="44"/>
        </w:rPr>
      </w:pPr>
    </w:p>
    <w:p>
      <w:pPr>
        <w:jc w:val="center"/>
        <w:rPr>
          <w:rFonts w:ascii="Calibri" w:hAnsi="Calibri" w:eastAsia="Calibri" w:cs="Calibri"/>
          <w:b/>
          <w:color w:val="000000"/>
          <w:sz w:val="44"/>
        </w:rPr>
      </w:pPr>
      <w:r>
        <w:rPr>
          <w:rFonts w:ascii="宋体" w:hAnsi="宋体" w:eastAsia="宋体" w:cs="宋体"/>
          <w:b/>
          <w:color w:val="000000"/>
          <w:sz w:val="44"/>
        </w:rPr>
        <w:t>第三部分</w:t>
      </w:r>
      <w:r>
        <w:rPr>
          <w:rFonts w:ascii="Calibri" w:hAnsi="Calibri" w:eastAsia="Calibri" w:cs="Calibri"/>
          <w:b/>
          <w:color w:val="000000"/>
          <w:sz w:val="44"/>
        </w:rPr>
        <w:t xml:space="preserve"> 2020</w:t>
      </w:r>
      <w:r>
        <w:rPr>
          <w:rFonts w:ascii="宋体" w:hAnsi="宋体" w:eastAsia="宋体" w:cs="宋体"/>
          <w:b/>
          <w:color w:val="000000"/>
          <w:sz w:val="44"/>
        </w:rPr>
        <w:t>年部门决算情况说明</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一、收入支出决算总体情况说明</w:t>
      </w:r>
    </w:p>
    <w:p>
      <w:pPr>
        <w:spacing w:line="560" w:lineRule="auto"/>
        <w:ind w:firstLine="640"/>
        <w:jc w:val="left"/>
      </w:pPr>
      <w:r>
        <w:drawing>
          <wp:inline distT="0" distB="0" distL="114300" distR="114300">
            <wp:extent cx="4572000" cy="2095500"/>
            <wp:effectExtent l="4445" t="4445" r="14605" b="1460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60" w:lineRule="auto"/>
        <w:ind w:firstLine="640"/>
        <w:jc w:val="left"/>
        <w:rPr>
          <w:rFonts w:ascii="仿宋_GB2312" w:hAnsi="仿宋_GB2312" w:eastAsia="仿宋_GB2312" w:cs="仿宋_GB2312"/>
          <w:sz w:val="20"/>
        </w:rPr>
      </w:pPr>
      <w:r>
        <w:rPr>
          <w:rFonts w:ascii="仿宋_GB2312" w:hAnsi="仿宋_GB2312" w:eastAsia="仿宋_GB2312" w:cs="仿宋_GB2312"/>
          <w:sz w:val="32"/>
        </w:rPr>
        <w:t>2020</w:t>
      </w:r>
      <w:r>
        <w:rPr>
          <w:rFonts w:ascii="宋体" w:hAnsi="宋体" w:eastAsia="宋体" w:cs="宋体"/>
          <w:sz w:val="32"/>
        </w:rPr>
        <w:t>年度收入</w:t>
      </w:r>
      <w:r>
        <w:rPr>
          <w:rFonts w:ascii="仿宋_GB2312" w:hAnsi="仿宋_GB2312" w:eastAsia="仿宋_GB2312" w:cs="仿宋_GB2312"/>
          <w:sz w:val="32"/>
        </w:rPr>
        <w:t>275.5</w:t>
      </w:r>
      <w:r>
        <w:rPr>
          <w:rFonts w:ascii="宋体" w:hAnsi="宋体" w:eastAsia="宋体" w:cs="宋体"/>
          <w:sz w:val="32"/>
        </w:rPr>
        <w:t>万元，总体情况及比上年减少</w:t>
      </w:r>
      <w:r>
        <w:rPr>
          <w:rFonts w:ascii="仿宋_GB2312" w:hAnsi="仿宋_GB2312" w:eastAsia="仿宋_GB2312" w:cs="仿宋_GB2312"/>
          <w:sz w:val="32"/>
        </w:rPr>
        <w:t>171.69</w:t>
      </w:r>
      <w:r>
        <w:rPr>
          <w:rFonts w:ascii="宋体" w:hAnsi="宋体" w:eastAsia="宋体" w:cs="宋体"/>
          <w:sz w:val="32"/>
        </w:rPr>
        <w:t>万元</w:t>
      </w:r>
      <w:r>
        <w:rPr>
          <w:rFonts w:ascii="仿宋_GB2312" w:hAnsi="仿宋_GB2312" w:eastAsia="仿宋_GB2312" w:cs="仿宋_GB2312"/>
          <w:sz w:val="32"/>
        </w:rPr>
        <w:t>,</w:t>
      </w:r>
      <w:r>
        <w:rPr>
          <w:rFonts w:ascii="宋体" w:hAnsi="宋体" w:eastAsia="宋体" w:cs="宋体"/>
          <w:sz w:val="32"/>
        </w:rPr>
        <w:t>减少的主要原因是扫黑除恶专项斗争工作经费减少。</w:t>
      </w:r>
      <w:r>
        <w:rPr>
          <w:rFonts w:ascii="仿宋_GB2312" w:hAnsi="仿宋_GB2312" w:eastAsia="仿宋_GB2312" w:cs="仿宋_GB2312"/>
          <w:sz w:val="32"/>
        </w:rPr>
        <w:t>2019</w:t>
      </w:r>
      <w:r>
        <w:rPr>
          <w:rFonts w:ascii="宋体" w:hAnsi="宋体" w:eastAsia="宋体" w:cs="宋体"/>
          <w:sz w:val="32"/>
        </w:rPr>
        <w:t>年收入</w:t>
      </w:r>
      <w:r>
        <w:rPr>
          <w:rFonts w:ascii="仿宋_GB2312" w:hAnsi="仿宋_GB2312" w:eastAsia="仿宋_GB2312" w:cs="仿宋_GB2312"/>
          <w:sz w:val="32"/>
        </w:rPr>
        <w:t>447.19</w:t>
      </w:r>
      <w:r>
        <w:rPr>
          <w:rFonts w:ascii="宋体" w:hAnsi="宋体" w:eastAsia="宋体" w:cs="宋体"/>
          <w:sz w:val="32"/>
        </w:rPr>
        <w:t>万元。</w:t>
      </w:r>
    </w:p>
    <w:p>
      <w:pPr>
        <w:spacing w:line="560" w:lineRule="auto"/>
        <w:ind w:firstLine="640"/>
        <w:jc w:val="left"/>
        <w:rPr>
          <w:rFonts w:ascii="仿宋_GB2312" w:hAnsi="仿宋_GB2312" w:eastAsia="仿宋_GB2312" w:cs="仿宋_GB2312"/>
          <w:sz w:val="20"/>
        </w:rPr>
      </w:pPr>
      <w:r>
        <w:rPr>
          <w:rFonts w:ascii="仿宋_GB2312" w:hAnsi="仿宋_GB2312" w:eastAsia="仿宋_GB2312" w:cs="仿宋_GB2312"/>
          <w:sz w:val="32"/>
        </w:rPr>
        <w:t>2020</w:t>
      </w:r>
      <w:r>
        <w:rPr>
          <w:rFonts w:ascii="宋体" w:hAnsi="宋体" w:eastAsia="宋体" w:cs="宋体"/>
          <w:sz w:val="32"/>
        </w:rPr>
        <w:t>度年支出</w:t>
      </w:r>
      <w:r>
        <w:rPr>
          <w:rFonts w:ascii="仿宋_GB2312" w:hAnsi="仿宋_GB2312" w:eastAsia="仿宋_GB2312" w:cs="仿宋_GB2312"/>
          <w:sz w:val="32"/>
        </w:rPr>
        <w:t>279.5</w:t>
      </w:r>
      <w:r>
        <w:rPr>
          <w:rFonts w:ascii="宋体" w:hAnsi="宋体" w:eastAsia="宋体" w:cs="宋体"/>
          <w:sz w:val="32"/>
        </w:rPr>
        <w:t>万元，总体情况及比上年减少</w:t>
      </w:r>
      <w:r>
        <w:rPr>
          <w:rFonts w:ascii="仿宋_GB2312" w:hAnsi="仿宋_GB2312" w:eastAsia="仿宋_GB2312" w:cs="仿宋_GB2312"/>
          <w:sz w:val="32"/>
        </w:rPr>
        <w:t>163.69</w:t>
      </w:r>
      <w:r>
        <w:rPr>
          <w:rFonts w:ascii="宋体" w:hAnsi="宋体" w:eastAsia="宋体" w:cs="宋体"/>
          <w:sz w:val="32"/>
        </w:rPr>
        <w:t>万元，减少的主要原因是扫黑除恶专项斗争工作支出减少。</w:t>
      </w:r>
      <w:r>
        <w:rPr>
          <w:rFonts w:ascii="仿宋_GB2312" w:hAnsi="仿宋_GB2312" w:eastAsia="仿宋_GB2312" w:cs="仿宋_GB2312"/>
          <w:sz w:val="32"/>
        </w:rPr>
        <w:t>2019</w:t>
      </w:r>
      <w:r>
        <w:rPr>
          <w:rFonts w:ascii="宋体" w:hAnsi="宋体" w:eastAsia="宋体" w:cs="宋体"/>
          <w:sz w:val="32"/>
        </w:rPr>
        <w:t>年支出</w:t>
      </w:r>
      <w:r>
        <w:rPr>
          <w:rFonts w:ascii="仿宋_GB2312" w:hAnsi="仿宋_GB2312" w:eastAsia="仿宋_GB2312" w:cs="仿宋_GB2312"/>
          <w:sz w:val="32"/>
        </w:rPr>
        <w:t>443.19</w:t>
      </w:r>
      <w:r>
        <w:rPr>
          <w:rFonts w:ascii="宋体" w:hAnsi="宋体" w:eastAsia="宋体" w:cs="宋体"/>
          <w:sz w:val="32"/>
        </w:rPr>
        <w:t>万元。</w:t>
      </w:r>
    </w:p>
    <w:p>
      <w:pPr>
        <w:spacing w:line="560" w:lineRule="auto"/>
        <w:ind w:firstLine="640"/>
        <w:jc w:val="left"/>
        <w:rPr>
          <w:rFonts w:ascii="黑体" w:hAnsi="黑体" w:eastAsia="黑体" w:cs="黑体"/>
          <w:color w:val="000000"/>
          <w:sz w:val="20"/>
        </w:rPr>
      </w:pPr>
      <w:r>
        <w:rPr>
          <w:rFonts w:ascii="黑体" w:hAnsi="黑体" w:eastAsia="黑体" w:cs="黑体"/>
          <w:color w:val="000000"/>
          <w:sz w:val="32"/>
        </w:rPr>
        <w:t>二</w:t>
      </w:r>
      <w:r>
        <w:rPr>
          <w:rFonts w:ascii="黑体" w:hAnsi="黑体" w:eastAsia="黑体" w:cs="黑体"/>
          <w:b/>
          <w:color w:val="000000"/>
          <w:sz w:val="32"/>
        </w:rPr>
        <w:t>、收入决算情况说明</w:t>
      </w:r>
    </w:p>
    <w:p>
      <w:pPr>
        <w:spacing w:line="560" w:lineRule="auto"/>
        <w:ind w:firstLine="640"/>
        <w:jc w:val="left"/>
      </w:pPr>
      <w:r>
        <w:drawing>
          <wp:inline distT="0" distB="0" distL="114300" distR="114300">
            <wp:extent cx="4572000" cy="2428875"/>
            <wp:effectExtent l="4445" t="4445" r="14605" b="5080"/>
            <wp:docPr id="20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60" w:lineRule="exact"/>
        <w:ind w:firstLine="641"/>
        <w:jc w:val="left"/>
        <w:rPr>
          <w:rFonts w:ascii="仿宋_GB2312" w:hAnsi="仿宋_GB2312" w:eastAsia="仿宋_GB2312" w:cs="仿宋_GB2312"/>
          <w:color w:val="000000"/>
          <w:sz w:val="20"/>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收入合计</w:t>
      </w:r>
      <w:r>
        <w:rPr>
          <w:rFonts w:ascii="仿宋_GB2312" w:hAnsi="仿宋_GB2312" w:eastAsia="仿宋_GB2312" w:cs="仿宋_GB2312"/>
          <w:sz w:val="32"/>
        </w:rPr>
        <w:t>275.5</w:t>
      </w:r>
      <w:r>
        <w:rPr>
          <w:rFonts w:ascii="宋体" w:hAnsi="宋体" w:eastAsia="宋体" w:cs="宋体"/>
          <w:color w:val="000000"/>
          <w:sz w:val="32"/>
        </w:rPr>
        <w:t>万元，其中：财政拨款收入</w:t>
      </w:r>
      <w:r>
        <w:rPr>
          <w:rFonts w:ascii="仿宋_GB2312" w:hAnsi="仿宋_GB2312" w:eastAsia="仿宋_GB2312" w:cs="仿宋_GB2312"/>
          <w:sz w:val="32"/>
        </w:rPr>
        <w:t>275.5</w:t>
      </w:r>
      <w:r>
        <w:rPr>
          <w:rFonts w:ascii="宋体" w:hAnsi="宋体" w:eastAsia="宋体" w:cs="宋体"/>
          <w:color w:val="000000"/>
          <w:sz w:val="32"/>
        </w:rPr>
        <w:t>万元。</w:t>
      </w:r>
    </w:p>
    <w:p>
      <w:pPr>
        <w:spacing w:line="560" w:lineRule="exact"/>
        <w:ind w:firstLine="641"/>
        <w:jc w:val="left"/>
        <w:rPr>
          <w:rFonts w:ascii="黑体" w:hAnsi="黑体" w:eastAsia="黑体" w:cs="黑体"/>
          <w:sz w:val="20"/>
        </w:rPr>
      </w:pPr>
      <w:r>
        <w:rPr>
          <w:rFonts w:ascii="黑体" w:hAnsi="黑体" w:eastAsia="黑体" w:cs="黑体"/>
          <w:color w:val="000000"/>
          <w:sz w:val="32"/>
        </w:rPr>
        <w:t>三、</w:t>
      </w:r>
      <w:r>
        <w:rPr>
          <w:rFonts w:ascii="黑体" w:hAnsi="黑体" w:eastAsia="黑体" w:cs="黑体"/>
          <w:b/>
          <w:color w:val="000000"/>
          <w:sz w:val="32"/>
        </w:rPr>
        <w:t>支出决算情况说明</w:t>
      </w:r>
    </w:p>
    <w:p>
      <w:pPr>
        <w:spacing w:line="560" w:lineRule="auto"/>
        <w:ind w:firstLine="640"/>
        <w:jc w:val="left"/>
      </w:pPr>
      <w:r>
        <w:drawing>
          <wp:inline distT="0" distB="0" distL="114300" distR="114300">
            <wp:extent cx="4572000" cy="2085975"/>
            <wp:effectExtent l="4445" t="4445" r="14605" b="5080"/>
            <wp:docPr id="307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60" w:lineRule="exact"/>
        <w:ind w:firstLine="641"/>
        <w:jc w:val="left"/>
        <w:rPr>
          <w:rFonts w:ascii="Times New Roman" w:hAnsi="Times New Roman" w:eastAsia="Times New Roman" w:cs="Times New Roman"/>
          <w:color w:val="000000"/>
          <w:sz w:val="32"/>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支出合计</w:t>
      </w:r>
      <w:r>
        <w:rPr>
          <w:rFonts w:ascii="仿宋_GB2312" w:hAnsi="仿宋_GB2312" w:eastAsia="仿宋_GB2312" w:cs="仿宋_GB2312"/>
          <w:sz w:val="32"/>
        </w:rPr>
        <w:t>279.5</w:t>
      </w:r>
      <w:r>
        <w:rPr>
          <w:rFonts w:ascii="宋体" w:hAnsi="宋体" w:eastAsia="宋体" w:cs="宋体"/>
          <w:color w:val="000000"/>
          <w:sz w:val="32"/>
        </w:rPr>
        <w:t>万元，其中：基本支出</w:t>
      </w:r>
      <w:r>
        <w:rPr>
          <w:rFonts w:ascii="仿宋_GB2312" w:hAnsi="仿宋_GB2312" w:eastAsia="仿宋_GB2312" w:cs="仿宋_GB2312"/>
          <w:color w:val="000000"/>
          <w:sz w:val="32"/>
        </w:rPr>
        <w:t>173.73</w:t>
      </w:r>
      <w:r>
        <w:rPr>
          <w:rFonts w:ascii="宋体" w:hAnsi="宋体" w:eastAsia="宋体" w:cs="宋体"/>
          <w:color w:val="000000"/>
          <w:sz w:val="32"/>
        </w:rPr>
        <w:t>万元，占</w:t>
      </w:r>
      <w:r>
        <w:rPr>
          <w:rFonts w:ascii="仿宋_GB2312" w:hAnsi="仿宋_GB2312" w:eastAsia="仿宋_GB2312" w:cs="仿宋_GB2312"/>
          <w:color w:val="000000"/>
          <w:sz w:val="32"/>
        </w:rPr>
        <w:t>62%</w:t>
      </w:r>
      <w:r>
        <w:rPr>
          <w:rFonts w:ascii="宋体" w:hAnsi="宋体" w:eastAsia="宋体" w:cs="宋体"/>
          <w:color w:val="000000"/>
          <w:sz w:val="32"/>
        </w:rPr>
        <w:t>；</w:t>
      </w:r>
      <w:r>
        <w:rPr>
          <w:rFonts w:ascii="仿宋_GB2312" w:hAnsi="仿宋_GB2312" w:eastAsia="仿宋_GB2312" w:cs="仿宋_GB2312"/>
          <w:sz w:val="32"/>
        </w:rPr>
        <w:t>是为保障机构正常运转、完成日常工作任务而发生的各项支出，包括人员经费168.87万元和公用经费4.86万元</w:t>
      </w:r>
      <w:r>
        <w:rPr>
          <w:rFonts w:ascii="仿宋_GB2312" w:hAnsi="仿宋_GB2312" w:eastAsia="仿宋_GB2312" w:cs="仿宋_GB2312"/>
          <w:color w:val="000000"/>
          <w:sz w:val="32"/>
        </w:rPr>
        <w:t>；</w:t>
      </w:r>
      <w:r>
        <w:rPr>
          <w:rFonts w:ascii="宋体" w:hAnsi="宋体" w:eastAsia="宋体" w:cs="宋体"/>
          <w:color w:val="000000"/>
          <w:sz w:val="32"/>
        </w:rPr>
        <w:t>项目支出</w:t>
      </w:r>
      <w:r>
        <w:rPr>
          <w:rFonts w:ascii="仿宋_GB2312" w:hAnsi="仿宋_GB2312" w:eastAsia="仿宋_GB2312" w:cs="仿宋_GB2312"/>
          <w:color w:val="000000"/>
          <w:sz w:val="32"/>
        </w:rPr>
        <w:t>105.77</w:t>
      </w:r>
      <w:r>
        <w:rPr>
          <w:rFonts w:ascii="宋体" w:hAnsi="宋体" w:eastAsia="宋体" w:cs="宋体"/>
          <w:color w:val="000000"/>
          <w:sz w:val="32"/>
        </w:rPr>
        <w:t>万元，占</w:t>
      </w:r>
      <w:r>
        <w:rPr>
          <w:rFonts w:ascii="仿宋_GB2312" w:hAnsi="仿宋_GB2312" w:eastAsia="仿宋_GB2312" w:cs="仿宋_GB2312"/>
          <w:color w:val="000000"/>
          <w:sz w:val="32"/>
        </w:rPr>
        <w:t>38%</w:t>
      </w:r>
      <w:r>
        <w:rPr>
          <w:rFonts w:ascii="宋体" w:hAnsi="宋体" w:eastAsia="宋体" w:cs="宋体"/>
          <w:color w:val="000000"/>
          <w:sz w:val="32"/>
        </w:rPr>
        <w:t>,</w:t>
      </w:r>
      <w:r>
        <w:rPr>
          <w:rFonts w:ascii="仿宋_GB2312" w:hAnsi="仿宋_GB2312" w:eastAsia="仿宋_GB2312" w:cs="仿宋_GB2312"/>
          <w:sz w:val="32"/>
        </w:rPr>
        <w:t>是为完成政法、综治、维稳、反邪教、国家安全、扫黑除恶等工作任务，在基本支出之外发生的支出</w:t>
      </w:r>
      <w:r>
        <w:rPr>
          <w:rFonts w:ascii="仿宋_GB2312" w:hAnsi="仿宋_GB2312" w:eastAsia="仿宋_GB2312" w:cs="仿宋_GB2312"/>
          <w:color w:val="000000"/>
          <w:sz w:val="32"/>
        </w:rPr>
        <w:t>。</w:t>
      </w:r>
    </w:p>
    <w:p>
      <w:pPr>
        <w:spacing w:line="560" w:lineRule="auto"/>
        <w:ind w:firstLine="640"/>
        <w:jc w:val="left"/>
        <w:rPr>
          <w:rFonts w:ascii="Calibri" w:hAnsi="Calibri" w:eastAsia="Calibri" w:cs="Calibri"/>
          <w:b/>
          <w:color w:val="000000"/>
          <w:sz w:val="20"/>
        </w:rPr>
      </w:pPr>
      <w:r>
        <w:rPr>
          <w:rFonts w:ascii="黑体" w:hAnsi="黑体" w:eastAsia="黑体" w:cs="黑体"/>
          <w:color w:val="000000"/>
          <w:sz w:val="32"/>
        </w:rPr>
        <w:t>四</w:t>
      </w:r>
      <w:r>
        <w:rPr>
          <w:rFonts w:ascii="黑体" w:hAnsi="黑体" w:eastAsia="黑体" w:cs="黑体"/>
          <w:b/>
          <w:color w:val="000000"/>
          <w:sz w:val="32"/>
        </w:rPr>
        <w:t>、财政拨款收入支出决算总体情况说明</w:t>
      </w:r>
    </w:p>
    <w:p>
      <w:pPr>
        <w:spacing w:line="560" w:lineRule="auto"/>
        <w:ind w:firstLine="640"/>
        <w:jc w:val="left"/>
      </w:pPr>
      <w:r>
        <w:drawing>
          <wp:inline distT="0" distB="0" distL="114300" distR="114300">
            <wp:extent cx="4572000" cy="2395855"/>
            <wp:effectExtent l="19050" t="0" r="19050" b="4445"/>
            <wp:docPr id="409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641"/>
        <w:jc w:val="left"/>
        <w:rPr>
          <w:rFonts w:ascii="仿宋_GB2312" w:hAnsi="仿宋_GB2312" w:eastAsia="仿宋_GB2312" w:cs="仿宋_GB2312"/>
          <w:sz w:val="20"/>
        </w:rPr>
      </w:pPr>
      <w:r>
        <w:rPr>
          <w:rFonts w:ascii="仿宋_GB2312" w:hAnsi="仿宋_GB2312" w:eastAsia="仿宋_GB2312" w:cs="仿宋_GB2312"/>
          <w:sz w:val="32"/>
        </w:rPr>
        <w:t>2020</w:t>
      </w:r>
      <w:r>
        <w:rPr>
          <w:rFonts w:ascii="宋体" w:hAnsi="宋体" w:eastAsia="宋体" w:cs="宋体"/>
          <w:sz w:val="32"/>
        </w:rPr>
        <w:t>年度</w:t>
      </w:r>
      <w:r>
        <w:rPr>
          <w:rFonts w:ascii="宋体" w:hAnsi="宋体" w:eastAsia="宋体" w:cs="宋体"/>
          <w:color w:val="000000"/>
          <w:sz w:val="32"/>
        </w:rPr>
        <w:t>财政拨款</w:t>
      </w:r>
      <w:r>
        <w:rPr>
          <w:rFonts w:ascii="宋体" w:hAnsi="宋体" w:eastAsia="宋体" w:cs="宋体"/>
          <w:sz w:val="32"/>
        </w:rPr>
        <w:t>收入总体情况，与</w:t>
      </w:r>
      <w:r>
        <w:rPr>
          <w:rFonts w:ascii="仿宋_GB2312" w:hAnsi="仿宋_GB2312" w:eastAsia="仿宋_GB2312" w:cs="仿宋_GB2312"/>
          <w:sz w:val="32"/>
        </w:rPr>
        <w:t>2019</w:t>
      </w:r>
      <w:r>
        <w:rPr>
          <w:rFonts w:ascii="宋体" w:hAnsi="宋体" w:eastAsia="宋体" w:cs="宋体"/>
          <w:sz w:val="32"/>
        </w:rPr>
        <w:t>年相比减少</w:t>
      </w:r>
      <w:r>
        <w:rPr>
          <w:rFonts w:ascii="仿宋_GB2312" w:hAnsi="仿宋_GB2312" w:eastAsia="仿宋_GB2312" w:cs="仿宋_GB2312"/>
          <w:sz w:val="32"/>
        </w:rPr>
        <w:t>171.69</w:t>
      </w:r>
      <w:r>
        <w:rPr>
          <w:rFonts w:ascii="宋体" w:hAnsi="宋体" w:eastAsia="宋体" w:cs="宋体"/>
          <w:color w:val="000000"/>
          <w:sz w:val="32"/>
        </w:rPr>
        <w:t>万元，</w:t>
      </w:r>
      <w:r>
        <w:rPr>
          <w:rFonts w:ascii="宋体" w:hAnsi="宋体" w:eastAsia="宋体" w:cs="宋体"/>
          <w:sz w:val="32"/>
        </w:rPr>
        <w:t>比上年减少</w:t>
      </w:r>
      <w:r>
        <w:rPr>
          <w:rFonts w:hint="eastAsia" w:ascii="仿宋_GB2312" w:hAnsi="仿宋_GB2312" w:eastAsia="仿宋_GB2312" w:cs="仿宋_GB2312"/>
          <w:sz w:val="32"/>
        </w:rPr>
        <w:t>38.39</w:t>
      </w:r>
      <w:r>
        <w:rPr>
          <w:rFonts w:ascii="仿宋_GB2312" w:hAnsi="仿宋_GB2312" w:eastAsia="仿宋_GB2312" w:cs="仿宋_GB2312"/>
          <w:sz w:val="32"/>
        </w:rPr>
        <w:t>%</w:t>
      </w:r>
      <w:r>
        <w:rPr>
          <w:rFonts w:ascii="宋体" w:hAnsi="宋体" w:eastAsia="宋体" w:cs="宋体"/>
          <w:sz w:val="32"/>
        </w:rPr>
        <w:t>，减少的主要原因是扫黑除恶专项斗争工作经费减少。</w:t>
      </w:r>
      <w:r>
        <w:rPr>
          <w:rFonts w:ascii="仿宋_GB2312" w:hAnsi="仿宋_GB2312" w:eastAsia="仿宋_GB2312" w:cs="仿宋_GB2312"/>
          <w:sz w:val="32"/>
        </w:rPr>
        <w:t>2020</w:t>
      </w:r>
      <w:r>
        <w:rPr>
          <w:rFonts w:ascii="宋体" w:hAnsi="宋体" w:eastAsia="宋体" w:cs="宋体"/>
          <w:sz w:val="32"/>
        </w:rPr>
        <w:t>年度</w:t>
      </w:r>
      <w:r>
        <w:rPr>
          <w:rFonts w:ascii="宋体" w:hAnsi="宋体" w:eastAsia="宋体" w:cs="宋体"/>
          <w:color w:val="000000"/>
          <w:sz w:val="32"/>
        </w:rPr>
        <w:t>财政拨款</w:t>
      </w:r>
      <w:r>
        <w:rPr>
          <w:rFonts w:ascii="宋体" w:hAnsi="宋体" w:eastAsia="宋体" w:cs="宋体"/>
          <w:sz w:val="32"/>
        </w:rPr>
        <w:t>支出总体情况，与</w:t>
      </w:r>
      <w:r>
        <w:rPr>
          <w:rFonts w:ascii="仿宋_GB2312" w:hAnsi="仿宋_GB2312" w:eastAsia="仿宋_GB2312" w:cs="仿宋_GB2312"/>
          <w:sz w:val="32"/>
        </w:rPr>
        <w:t>2019</w:t>
      </w:r>
      <w:r>
        <w:rPr>
          <w:rFonts w:ascii="宋体" w:hAnsi="宋体" w:eastAsia="宋体" w:cs="宋体"/>
          <w:sz w:val="32"/>
        </w:rPr>
        <w:t>年相比减少</w:t>
      </w:r>
      <w:r>
        <w:rPr>
          <w:rFonts w:ascii="仿宋_GB2312" w:hAnsi="仿宋_GB2312" w:eastAsia="仿宋_GB2312" w:cs="仿宋_GB2312"/>
          <w:sz w:val="32"/>
        </w:rPr>
        <w:t>163.69</w:t>
      </w:r>
      <w:r>
        <w:rPr>
          <w:rFonts w:ascii="宋体" w:hAnsi="宋体" w:eastAsia="宋体" w:cs="宋体"/>
          <w:color w:val="000000"/>
          <w:sz w:val="32"/>
        </w:rPr>
        <w:t>万元，</w:t>
      </w:r>
      <w:r>
        <w:rPr>
          <w:rFonts w:ascii="宋体" w:hAnsi="宋体" w:eastAsia="宋体" w:cs="宋体"/>
          <w:sz w:val="32"/>
        </w:rPr>
        <w:t>比上年减少</w:t>
      </w:r>
      <w:r>
        <w:rPr>
          <w:rFonts w:hint="eastAsia" w:ascii="仿宋_GB2312" w:hAnsi="仿宋_GB2312" w:eastAsia="仿宋_GB2312" w:cs="仿宋_GB2312"/>
          <w:sz w:val="32"/>
        </w:rPr>
        <w:t>36.93</w:t>
      </w:r>
      <w:r>
        <w:rPr>
          <w:rFonts w:ascii="仿宋_GB2312" w:hAnsi="仿宋_GB2312" w:eastAsia="仿宋_GB2312" w:cs="仿宋_GB2312"/>
          <w:sz w:val="32"/>
        </w:rPr>
        <w:t>%</w:t>
      </w:r>
      <w:r>
        <w:rPr>
          <w:rFonts w:ascii="宋体" w:hAnsi="宋体" w:eastAsia="宋体" w:cs="宋体"/>
          <w:sz w:val="32"/>
        </w:rPr>
        <w:t>，分析增减变化的主要原因。减少扫黑除恶专项斗争工作经费。</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五、一般公共预算财政拨款支出决算情况说明</w:t>
      </w:r>
    </w:p>
    <w:p>
      <w:pPr>
        <w:spacing w:line="560" w:lineRule="auto"/>
        <w:ind w:firstLine="640"/>
        <w:jc w:val="left"/>
        <w:rPr>
          <w:rFonts w:ascii="楷体_GB2312" w:hAnsi="楷体_GB2312" w:eastAsia="楷体_GB2312" w:cs="楷体_GB2312"/>
          <w:b/>
          <w:color w:val="000000"/>
          <w:sz w:val="20"/>
        </w:rPr>
      </w:pPr>
      <w:r>
        <w:rPr>
          <w:rFonts w:ascii="宋体" w:hAnsi="宋体" w:eastAsia="宋体" w:cs="宋体"/>
          <w:b/>
          <w:color w:val="000000"/>
          <w:sz w:val="32"/>
        </w:rPr>
        <w:t>（一）财政拨款支出决算总体情况说明。</w:t>
      </w:r>
    </w:p>
    <w:p>
      <w:pPr>
        <w:spacing w:line="5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auto"/>
        <w:ind w:firstLine="640"/>
        <w:jc w:val="left"/>
        <w:rPr>
          <w:rFonts w:ascii="仿宋_GB2312" w:hAnsi="仿宋_GB2312" w:eastAsia="仿宋_GB2312" w:cs="仿宋_GB2312"/>
          <w:sz w:val="20"/>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财政拨款支出</w:t>
      </w:r>
      <w:r>
        <w:rPr>
          <w:rFonts w:ascii="仿宋_GB2312" w:hAnsi="仿宋_GB2312" w:eastAsia="仿宋_GB2312" w:cs="仿宋_GB2312"/>
          <w:color w:val="000000"/>
          <w:sz w:val="32"/>
        </w:rPr>
        <w:t>279.5</w:t>
      </w:r>
      <w:r>
        <w:rPr>
          <w:rFonts w:ascii="宋体" w:hAnsi="宋体" w:eastAsia="宋体" w:cs="宋体"/>
          <w:color w:val="000000"/>
          <w:sz w:val="32"/>
        </w:rPr>
        <w:t>万元，占本年支出合计的</w:t>
      </w:r>
      <w:r>
        <w:rPr>
          <w:rFonts w:ascii="仿宋_GB2312" w:hAnsi="仿宋_GB2312" w:eastAsia="仿宋_GB2312" w:cs="仿宋_GB2312"/>
          <w:color w:val="000000"/>
          <w:sz w:val="32"/>
        </w:rPr>
        <w:t>100%</w:t>
      </w:r>
      <w:r>
        <w:rPr>
          <w:rFonts w:ascii="宋体" w:hAnsi="宋体" w:eastAsia="宋体" w:cs="宋体"/>
          <w:color w:val="000000"/>
          <w:sz w:val="32"/>
        </w:rPr>
        <w:t>。与上年相比，财政拨款支出减少</w:t>
      </w:r>
      <w:r>
        <w:rPr>
          <w:rFonts w:ascii="仿宋_GB2312" w:hAnsi="仿宋_GB2312" w:eastAsia="仿宋_GB2312" w:cs="仿宋_GB2312"/>
          <w:sz w:val="32"/>
        </w:rPr>
        <w:t>163.69</w:t>
      </w:r>
      <w:r>
        <w:rPr>
          <w:rFonts w:ascii="宋体" w:hAnsi="宋体" w:eastAsia="宋体" w:cs="宋体"/>
          <w:color w:val="000000"/>
          <w:sz w:val="32"/>
        </w:rPr>
        <w:t>万元，减少</w:t>
      </w:r>
      <w:r>
        <w:rPr>
          <w:rFonts w:ascii="仿宋_GB2312" w:hAnsi="仿宋_GB2312" w:eastAsia="仿宋_GB2312" w:cs="仿宋_GB2312"/>
          <w:color w:val="000000"/>
          <w:sz w:val="32"/>
        </w:rPr>
        <w:t>36%</w:t>
      </w:r>
      <w:r>
        <w:rPr>
          <w:rFonts w:ascii="宋体" w:hAnsi="宋体" w:eastAsia="宋体" w:cs="宋体"/>
          <w:color w:val="000000"/>
          <w:sz w:val="32"/>
        </w:rPr>
        <w:t>，主要原因是</w:t>
      </w:r>
      <w:r>
        <w:rPr>
          <w:rFonts w:ascii="宋体" w:hAnsi="宋体" w:eastAsia="宋体" w:cs="宋体"/>
          <w:sz w:val="32"/>
        </w:rPr>
        <w:t>减少扫黑除恶专项斗争工作经费。</w:t>
      </w:r>
    </w:p>
    <w:p>
      <w:pPr>
        <w:spacing w:line="560" w:lineRule="auto"/>
        <w:ind w:firstLine="640"/>
        <w:rPr>
          <w:rFonts w:ascii="楷体_GB2312" w:hAnsi="楷体_GB2312" w:eastAsia="楷体_GB2312" w:cs="楷体_GB2312"/>
          <w:b/>
          <w:color w:val="000000"/>
          <w:sz w:val="20"/>
        </w:rPr>
      </w:pPr>
      <w:r>
        <w:rPr>
          <w:rFonts w:ascii="宋体" w:hAnsi="宋体" w:eastAsia="宋体" w:cs="宋体"/>
          <w:b/>
          <w:color w:val="000000"/>
          <w:sz w:val="32"/>
        </w:rPr>
        <w:t>（二）财政拨款支出决算具体情况说明。</w:t>
      </w:r>
    </w:p>
    <w:p>
      <w:pPr>
        <w:spacing w:line="560" w:lineRule="auto"/>
        <w:ind w:firstLine="640"/>
        <w:jc w:val="left"/>
        <w:rPr>
          <w:rFonts w:ascii="Calibri" w:hAnsi="Calibri" w:eastAsia="Calibri" w:cs="Calibri"/>
          <w:b/>
          <w:i/>
          <w:caps/>
          <w:sz w:val="32"/>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财政拨款支出年初预算为</w:t>
      </w:r>
      <w:r>
        <w:rPr>
          <w:rFonts w:ascii="仿宋_GB2312" w:hAnsi="仿宋_GB2312" w:eastAsia="仿宋_GB2312" w:cs="仿宋_GB2312"/>
          <w:color w:val="000000"/>
          <w:sz w:val="32"/>
        </w:rPr>
        <w:t>212.21</w:t>
      </w:r>
      <w:r>
        <w:rPr>
          <w:rFonts w:ascii="宋体" w:hAnsi="宋体" w:eastAsia="宋体" w:cs="宋体"/>
          <w:color w:val="000000"/>
          <w:sz w:val="32"/>
        </w:rPr>
        <w:t>万元，支出决算为</w:t>
      </w:r>
      <w:r>
        <w:rPr>
          <w:rFonts w:ascii="仿宋_GB2312" w:hAnsi="仿宋_GB2312" w:eastAsia="仿宋_GB2312" w:cs="仿宋_GB2312"/>
          <w:sz w:val="32"/>
        </w:rPr>
        <w:t>279.5</w:t>
      </w:r>
      <w:r>
        <w:rPr>
          <w:rFonts w:ascii="宋体" w:hAnsi="宋体" w:eastAsia="宋体" w:cs="宋体"/>
          <w:color w:val="000000"/>
          <w:sz w:val="32"/>
        </w:rPr>
        <w:t>万元，完成年初预算的</w:t>
      </w:r>
      <w:r>
        <w:rPr>
          <w:rFonts w:ascii="仿宋_GB2312" w:hAnsi="仿宋_GB2312" w:eastAsia="仿宋_GB2312" w:cs="仿宋_GB2312"/>
          <w:color w:val="000000"/>
          <w:sz w:val="32"/>
        </w:rPr>
        <w:t>100%</w:t>
      </w:r>
      <w:r>
        <w:rPr>
          <w:rFonts w:ascii="宋体" w:hAnsi="宋体" w:eastAsia="宋体" w:cs="宋体"/>
          <w:color w:val="000000"/>
          <w:sz w:val="32"/>
        </w:rPr>
        <w:t>。按照政府功能分类科目，其中：</w:t>
      </w:r>
    </w:p>
    <w:p>
      <w:pPr>
        <w:spacing w:line="560" w:lineRule="auto"/>
        <w:ind w:firstLine="640"/>
        <w:jc w:val="left"/>
        <w:rPr>
          <w:rFonts w:ascii="Calibri" w:hAnsi="Calibri" w:eastAsia="Calibri" w:cs="Calibri"/>
          <w:b/>
          <w:i/>
          <w:caps/>
          <w:sz w:val="32"/>
        </w:rPr>
      </w:pPr>
      <w:r>
        <w:rPr>
          <w:rFonts w:ascii="仿宋_GB2312" w:hAnsi="仿宋_GB2312" w:eastAsia="仿宋_GB2312" w:cs="仿宋_GB2312"/>
          <w:b/>
          <w:color w:val="000000"/>
          <w:sz w:val="32"/>
        </w:rPr>
        <w:t>1.</w:t>
      </w:r>
      <w:r>
        <w:rPr>
          <w:rFonts w:ascii="宋体" w:hAnsi="宋体" w:eastAsia="宋体" w:cs="宋体"/>
          <w:b/>
          <w:color w:val="000000"/>
          <w:sz w:val="32"/>
        </w:rPr>
        <w:t>一般公共服务支出（类）财政事务（款）行政运行（项）。</w:t>
      </w:r>
    </w:p>
    <w:p>
      <w:pPr>
        <w:spacing w:line="560" w:lineRule="auto"/>
        <w:ind w:firstLine="640"/>
        <w:jc w:val="left"/>
        <w:rPr>
          <w:rFonts w:ascii="仿宋_GB2312" w:hAnsi="仿宋_GB2312" w:eastAsia="仿宋_GB2312" w:cs="仿宋_GB2312"/>
          <w:sz w:val="20"/>
        </w:rPr>
      </w:pPr>
      <w:r>
        <w:rPr>
          <w:rFonts w:ascii="宋体" w:hAnsi="宋体" w:eastAsia="宋体" w:cs="宋体"/>
          <w:color w:val="000000"/>
          <w:sz w:val="32"/>
        </w:rPr>
        <w:t>年初预算为</w:t>
      </w:r>
      <w:r>
        <w:rPr>
          <w:rFonts w:ascii="仿宋_GB2312" w:hAnsi="仿宋_GB2312" w:eastAsia="仿宋_GB2312" w:cs="仿宋_GB2312"/>
          <w:color w:val="000000"/>
          <w:sz w:val="32"/>
        </w:rPr>
        <w:t>212.21</w:t>
      </w:r>
      <w:r>
        <w:rPr>
          <w:rFonts w:ascii="宋体" w:hAnsi="宋体" w:eastAsia="宋体" w:cs="宋体"/>
          <w:color w:val="000000"/>
          <w:sz w:val="32"/>
        </w:rPr>
        <w:t>万元，支出决算为</w:t>
      </w:r>
      <w:r>
        <w:rPr>
          <w:rFonts w:ascii="仿宋_GB2312" w:hAnsi="仿宋_GB2312" w:eastAsia="仿宋_GB2312" w:cs="仿宋_GB2312"/>
          <w:color w:val="000000"/>
          <w:sz w:val="32"/>
        </w:rPr>
        <w:t>279.5</w:t>
      </w:r>
      <w:r>
        <w:rPr>
          <w:rFonts w:ascii="宋体" w:hAnsi="宋体" w:eastAsia="宋体" w:cs="宋体"/>
          <w:color w:val="000000"/>
          <w:sz w:val="32"/>
        </w:rPr>
        <w:t>元，完成年初预算的</w:t>
      </w:r>
      <w:r>
        <w:rPr>
          <w:rFonts w:ascii="仿宋_GB2312" w:hAnsi="仿宋_GB2312" w:eastAsia="仿宋_GB2312" w:cs="仿宋_GB2312"/>
          <w:color w:val="000000"/>
          <w:sz w:val="32"/>
        </w:rPr>
        <w:t>100%</w:t>
      </w:r>
      <w:r>
        <w:rPr>
          <w:rFonts w:ascii="宋体" w:hAnsi="宋体" w:eastAsia="宋体" w:cs="宋体"/>
          <w:color w:val="000000"/>
          <w:sz w:val="32"/>
        </w:rPr>
        <w:t>。决算数大于预算数的主要原因是有上年结余</w:t>
      </w:r>
      <w:r>
        <w:rPr>
          <w:rFonts w:ascii="宋体" w:hAnsi="宋体" w:eastAsia="宋体" w:cs="宋体"/>
          <w:sz w:val="32"/>
        </w:rPr>
        <w:t>扫黑除恶专项斗争工作经费。</w:t>
      </w:r>
    </w:p>
    <w:p>
      <w:pPr>
        <w:spacing w:line="560" w:lineRule="auto"/>
        <w:jc w:val="left"/>
        <w:rPr>
          <w:rFonts w:ascii="仿宋_GB2312" w:hAnsi="仿宋_GB2312" w:eastAsia="仿宋_GB2312" w:cs="仿宋_GB2312"/>
          <w:color w:val="000000"/>
          <w:sz w:val="20"/>
        </w:rPr>
      </w:pPr>
      <w:r>
        <w:rPr>
          <w:rFonts w:ascii="宋体" w:hAnsi="宋体" w:eastAsia="宋体" w:cs="宋体"/>
          <w:color w:val="000000"/>
          <w:sz w:val="32"/>
        </w:rPr>
        <w:t>。</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color w:val="000000"/>
          <w:sz w:val="32"/>
        </w:rPr>
        <w:t>2.</w:t>
      </w:r>
      <w:r>
        <w:rPr>
          <w:rFonts w:ascii="宋体" w:hAnsi="宋体" w:eastAsia="宋体" w:cs="宋体"/>
          <w:b/>
          <w:color w:val="000000"/>
          <w:sz w:val="32"/>
        </w:rPr>
        <w:t>一般公共服务支出（类）其他共产党事务支出（款）行政运行（项）</w:t>
      </w:r>
      <w:r>
        <w:rPr>
          <w:rFonts w:ascii="宋体" w:hAnsi="宋体" w:eastAsia="宋体" w:cs="宋体"/>
          <w:color w:val="000000"/>
          <w:sz w:val="32"/>
        </w:rPr>
        <w:t>年初预算为</w:t>
      </w:r>
      <w:r>
        <w:rPr>
          <w:rFonts w:ascii="仿宋_GB2312" w:hAnsi="仿宋_GB2312" w:eastAsia="仿宋_GB2312" w:cs="仿宋_GB2312"/>
          <w:color w:val="000000"/>
          <w:sz w:val="32"/>
        </w:rPr>
        <w:t>66</w:t>
      </w:r>
      <w:r>
        <w:rPr>
          <w:rFonts w:ascii="宋体" w:hAnsi="宋体" w:eastAsia="宋体" w:cs="宋体"/>
          <w:color w:val="000000"/>
          <w:sz w:val="32"/>
        </w:rPr>
        <w:t>万元，支出决算为</w:t>
      </w:r>
      <w:r>
        <w:rPr>
          <w:rFonts w:ascii="仿宋_GB2312" w:hAnsi="仿宋_GB2312" w:eastAsia="仿宋_GB2312" w:cs="仿宋_GB2312"/>
          <w:color w:val="000000"/>
          <w:sz w:val="32"/>
        </w:rPr>
        <w:t>101.77</w:t>
      </w:r>
      <w:r>
        <w:rPr>
          <w:rFonts w:ascii="宋体" w:hAnsi="宋体" w:eastAsia="宋体" w:cs="宋体"/>
          <w:color w:val="000000"/>
          <w:sz w:val="32"/>
        </w:rPr>
        <w:t>万元。决算数大于预算数的主要原因是有上年结余扫黑除恶专项斗争工作任务。</w:t>
      </w:r>
      <w:r>
        <w:rPr>
          <w:rFonts w:ascii="宋体" w:hAnsi="宋体" w:eastAsia="宋体" w:cs="宋体"/>
          <w:b/>
          <w:color w:val="000000"/>
          <w:sz w:val="32"/>
        </w:rPr>
        <w:t>公共安全支出其他公共安全支出上年结转</w:t>
      </w:r>
      <w:r>
        <w:rPr>
          <w:rFonts w:ascii="宋体" w:hAnsi="宋体" w:eastAsia="宋体" w:cs="宋体"/>
          <w:color w:val="000000"/>
          <w:sz w:val="32"/>
        </w:rPr>
        <w:t>结余</w:t>
      </w:r>
      <w:r>
        <w:rPr>
          <w:rFonts w:ascii="仿宋_GB2312" w:hAnsi="仿宋_GB2312" w:eastAsia="仿宋_GB2312" w:cs="仿宋_GB2312"/>
          <w:color w:val="000000"/>
          <w:sz w:val="32"/>
        </w:rPr>
        <w:t>4</w:t>
      </w:r>
      <w:r>
        <w:rPr>
          <w:rFonts w:ascii="宋体" w:hAnsi="宋体" w:eastAsia="宋体" w:cs="宋体"/>
          <w:color w:val="000000"/>
          <w:sz w:val="32"/>
        </w:rPr>
        <w:t>万元</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b/>
          <w:color w:val="000000"/>
          <w:sz w:val="32"/>
        </w:rPr>
        <w:t>3.</w:t>
      </w:r>
      <w:r>
        <w:rPr>
          <w:rFonts w:ascii="宋体" w:hAnsi="宋体" w:eastAsia="宋体" w:cs="宋体"/>
          <w:b/>
          <w:color w:val="000000"/>
          <w:sz w:val="32"/>
        </w:rPr>
        <w:t>社会保障和就业支出（类）行政事业单位医疗（款）行政单位医疗（项）。</w:t>
      </w:r>
      <w:r>
        <w:rPr>
          <w:rFonts w:ascii="宋体" w:hAnsi="宋体" w:eastAsia="宋体" w:cs="宋体"/>
          <w:color w:val="000000"/>
          <w:sz w:val="32"/>
        </w:rPr>
        <w:t>年初预算为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12.46</w:t>
      </w:r>
      <w:r>
        <w:rPr>
          <w:rFonts w:ascii="宋体" w:hAnsi="宋体" w:eastAsia="宋体" w:cs="宋体"/>
          <w:color w:val="000000"/>
          <w:sz w:val="32"/>
        </w:rPr>
        <w:t>万元。决算数大于预算数的主要原因是增加了职工基本养老保险支出，不再由财政统一缴纳。</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b/>
          <w:color w:val="000000"/>
          <w:sz w:val="32"/>
        </w:rPr>
        <w:t>4.</w:t>
      </w:r>
      <w:r>
        <w:rPr>
          <w:rFonts w:ascii="宋体" w:hAnsi="宋体" w:eastAsia="宋体" w:cs="宋体"/>
          <w:b/>
          <w:color w:val="000000"/>
          <w:sz w:val="32"/>
        </w:rPr>
        <w:t>卫生健康支出（类）行政事业单位离退休（款）机关事业单位基本养老保险缴费支出（项）。</w:t>
      </w:r>
      <w:r>
        <w:rPr>
          <w:rFonts w:ascii="宋体" w:hAnsi="宋体" w:eastAsia="宋体" w:cs="宋体"/>
          <w:color w:val="000000"/>
          <w:sz w:val="32"/>
        </w:rPr>
        <w:t>年初预算为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3.5</w:t>
      </w:r>
      <w:r>
        <w:rPr>
          <w:rFonts w:ascii="宋体" w:hAnsi="宋体" w:eastAsia="宋体" w:cs="宋体"/>
          <w:color w:val="000000"/>
          <w:sz w:val="32"/>
        </w:rPr>
        <w:t>万元。决算数大于预算数的主要原因是起增加了职工医疗保险支出，不再由财政统一缴纳。</w:t>
      </w:r>
    </w:p>
    <w:p>
      <w:pPr>
        <w:spacing w:line="560" w:lineRule="auto"/>
        <w:ind w:firstLine="643"/>
        <w:rPr>
          <w:rFonts w:ascii="Calibri" w:hAnsi="Calibri" w:eastAsia="Calibri" w:cs="Calibri"/>
          <w:b/>
          <w:sz w:val="20"/>
        </w:rPr>
      </w:pPr>
      <w:r>
        <w:rPr>
          <w:rFonts w:ascii="宋体" w:hAnsi="宋体" w:eastAsia="宋体" w:cs="宋体"/>
          <w:b/>
          <w:color w:val="000000"/>
          <w:sz w:val="32"/>
        </w:rPr>
        <w:t>六、一般公共预算财政拨款基本支出决算情况说明</w:t>
      </w:r>
    </w:p>
    <w:p>
      <w:pPr>
        <w:spacing w:line="560" w:lineRule="auto"/>
        <w:ind w:firstLine="620"/>
        <w:jc w:val="left"/>
        <w:rPr>
          <w:rFonts w:ascii="仿宋_GB2312" w:hAnsi="仿宋_GB2312" w:eastAsia="仿宋_GB2312" w:cs="仿宋_GB2312"/>
          <w:color w:val="000000"/>
          <w:sz w:val="31"/>
        </w:rPr>
      </w:pPr>
      <w:r>
        <w:rPr>
          <w:rFonts w:ascii="仿宋_GB2312" w:hAnsi="仿宋_GB2312" w:eastAsia="仿宋_GB2312" w:cs="仿宋_GB2312"/>
          <w:color w:val="000000"/>
          <w:sz w:val="31"/>
        </w:rPr>
        <w:t>2020</w:t>
      </w:r>
      <w:r>
        <w:rPr>
          <w:rFonts w:ascii="宋体" w:hAnsi="宋体" w:eastAsia="宋体" w:cs="宋体"/>
          <w:color w:val="000000"/>
          <w:sz w:val="31"/>
        </w:rPr>
        <w:t>年</w:t>
      </w:r>
      <w:r>
        <w:rPr>
          <w:rFonts w:ascii="宋体" w:hAnsi="宋体" w:eastAsia="宋体" w:cs="宋体"/>
          <w:sz w:val="32"/>
        </w:rPr>
        <w:t>度</w:t>
      </w:r>
      <w:r>
        <w:rPr>
          <w:rFonts w:ascii="宋体" w:hAnsi="宋体" w:eastAsia="宋体" w:cs="宋体"/>
          <w:color w:val="000000"/>
          <w:sz w:val="31"/>
        </w:rPr>
        <w:t>一般公共预算财政拨款基本支出</w:t>
      </w:r>
      <w:r>
        <w:rPr>
          <w:rFonts w:ascii="仿宋_GB2312" w:hAnsi="仿宋_GB2312" w:eastAsia="仿宋_GB2312" w:cs="仿宋_GB2312"/>
          <w:color w:val="000000"/>
          <w:sz w:val="31"/>
        </w:rPr>
        <w:t>173.73</w:t>
      </w:r>
      <w:r>
        <w:rPr>
          <w:rFonts w:ascii="宋体" w:hAnsi="宋体" w:eastAsia="宋体" w:cs="宋体"/>
          <w:color w:val="000000"/>
          <w:sz w:val="31"/>
        </w:rPr>
        <w:t>万元，包括：人员经费支出</w:t>
      </w:r>
      <w:r>
        <w:rPr>
          <w:rFonts w:ascii="仿宋_GB2312" w:hAnsi="仿宋_GB2312" w:eastAsia="仿宋_GB2312" w:cs="仿宋_GB2312"/>
          <w:color w:val="000000"/>
          <w:sz w:val="31"/>
        </w:rPr>
        <w:t>168.87</w:t>
      </w:r>
      <w:r>
        <w:rPr>
          <w:rFonts w:ascii="宋体" w:hAnsi="宋体" w:eastAsia="宋体" w:cs="宋体"/>
          <w:color w:val="000000"/>
          <w:sz w:val="31"/>
        </w:rPr>
        <w:t>万元和公用经费支出</w:t>
      </w:r>
      <w:r>
        <w:rPr>
          <w:rFonts w:ascii="仿宋_GB2312" w:hAnsi="仿宋_GB2312" w:eastAsia="仿宋_GB2312" w:cs="仿宋_GB2312"/>
          <w:color w:val="000000"/>
          <w:sz w:val="31"/>
        </w:rPr>
        <w:t>4.86</w:t>
      </w:r>
      <w:r>
        <w:rPr>
          <w:rFonts w:ascii="宋体" w:hAnsi="宋体" w:eastAsia="宋体" w:cs="宋体"/>
          <w:color w:val="000000"/>
          <w:sz w:val="31"/>
        </w:rPr>
        <w:t>万元。</w:t>
      </w:r>
    </w:p>
    <w:p>
      <w:pPr>
        <w:spacing w:line="560" w:lineRule="auto"/>
        <w:ind w:firstLine="640"/>
        <w:jc w:val="left"/>
        <w:rPr>
          <w:rFonts w:ascii="仿宋_GB2312" w:hAnsi="仿宋_GB2312" w:eastAsia="仿宋_GB2312" w:cs="仿宋_GB2312"/>
          <w:color w:val="000000"/>
          <w:sz w:val="20"/>
        </w:rPr>
      </w:pPr>
      <w:r>
        <w:rPr>
          <w:rFonts w:ascii="宋体" w:hAnsi="宋体" w:eastAsia="宋体" w:cs="宋体"/>
          <w:b/>
          <w:color w:val="000000"/>
          <w:sz w:val="32"/>
        </w:rPr>
        <w:t>人员经费</w:t>
      </w:r>
      <w:r>
        <w:rPr>
          <w:rFonts w:ascii="仿宋_GB2312" w:hAnsi="仿宋_GB2312" w:eastAsia="仿宋_GB2312" w:cs="仿宋_GB2312"/>
          <w:color w:val="000000"/>
          <w:sz w:val="31"/>
        </w:rPr>
        <w:t>168.87</w:t>
      </w:r>
      <w:r>
        <w:rPr>
          <w:rFonts w:ascii="宋体" w:hAnsi="宋体" w:eastAsia="宋体" w:cs="宋体"/>
          <w:color w:val="000000"/>
          <w:sz w:val="32"/>
        </w:rPr>
        <w:t>万元，主要包括主要包括基本工资</w:t>
      </w:r>
      <w:r>
        <w:rPr>
          <w:rFonts w:ascii="仿宋_GB2312" w:hAnsi="仿宋_GB2312" w:eastAsia="仿宋_GB2312" w:cs="仿宋_GB2312"/>
          <w:color w:val="000000"/>
          <w:sz w:val="32"/>
        </w:rPr>
        <w:t>39.38</w:t>
      </w:r>
      <w:r>
        <w:rPr>
          <w:rFonts w:ascii="宋体" w:hAnsi="宋体" w:eastAsia="宋体" w:cs="宋体"/>
          <w:color w:val="000000"/>
          <w:sz w:val="32"/>
        </w:rPr>
        <w:t>万元，津贴补贴</w:t>
      </w:r>
      <w:r>
        <w:rPr>
          <w:rFonts w:ascii="仿宋_GB2312" w:hAnsi="仿宋_GB2312" w:eastAsia="仿宋_GB2312" w:cs="仿宋_GB2312"/>
          <w:color w:val="000000"/>
          <w:sz w:val="32"/>
        </w:rPr>
        <w:t>44.89</w:t>
      </w:r>
      <w:r>
        <w:rPr>
          <w:rFonts w:ascii="宋体" w:hAnsi="宋体" w:eastAsia="宋体" w:cs="宋体"/>
          <w:color w:val="000000"/>
          <w:sz w:val="32"/>
        </w:rPr>
        <w:t>万元，奖金</w:t>
      </w:r>
      <w:r>
        <w:rPr>
          <w:rFonts w:ascii="仿宋_GB2312" w:hAnsi="仿宋_GB2312" w:eastAsia="仿宋_GB2312" w:cs="仿宋_GB2312"/>
          <w:color w:val="000000"/>
          <w:sz w:val="32"/>
        </w:rPr>
        <w:t>43.45</w:t>
      </w:r>
      <w:r>
        <w:rPr>
          <w:rFonts w:ascii="宋体" w:hAnsi="宋体" w:eastAsia="宋体" w:cs="宋体"/>
          <w:color w:val="000000"/>
          <w:sz w:val="32"/>
        </w:rPr>
        <w:t>万元，机关事业单位基本养老保险缴费</w:t>
      </w:r>
      <w:r>
        <w:rPr>
          <w:rFonts w:ascii="仿宋_GB2312" w:hAnsi="仿宋_GB2312" w:eastAsia="仿宋_GB2312" w:cs="仿宋_GB2312"/>
          <w:color w:val="000000"/>
          <w:sz w:val="32"/>
        </w:rPr>
        <w:t>12.46</w:t>
      </w:r>
      <w:r>
        <w:rPr>
          <w:rFonts w:ascii="宋体" w:hAnsi="宋体" w:eastAsia="宋体" w:cs="宋体"/>
          <w:color w:val="000000"/>
          <w:sz w:val="32"/>
        </w:rPr>
        <w:t>万元，公务员医疗补助缴费</w:t>
      </w:r>
      <w:r>
        <w:rPr>
          <w:rFonts w:ascii="仿宋_GB2312" w:hAnsi="仿宋_GB2312" w:eastAsia="仿宋_GB2312" w:cs="仿宋_GB2312"/>
          <w:color w:val="000000"/>
          <w:sz w:val="32"/>
        </w:rPr>
        <w:t>3.5</w:t>
      </w:r>
      <w:r>
        <w:rPr>
          <w:rFonts w:ascii="宋体" w:hAnsi="宋体" w:eastAsia="宋体" w:cs="宋体"/>
          <w:color w:val="000000"/>
          <w:sz w:val="32"/>
        </w:rPr>
        <w:t>万元、住房公积金</w:t>
      </w:r>
      <w:r>
        <w:rPr>
          <w:rFonts w:ascii="仿宋_GB2312" w:hAnsi="仿宋_GB2312" w:eastAsia="仿宋_GB2312" w:cs="仿宋_GB2312"/>
          <w:color w:val="000000"/>
          <w:sz w:val="32"/>
        </w:rPr>
        <w:t>21.97</w:t>
      </w:r>
      <w:r>
        <w:rPr>
          <w:rFonts w:ascii="宋体" w:hAnsi="宋体" w:eastAsia="宋体" w:cs="宋体"/>
          <w:color w:val="000000"/>
          <w:sz w:val="32"/>
        </w:rPr>
        <w:t>万元，职业年金</w:t>
      </w:r>
      <w:r>
        <w:rPr>
          <w:rFonts w:ascii="仿宋_GB2312" w:hAnsi="仿宋_GB2312" w:eastAsia="仿宋_GB2312" w:cs="仿宋_GB2312"/>
          <w:color w:val="000000"/>
          <w:sz w:val="32"/>
        </w:rPr>
        <w:t>3.1</w:t>
      </w:r>
      <w:r>
        <w:rPr>
          <w:rFonts w:ascii="宋体" w:hAnsi="宋体" w:eastAsia="宋体" w:cs="宋体"/>
          <w:color w:val="000000"/>
          <w:sz w:val="32"/>
        </w:rPr>
        <w:t>万元和对个人和家庭的补助</w:t>
      </w:r>
      <w:r>
        <w:rPr>
          <w:rFonts w:ascii="仿宋_GB2312" w:hAnsi="仿宋_GB2312" w:eastAsia="仿宋_GB2312" w:cs="仿宋_GB2312"/>
          <w:color w:val="000000"/>
          <w:sz w:val="32"/>
        </w:rPr>
        <w:t>0.12</w:t>
      </w:r>
      <w:r>
        <w:rPr>
          <w:rFonts w:ascii="宋体" w:hAnsi="宋体" w:eastAsia="宋体" w:cs="宋体"/>
          <w:color w:val="000000"/>
          <w:sz w:val="32"/>
        </w:rPr>
        <w:t>万元。</w:t>
      </w:r>
    </w:p>
    <w:p>
      <w:pPr>
        <w:spacing w:line="560" w:lineRule="auto"/>
        <w:ind w:firstLine="640"/>
        <w:jc w:val="left"/>
        <w:rPr>
          <w:rFonts w:ascii="Calibri" w:hAnsi="Calibri" w:eastAsia="Calibri" w:cs="Calibri"/>
          <w:b/>
          <w:color w:val="000000"/>
          <w:sz w:val="20"/>
        </w:rPr>
      </w:pPr>
      <w:r>
        <w:rPr>
          <w:rFonts w:ascii="宋体" w:hAnsi="宋体" w:eastAsia="宋体" w:cs="宋体"/>
          <w:b/>
          <w:color w:val="000000"/>
          <w:sz w:val="32"/>
        </w:rPr>
        <w:t>公用经费</w:t>
      </w:r>
      <w:r>
        <w:rPr>
          <w:rFonts w:ascii="仿宋_GB2312" w:hAnsi="仿宋_GB2312" w:eastAsia="仿宋_GB2312" w:cs="仿宋_GB2312"/>
          <w:color w:val="000000"/>
          <w:sz w:val="32"/>
        </w:rPr>
        <w:t>4.86</w:t>
      </w:r>
      <w:r>
        <w:rPr>
          <w:rFonts w:ascii="宋体" w:hAnsi="宋体" w:eastAsia="宋体" w:cs="宋体"/>
          <w:color w:val="000000"/>
          <w:sz w:val="32"/>
        </w:rPr>
        <w:t>万元，主要包括主要包括工会经费</w:t>
      </w:r>
      <w:r>
        <w:rPr>
          <w:rFonts w:ascii="仿宋_GB2312" w:hAnsi="仿宋_GB2312" w:eastAsia="仿宋_GB2312" w:cs="仿宋_GB2312"/>
          <w:color w:val="000000"/>
          <w:sz w:val="32"/>
        </w:rPr>
        <w:t>4.86</w:t>
      </w:r>
      <w:r>
        <w:rPr>
          <w:rFonts w:ascii="宋体" w:hAnsi="宋体" w:eastAsia="宋体" w:cs="宋体"/>
          <w:color w:val="000000"/>
          <w:sz w:val="32"/>
        </w:rPr>
        <w:t>万元</w:t>
      </w:r>
      <w:r>
        <w:rPr>
          <w:rFonts w:ascii="宋体" w:hAnsi="宋体" w:eastAsia="宋体" w:cs="宋体"/>
          <w:b/>
          <w:color w:val="000000"/>
          <w:sz w:val="32"/>
        </w:rPr>
        <w:t>七、一般公共预算财政拨款“三公”经费及会议费、培训费支出决算情况说明</w:t>
      </w:r>
    </w:p>
    <w:p>
      <w:pPr>
        <w:spacing w:line="560" w:lineRule="auto"/>
        <w:ind w:firstLine="640"/>
        <w:jc w:val="left"/>
        <w:rPr>
          <w:rFonts w:ascii="Calibri" w:hAnsi="Calibri" w:eastAsia="Calibri" w:cs="Calibri"/>
          <w:b/>
          <w:i/>
          <w:caps/>
          <w:sz w:val="32"/>
        </w:rPr>
      </w:pPr>
      <w:r>
        <w:rPr>
          <w:rFonts w:ascii="宋体" w:hAnsi="宋体" w:eastAsia="宋体" w:cs="宋体"/>
          <w:b/>
          <w:color w:val="000000"/>
          <w:sz w:val="32"/>
        </w:rPr>
        <w:t>（一）“三公”经费财政拨款支出决算总体情况说明。</w:t>
      </w:r>
    </w:p>
    <w:p>
      <w:pPr>
        <w:spacing w:line="560" w:lineRule="auto"/>
        <w:ind w:firstLine="640"/>
        <w:jc w:val="left"/>
        <w:rPr>
          <w:rFonts w:ascii="Calibri" w:hAnsi="Calibri" w:eastAsia="Calibri" w:cs="Calibri"/>
          <w:b/>
          <w:i/>
          <w:caps/>
          <w:sz w:val="32"/>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“三公”经费财政拨款支出预算为</w:t>
      </w:r>
      <w:r>
        <w:rPr>
          <w:rFonts w:ascii="仿宋_GB2312" w:hAnsi="仿宋_GB2312" w:eastAsia="仿宋_GB2312" w:cs="仿宋_GB2312"/>
          <w:color w:val="000000"/>
          <w:sz w:val="32"/>
        </w:rPr>
        <w:t>1.14</w:t>
      </w:r>
      <w:r>
        <w:rPr>
          <w:rFonts w:ascii="宋体" w:hAnsi="宋体" w:eastAsia="宋体" w:cs="宋体"/>
          <w:color w:val="000000"/>
          <w:sz w:val="32"/>
        </w:rPr>
        <w:t>万元，支出决算为</w:t>
      </w:r>
      <w:r>
        <w:rPr>
          <w:rFonts w:ascii="仿宋_GB2312" w:hAnsi="仿宋_GB2312" w:eastAsia="仿宋_GB2312" w:cs="仿宋_GB2312"/>
          <w:color w:val="000000"/>
          <w:sz w:val="32"/>
        </w:rPr>
        <w:t>0.13</w:t>
      </w:r>
      <w:r>
        <w:rPr>
          <w:rFonts w:ascii="宋体" w:hAnsi="宋体" w:eastAsia="宋体" w:cs="宋体"/>
          <w:color w:val="000000"/>
          <w:sz w:val="32"/>
        </w:rPr>
        <w:t>万元，完成预算的</w:t>
      </w:r>
      <w:r>
        <w:rPr>
          <w:rFonts w:ascii="仿宋_GB2312" w:hAnsi="仿宋_GB2312" w:eastAsia="仿宋_GB2312" w:cs="仿宋_GB2312"/>
          <w:color w:val="000000"/>
          <w:sz w:val="32"/>
        </w:rPr>
        <w:t>11%</w:t>
      </w:r>
      <w:r>
        <w:rPr>
          <w:rFonts w:ascii="宋体" w:hAnsi="宋体" w:eastAsia="宋体" w:cs="宋体"/>
          <w:color w:val="000000"/>
          <w:sz w:val="32"/>
        </w:rPr>
        <w:t>。决算数较预算数减少（增加）</w:t>
      </w:r>
      <w:r>
        <w:rPr>
          <w:rFonts w:ascii="仿宋_GB2312" w:hAnsi="仿宋_GB2312" w:eastAsia="仿宋_GB2312" w:cs="仿宋_GB2312"/>
          <w:color w:val="000000"/>
          <w:sz w:val="32"/>
        </w:rPr>
        <w:t>1.01</w:t>
      </w:r>
      <w:r>
        <w:rPr>
          <w:rFonts w:ascii="宋体" w:hAnsi="宋体" w:eastAsia="宋体" w:cs="宋体"/>
          <w:color w:val="000000"/>
          <w:sz w:val="32"/>
        </w:rPr>
        <w:t>万元，主要原因是主要原因是</w:t>
      </w:r>
      <w:r>
        <w:rPr>
          <w:rFonts w:ascii="宋体" w:hAnsi="宋体" w:eastAsia="宋体" w:cs="宋体"/>
          <w:sz w:val="32"/>
        </w:rPr>
        <w:t>省、市督导检查工作次数减少，同时我委严格按照中央八项规定执行，厉行节约</w:t>
      </w:r>
      <w:r>
        <w:rPr>
          <w:rFonts w:ascii="宋体" w:hAnsi="宋体" w:eastAsia="宋体" w:cs="宋体"/>
          <w:color w:val="000000"/>
          <w:sz w:val="32"/>
        </w:rPr>
        <w:t>。</w:t>
      </w:r>
    </w:p>
    <w:p>
      <w:pPr>
        <w:spacing w:line="560" w:lineRule="auto"/>
        <w:ind w:firstLine="640"/>
        <w:rPr>
          <w:rFonts w:ascii="楷体_GB2312" w:hAnsi="楷体_GB2312" w:eastAsia="楷体_GB2312" w:cs="楷体_GB2312"/>
          <w:b/>
          <w:color w:val="000000"/>
          <w:sz w:val="20"/>
        </w:rPr>
      </w:pPr>
      <w:r>
        <w:rPr>
          <w:rFonts w:ascii="宋体" w:hAnsi="宋体" w:eastAsia="宋体" w:cs="宋体"/>
          <w:b/>
          <w:color w:val="000000"/>
          <w:sz w:val="32"/>
        </w:rPr>
        <w:t>（二）“三公”经费财政拨款支出决算具体情况说明。</w:t>
      </w:r>
    </w:p>
    <w:p>
      <w:pPr>
        <w:spacing w:line="560" w:lineRule="auto"/>
        <w:ind w:firstLine="640"/>
        <w:jc w:val="left"/>
        <w:rPr>
          <w:rFonts w:ascii="仿宋_GB2312" w:hAnsi="仿宋_GB2312" w:eastAsia="仿宋_GB2312" w:cs="仿宋_GB2312"/>
          <w:color w:val="000000"/>
          <w:sz w:val="32"/>
        </w:rPr>
      </w:pPr>
      <w:r>
        <w:rPr>
          <w:rFonts w:ascii="宋体" w:hAnsi="宋体" w:eastAsia="宋体" w:cs="宋体"/>
          <w:sz w:val="32"/>
        </w:rPr>
        <w:drawing>
          <wp:inline distT="0" distB="0" distL="0" distR="0">
            <wp:extent cx="4572000" cy="27432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auto"/>
        <w:ind w:firstLine="640"/>
        <w:jc w:val="left"/>
        <w:rPr>
          <w:rFonts w:ascii="Calibri" w:hAnsi="Calibri" w:eastAsia="Calibri" w:cs="Calibri"/>
          <w:b/>
          <w:i/>
          <w:caps/>
          <w:sz w:val="32"/>
        </w:rPr>
      </w:pPr>
      <w:r>
        <w:rPr>
          <w:rFonts w:ascii="仿宋_GB2312" w:hAnsi="仿宋_GB2312" w:eastAsia="仿宋_GB2312" w:cs="仿宋_GB2312"/>
          <w:color w:val="000000"/>
          <w:sz w:val="32"/>
        </w:rPr>
        <w:t>2020</w:t>
      </w:r>
      <w:r>
        <w:rPr>
          <w:rFonts w:ascii="宋体" w:hAnsi="宋体" w:eastAsia="宋体" w:cs="宋体"/>
          <w:color w:val="000000"/>
          <w:sz w:val="32"/>
        </w:rPr>
        <w:t>年</w:t>
      </w:r>
      <w:r>
        <w:rPr>
          <w:rFonts w:ascii="宋体" w:hAnsi="宋体" w:eastAsia="宋体" w:cs="宋体"/>
          <w:sz w:val="32"/>
        </w:rPr>
        <w:t>度</w:t>
      </w:r>
      <w:r>
        <w:rPr>
          <w:rFonts w:ascii="宋体" w:hAnsi="宋体" w:eastAsia="宋体" w:cs="宋体"/>
          <w:color w:val="000000"/>
          <w:sz w:val="32"/>
        </w:rPr>
        <w:t>“三公”经费财政拨款支出决算中，因公出国（境）费支出决算</w:t>
      </w:r>
      <w:r>
        <w:rPr>
          <w:rFonts w:ascii="仿宋_GB2312" w:hAnsi="仿宋_GB2312" w:eastAsia="仿宋_GB2312" w:cs="仿宋_GB2312"/>
          <w:color w:val="000000"/>
          <w:sz w:val="32"/>
        </w:rPr>
        <w:t>0</w:t>
      </w:r>
      <w:r>
        <w:rPr>
          <w:rFonts w:ascii="宋体" w:hAnsi="宋体" w:eastAsia="宋体" w:cs="宋体"/>
          <w:color w:val="000000"/>
          <w:sz w:val="32"/>
        </w:rPr>
        <w:t>万元，占</w:t>
      </w:r>
      <w:r>
        <w:rPr>
          <w:rFonts w:ascii="仿宋_GB2312" w:hAnsi="仿宋_GB2312" w:eastAsia="仿宋_GB2312" w:cs="仿宋_GB2312"/>
          <w:color w:val="000000"/>
          <w:sz w:val="32"/>
        </w:rPr>
        <w:t>0%</w:t>
      </w:r>
      <w:r>
        <w:rPr>
          <w:rFonts w:ascii="宋体" w:hAnsi="宋体" w:eastAsia="宋体" w:cs="宋体"/>
          <w:color w:val="000000"/>
          <w:sz w:val="32"/>
        </w:rPr>
        <w:t>；公务用车购置费支出</w:t>
      </w:r>
      <w:r>
        <w:rPr>
          <w:rFonts w:ascii="仿宋_GB2312" w:hAnsi="仿宋_GB2312" w:eastAsia="仿宋_GB2312" w:cs="仿宋_GB2312"/>
          <w:color w:val="000000"/>
          <w:sz w:val="32"/>
        </w:rPr>
        <w:t>0</w:t>
      </w:r>
      <w:r>
        <w:rPr>
          <w:rFonts w:ascii="宋体" w:hAnsi="宋体" w:eastAsia="宋体" w:cs="宋体"/>
          <w:color w:val="000000"/>
          <w:sz w:val="32"/>
        </w:rPr>
        <w:t>万元，占</w:t>
      </w:r>
      <w:r>
        <w:rPr>
          <w:rFonts w:ascii="仿宋_GB2312" w:hAnsi="仿宋_GB2312" w:eastAsia="仿宋_GB2312" w:cs="仿宋_GB2312"/>
          <w:color w:val="000000"/>
          <w:sz w:val="32"/>
        </w:rPr>
        <w:t>0%</w:t>
      </w:r>
      <w:r>
        <w:rPr>
          <w:rFonts w:ascii="宋体" w:hAnsi="宋体" w:eastAsia="宋体" w:cs="宋体"/>
          <w:color w:val="000000"/>
          <w:sz w:val="32"/>
        </w:rPr>
        <w:t>；公务用车运行</w:t>
      </w:r>
      <w:r>
        <w:rPr>
          <w:rFonts w:ascii="宋体" w:hAnsi="宋体" w:eastAsia="宋体" w:cs="宋体"/>
          <w:sz w:val="32"/>
        </w:rPr>
        <w:t>维护</w:t>
      </w:r>
      <w:r>
        <w:rPr>
          <w:rFonts w:ascii="宋体" w:hAnsi="宋体" w:eastAsia="宋体" w:cs="宋体"/>
          <w:color w:val="000000"/>
          <w:sz w:val="32"/>
        </w:rPr>
        <w:t>费支出决算</w:t>
      </w:r>
      <w:r>
        <w:rPr>
          <w:rFonts w:ascii="仿宋_GB2312" w:hAnsi="仿宋_GB2312" w:eastAsia="仿宋_GB2312" w:cs="仿宋_GB2312"/>
          <w:color w:val="000000"/>
          <w:sz w:val="32"/>
        </w:rPr>
        <w:t>0</w:t>
      </w:r>
      <w:r>
        <w:rPr>
          <w:rFonts w:ascii="宋体" w:hAnsi="宋体" w:eastAsia="宋体" w:cs="宋体"/>
          <w:color w:val="000000"/>
          <w:sz w:val="32"/>
        </w:rPr>
        <w:t>万元，占</w:t>
      </w:r>
      <w:r>
        <w:rPr>
          <w:rFonts w:ascii="仿宋_GB2312" w:hAnsi="仿宋_GB2312" w:eastAsia="仿宋_GB2312" w:cs="仿宋_GB2312"/>
          <w:color w:val="000000"/>
          <w:sz w:val="32"/>
        </w:rPr>
        <w:t>0%</w:t>
      </w:r>
      <w:r>
        <w:rPr>
          <w:rFonts w:ascii="宋体" w:hAnsi="宋体" w:eastAsia="宋体" w:cs="宋体"/>
          <w:color w:val="000000"/>
          <w:sz w:val="32"/>
        </w:rPr>
        <w:t>；公务接待费支出决算</w:t>
      </w:r>
      <w:r>
        <w:rPr>
          <w:rFonts w:ascii="仿宋_GB2312" w:hAnsi="仿宋_GB2312" w:eastAsia="仿宋_GB2312" w:cs="仿宋_GB2312"/>
          <w:color w:val="000000"/>
          <w:sz w:val="32"/>
        </w:rPr>
        <w:t>0.13</w:t>
      </w:r>
      <w:r>
        <w:rPr>
          <w:rFonts w:ascii="宋体" w:hAnsi="宋体" w:eastAsia="宋体" w:cs="宋体"/>
          <w:color w:val="000000"/>
          <w:sz w:val="32"/>
        </w:rPr>
        <w:t>万元，占</w:t>
      </w:r>
      <w:r>
        <w:rPr>
          <w:rFonts w:ascii="仿宋_GB2312" w:hAnsi="仿宋_GB2312" w:eastAsia="仿宋_GB2312" w:cs="仿宋_GB2312"/>
          <w:color w:val="000000"/>
          <w:sz w:val="32"/>
        </w:rPr>
        <w:t>0.15%</w:t>
      </w:r>
      <w:r>
        <w:rPr>
          <w:rFonts w:ascii="宋体" w:hAnsi="宋体" w:eastAsia="宋体" w:cs="宋体"/>
          <w:color w:val="000000"/>
          <w:sz w:val="32"/>
        </w:rPr>
        <w:t>。具体情况如下：</w:t>
      </w:r>
    </w:p>
    <w:p>
      <w:pPr>
        <w:spacing w:line="560" w:lineRule="auto"/>
        <w:ind w:firstLine="640"/>
        <w:rPr>
          <w:rFonts w:ascii="仿宋_GB2312" w:hAnsi="仿宋_GB2312" w:eastAsia="仿宋_GB2312" w:cs="仿宋_GB2312"/>
          <w:b/>
          <w:sz w:val="20"/>
        </w:rPr>
      </w:pPr>
      <w:r>
        <w:rPr>
          <w:rFonts w:ascii="仿宋_GB2312" w:hAnsi="仿宋_GB2312" w:eastAsia="仿宋_GB2312" w:cs="仿宋_GB2312"/>
          <w:b/>
          <w:sz w:val="32"/>
        </w:rPr>
        <w:t>1.</w:t>
      </w:r>
      <w:r>
        <w:rPr>
          <w:rFonts w:ascii="宋体" w:hAnsi="宋体" w:eastAsia="宋体" w:cs="宋体"/>
          <w:b/>
          <w:sz w:val="32"/>
        </w:rPr>
        <w:t>因公出国（境）支出情况</w:t>
      </w:r>
      <w:r>
        <w:rPr>
          <w:rFonts w:ascii="宋体" w:hAnsi="宋体" w:eastAsia="宋体" w:cs="宋体"/>
          <w:b/>
          <w:color w:val="000000"/>
          <w:sz w:val="32"/>
        </w:rPr>
        <w:t>说明</w:t>
      </w:r>
      <w:r>
        <w:rPr>
          <w:rFonts w:ascii="宋体" w:hAnsi="宋体" w:eastAsia="宋体" w:cs="宋体"/>
          <w:b/>
          <w:sz w:val="32"/>
        </w:rPr>
        <w:t>。</w:t>
      </w:r>
    </w:p>
    <w:p>
      <w:pPr>
        <w:spacing w:line="560" w:lineRule="auto"/>
        <w:ind w:firstLine="640"/>
        <w:jc w:val="left"/>
        <w:rPr>
          <w:rFonts w:ascii="Calibri" w:hAnsi="Calibri" w:eastAsia="Calibri" w:cs="Calibri"/>
          <w:b/>
          <w:i/>
          <w:caps/>
          <w:sz w:val="32"/>
        </w:rPr>
      </w:pPr>
      <w:r>
        <w:rPr>
          <w:rFonts w:ascii="仿宋_GB2312" w:hAnsi="仿宋_GB2312" w:eastAsia="仿宋_GB2312" w:cs="仿宋_GB2312"/>
          <w:sz w:val="32"/>
        </w:rPr>
        <w:t>2020</w:t>
      </w:r>
      <w:r>
        <w:rPr>
          <w:rFonts w:ascii="宋体" w:hAnsi="宋体" w:eastAsia="宋体" w:cs="宋体"/>
          <w:sz w:val="32"/>
        </w:rPr>
        <w:t>年度因公出国（境）团组</w:t>
      </w:r>
      <w:r>
        <w:rPr>
          <w:rFonts w:ascii="仿宋_GB2312" w:hAnsi="仿宋_GB2312" w:eastAsia="仿宋_GB2312" w:cs="仿宋_GB2312"/>
          <w:sz w:val="32"/>
        </w:rPr>
        <w:t>0</w:t>
      </w:r>
      <w:r>
        <w:rPr>
          <w:rFonts w:ascii="宋体" w:hAnsi="宋体" w:eastAsia="宋体" w:cs="宋体"/>
          <w:sz w:val="32"/>
        </w:rPr>
        <w:t>个，</w:t>
      </w:r>
      <w:r>
        <w:rPr>
          <w:rFonts w:ascii="仿宋_GB2312" w:hAnsi="仿宋_GB2312" w:eastAsia="仿宋_GB2312" w:cs="仿宋_GB2312"/>
          <w:sz w:val="32"/>
        </w:rPr>
        <w:t>0</w:t>
      </w:r>
      <w:r>
        <w:rPr>
          <w:rFonts w:ascii="宋体" w:hAnsi="宋体" w:eastAsia="宋体" w:cs="宋体"/>
          <w:sz w:val="32"/>
        </w:rPr>
        <w:t>人次，</w:t>
      </w:r>
      <w:r>
        <w:rPr>
          <w:rFonts w:ascii="宋体" w:hAnsi="宋体" w:eastAsia="宋体" w:cs="宋体"/>
          <w:color w:val="000000"/>
          <w:sz w:val="32"/>
        </w:rPr>
        <w:t>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0</w:t>
      </w:r>
      <w:r>
        <w:rPr>
          <w:rFonts w:ascii="宋体" w:hAnsi="宋体" w:eastAsia="宋体" w:cs="宋体"/>
          <w:color w:val="000000"/>
          <w:sz w:val="32"/>
        </w:rPr>
        <w:t>万元</w:t>
      </w:r>
      <w:r>
        <w:rPr>
          <w:rFonts w:ascii="宋体" w:hAnsi="宋体" w:eastAsia="宋体" w:cs="宋体"/>
          <w:sz w:val="32"/>
        </w:rPr>
        <w:t>（如没有支出填</w:t>
      </w:r>
      <w:r>
        <w:rPr>
          <w:rFonts w:ascii="仿宋_GB2312" w:hAnsi="仿宋_GB2312" w:eastAsia="仿宋_GB2312" w:cs="仿宋_GB2312"/>
          <w:sz w:val="32"/>
        </w:rPr>
        <w:t>0</w:t>
      </w:r>
      <w:r>
        <w:rPr>
          <w:rFonts w:ascii="宋体" w:hAnsi="宋体" w:eastAsia="宋体" w:cs="宋体"/>
          <w:sz w:val="32"/>
        </w:rPr>
        <w:t>）</w:t>
      </w:r>
      <w:r>
        <w:rPr>
          <w:rFonts w:ascii="宋体" w:hAnsi="宋体" w:eastAsia="宋体" w:cs="宋体"/>
          <w:color w:val="000000"/>
          <w:sz w:val="32"/>
        </w:rPr>
        <w:t>，完成预算的</w:t>
      </w:r>
      <w:r>
        <w:rPr>
          <w:rFonts w:ascii="仿宋_GB2312" w:hAnsi="仿宋_GB2312" w:eastAsia="仿宋_GB2312" w:cs="仿宋_GB2312"/>
          <w:color w:val="000000"/>
          <w:sz w:val="32"/>
        </w:rPr>
        <w:t>0%</w:t>
      </w:r>
      <w:r>
        <w:rPr>
          <w:rFonts w:ascii="宋体" w:hAnsi="宋体" w:eastAsia="宋体" w:cs="宋体"/>
          <w:color w:val="000000"/>
          <w:sz w:val="32"/>
        </w:rPr>
        <w:t>，决算数较预算数持平，</w:t>
      </w:r>
      <w:r>
        <w:rPr>
          <w:rFonts w:ascii="宋体" w:hAnsi="宋体" w:eastAsia="宋体" w:cs="宋体"/>
          <w:sz w:val="32"/>
        </w:rPr>
        <w:t>主要原因为无出国境支出。</w:t>
      </w:r>
    </w:p>
    <w:p>
      <w:pPr>
        <w:spacing w:line="560" w:lineRule="auto"/>
        <w:ind w:firstLine="640"/>
        <w:rPr>
          <w:rFonts w:ascii="仿宋_GB2312" w:hAnsi="仿宋_GB2312" w:eastAsia="仿宋_GB2312" w:cs="仿宋_GB2312"/>
          <w:b/>
          <w:sz w:val="20"/>
        </w:rPr>
      </w:pPr>
      <w:r>
        <w:rPr>
          <w:rFonts w:ascii="仿宋_GB2312" w:hAnsi="仿宋_GB2312" w:eastAsia="仿宋_GB2312" w:cs="仿宋_GB2312"/>
          <w:b/>
          <w:sz w:val="32"/>
        </w:rPr>
        <w:t>2.</w:t>
      </w:r>
      <w:r>
        <w:rPr>
          <w:rFonts w:ascii="宋体" w:hAnsi="宋体" w:eastAsia="宋体" w:cs="宋体"/>
          <w:b/>
          <w:sz w:val="32"/>
        </w:rPr>
        <w:t>公务用车购置费用支出情况</w:t>
      </w:r>
      <w:r>
        <w:rPr>
          <w:rFonts w:ascii="宋体" w:hAnsi="宋体" w:eastAsia="宋体" w:cs="宋体"/>
          <w:b/>
          <w:color w:val="000000"/>
          <w:sz w:val="32"/>
        </w:rPr>
        <w:t>说明</w:t>
      </w:r>
      <w:r>
        <w:rPr>
          <w:rFonts w:ascii="宋体" w:hAnsi="宋体" w:eastAsia="宋体" w:cs="宋体"/>
          <w:b/>
          <w:sz w:val="32"/>
        </w:rPr>
        <w:t>。</w:t>
      </w:r>
    </w:p>
    <w:p>
      <w:pPr>
        <w:spacing w:line="560" w:lineRule="auto"/>
        <w:ind w:firstLine="640"/>
        <w:jc w:val="left"/>
        <w:rPr>
          <w:rFonts w:ascii="Calibri" w:hAnsi="Calibri" w:eastAsia="Calibri" w:cs="Calibri"/>
          <w:b/>
          <w:i/>
          <w:caps/>
          <w:sz w:val="32"/>
        </w:rPr>
      </w:pPr>
      <w:r>
        <w:rPr>
          <w:rFonts w:ascii="仿宋_GB2312" w:hAnsi="仿宋_GB2312" w:eastAsia="仿宋_GB2312" w:cs="仿宋_GB2312"/>
          <w:sz w:val="32"/>
        </w:rPr>
        <w:t>2020</w:t>
      </w:r>
      <w:r>
        <w:rPr>
          <w:rFonts w:ascii="宋体" w:hAnsi="宋体" w:eastAsia="宋体" w:cs="宋体"/>
          <w:sz w:val="32"/>
        </w:rPr>
        <w:t>年度购置车辆</w:t>
      </w:r>
      <w:r>
        <w:rPr>
          <w:rFonts w:ascii="仿宋_GB2312" w:hAnsi="仿宋_GB2312" w:eastAsia="仿宋_GB2312" w:cs="仿宋_GB2312"/>
          <w:sz w:val="32"/>
        </w:rPr>
        <w:t>0</w:t>
      </w:r>
      <w:r>
        <w:rPr>
          <w:rFonts w:ascii="宋体" w:hAnsi="宋体" w:eastAsia="宋体" w:cs="宋体"/>
          <w:sz w:val="32"/>
        </w:rPr>
        <w:t>台，</w:t>
      </w:r>
      <w:r>
        <w:rPr>
          <w:rFonts w:ascii="宋体" w:hAnsi="宋体" w:eastAsia="宋体" w:cs="宋体"/>
          <w:color w:val="000000"/>
          <w:sz w:val="32"/>
        </w:rPr>
        <w:t>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0</w:t>
      </w:r>
      <w:r>
        <w:rPr>
          <w:rFonts w:ascii="宋体" w:hAnsi="宋体" w:eastAsia="宋体" w:cs="宋体"/>
          <w:color w:val="000000"/>
          <w:sz w:val="32"/>
        </w:rPr>
        <w:t>万元</w:t>
      </w:r>
      <w:r>
        <w:rPr>
          <w:rFonts w:ascii="宋体" w:hAnsi="宋体" w:eastAsia="宋体" w:cs="宋体"/>
          <w:sz w:val="32"/>
        </w:rPr>
        <w:t>（如没有支出填</w:t>
      </w:r>
      <w:r>
        <w:rPr>
          <w:rFonts w:ascii="仿宋_GB2312" w:hAnsi="仿宋_GB2312" w:eastAsia="仿宋_GB2312" w:cs="仿宋_GB2312"/>
          <w:sz w:val="32"/>
        </w:rPr>
        <w:t>0</w:t>
      </w:r>
      <w:r>
        <w:rPr>
          <w:rFonts w:ascii="宋体" w:hAnsi="宋体" w:eastAsia="宋体" w:cs="宋体"/>
          <w:sz w:val="32"/>
        </w:rPr>
        <w:t>）</w:t>
      </w:r>
      <w:r>
        <w:rPr>
          <w:rFonts w:ascii="宋体" w:hAnsi="宋体" w:eastAsia="宋体" w:cs="宋体"/>
          <w:color w:val="000000"/>
          <w:sz w:val="32"/>
        </w:rPr>
        <w:t>，完成预算的</w:t>
      </w:r>
      <w:r>
        <w:rPr>
          <w:rFonts w:ascii="仿宋_GB2312" w:hAnsi="仿宋_GB2312" w:eastAsia="仿宋_GB2312" w:cs="仿宋_GB2312"/>
          <w:color w:val="000000"/>
          <w:sz w:val="32"/>
        </w:rPr>
        <w:t>0%</w:t>
      </w:r>
      <w:r>
        <w:rPr>
          <w:rFonts w:ascii="宋体" w:hAnsi="宋体" w:eastAsia="宋体" w:cs="宋体"/>
          <w:color w:val="000000"/>
          <w:sz w:val="32"/>
        </w:rPr>
        <w:t>，决算数较预算数无变化，主要原因是</w:t>
      </w:r>
      <w:r>
        <w:rPr>
          <w:rFonts w:ascii="宋体" w:hAnsi="宋体" w:eastAsia="宋体" w:cs="宋体"/>
          <w:sz w:val="32"/>
        </w:rPr>
        <w:t>为无公车购置</w:t>
      </w:r>
      <w:r>
        <w:rPr>
          <w:rFonts w:ascii="宋体" w:hAnsi="宋体" w:eastAsia="宋体" w:cs="宋体"/>
          <w:color w:val="000000"/>
          <w:sz w:val="32"/>
        </w:rPr>
        <w:t>。</w:t>
      </w:r>
    </w:p>
    <w:p>
      <w:pPr>
        <w:spacing w:line="560" w:lineRule="auto"/>
        <w:ind w:firstLine="640"/>
        <w:jc w:val="left"/>
        <w:rPr>
          <w:rFonts w:ascii="仿宋_GB2312" w:hAnsi="仿宋_GB2312" w:eastAsia="仿宋_GB2312" w:cs="仿宋_GB2312"/>
          <w:b/>
          <w:sz w:val="20"/>
        </w:rPr>
      </w:pPr>
      <w:r>
        <w:rPr>
          <w:rFonts w:ascii="仿宋_GB2312" w:hAnsi="仿宋_GB2312" w:eastAsia="仿宋_GB2312" w:cs="仿宋_GB2312"/>
          <w:b/>
          <w:sz w:val="32"/>
        </w:rPr>
        <w:t>3.</w:t>
      </w:r>
      <w:r>
        <w:rPr>
          <w:rFonts w:ascii="宋体" w:hAnsi="宋体" w:eastAsia="宋体" w:cs="宋体"/>
          <w:b/>
          <w:sz w:val="32"/>
        </w:rPr>
        <w:t>公务用车运行维护费用支出情况</w:t>
      </w:r>
      <w:r>
        <w:rPr>
          <w:rFonts w:ascii="宋体" w:hAnsi="宋体" w:eastAsia="宋体" w:cs="宋体"/>
          <w:b/>
          <w:color w:val="000000"/>
          <w:sz w:val="32"/>
        </w:rPr>
        <w:t>说明</w:t>
      </w:r>
      <w:r>
        <w:rPr>
          <w:rFonts w:ascii="宋体" w:hAnsi="宋体" w:eastAsia="宋体" w:cs="宋体"/>
          <w:b/>
          <w:sz w:val="32"/>
        </w:rPr>
        <w:t>。</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sz w:val="32"/>
        </w:rPr>
        <w:t>2020</w:t>
      </w:r>
      <w:r>
        <w:rPr>
          <w:rFonts w:ascii="宋体" w:hAnsi="宋体" w:eastAsia="宋体" w:cs="宋体"/>
          <w:sz w:val="32"/>
        </w:rPr>
        <w:t>年度公务用车运行维护费</w:t>
      </w:r>
      <w:r>
        <w:rPr>
          <w:rFonts w:ascii="宋体" w:hAnsi="宋体" w:eastAsia="宋体" w:cs="宋体"/>
          <w:color w:val="000000"/>
          <w:sz w:val="32"/>
        </w:rPr>
        <w:t>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0</w:t>
      </w:r>
      <w:r>
        <w:rPr>
          <w:rFonts w:ascii="宋体" w:hAnsi="宋体" w:eastAsia="宋体" w:cs="宋体"/>
          <w:color w:val="000000"/>
          <w:sz w:val="32"/>
        </w:rPr>
        <w:t>万元，完成预算的</w:t>
      </w:r>
      <w:r>
        <w:rPr>
          <w:rFonts w:ascii="仿宋_GB2312" w:hAnsi="仿宋_GB2312" w:eastAsia="仿宋_GB2312" w:cs="仿宋_GB2312"/>
          <w:color w:val="000000"/>
          <w:sz w:val="32"/>
        </w:rPr>
        <w:t>0%</w:t>
      </w:r>
      <w:r>
        <w:rPr>
          <w:rFonts w:ascii="宋体" w:hAnsi="宋体" w:eastAsia="宋体" w:cs="宋体"/>
          <w:color w:val="000000"/>
          <w:sz w:val="32"/>
        </w:rPr>
        <w:t>，决算数较预算数无变化，主要原因是单位无公务用车。</w:t>
      </w:r>
    </w:p>
    <w:p>
      <w:pPr>
        <w:spacing w:line="560" w:lineRule="auto"/>
        <w:ind w:firstLine="640"/>
        <w:jc w:val="left"/>
        <w:rPr>
          <w:rFonts w:ascii="仿宋_GB2312" w:hAnsi="仿宋_GB2312" w:eastAsia="仿宋_GB2312" w:cs="仿宋_GB2312"/>
          <w:b/>
          <w:sz w:val="20"/>
        </w:rPr>
      </w:pPr>
      <w:r>
        <w:rPr>
          <w:rFonts w:ascii="仿宋_GB2312" w:hAnsi="仿宋_GB2312" w:eastAsia="仿宋_GB2312" w:cs="仿宋_GB2312"/>
          <w:b/>
          <w:sz w:val="32"/>
        </w:rPr>
        <w:t>4.</w:t>
      </w:r>
      <w:r>
        <w:rPr>
          <w:rFonts w:ascii="宋体" w:hAnsi="宋体" w:eastAsia="宋体" w:cs="宋体"/>
          <w:b/>
          <w:sz w:val="32"/>
        </w:rPr>
        <w:t>公务接待费支出情况</w:t>
      </w:r>
      <w:r>
        <w:rPr>
          <w:rFonts w:ascii="宋体" w:hAnsi="宋体" w:eastAsia="宋体" w:cs="宋体"/>
          <w:b/>
          <w:color w:val="000000"/>
          <w:sz w:val="32"/>
        </w:rPr>
        <w:t>说明</w:t>
      </w:r>
      <w:r>
        <w:rPr>
          <w:rFonts w:ascii="宋体" w:hAnsi="宋体" w:eastAsia="宋体" w:cs="宋体"/>
          <w:b/>
          <w:sz w:val="32"/>
        </w:rPr>
        <w:t>。</w:t>
      </w:r>
    </w:p>
    <w:p>
      <w:pPr>
        <w:spacing w:line="560" w:lineRule="auto"/>
        <w:ind w:firstLine="320"/>
        <w:rPr>
          <w:rFonts w:ascii="仿宋_GB2312" w:hAnsi="仿宋_GB2312" w:eastAsia="仿宋_GB2312" w:cs="仿宋_GB2312"/>
          <w:sz w:val="20"/>
        </w:rPr>
      </w:pPr>
      <w:r>
        <w:rPr>
          <w:rFonts w:ascii="仿宋_GB2312" w:hAnsi="仿宋_GB2312" w:eastAsia="仿宋_GB2312" w:cs="仿宋_GB2312"/>
          <w:sz w:val="32"/>
        </w:rPr>
        <w:t>2020</w:t>
      </w:r>
      <w:r>
        <w:rPr>
          <w:rFonts w:ascii="宋体" w:hAnsi="宋体" w:eastAsia="宋体" w:cs="宋体"/>
          <w:sz w:val="32"/>
        </w:rPr>
        <w:t>年度公务接待</w:t>
      </w:r>
      <w:r>
        <w:rPr>
          <w:rFonts w:ascii="仿宋_GB2312" w:hAnsi="仿宋_GB2312" w:eastAsia="仿宋_GB2312" w:cs="仿宋_GB2312"/>
          <w:sz w:val="32"/>
        </w:rPr>
        <w:t>3</w:t>
      </w:r>
      <w:r>
        <w:rPr>
          <w:rFonts w:ascii="宋体" w:hAnsi="宋体" w:eastAsia="宋体" w:cs="宋体"/>
          <w:sz w:val="32"/>
        </w:rPr>
        <w:t>批次，</w:t>
      </w:r>
      <w:r>
        <w:rPr>
          <w:rFonts w:ascii="仿宋_GB2312" w:hAnsi="仿宋_GB2312" w:eastAsia="仿宋_GB2312" w:cs="仿宋_GB2312"/>
          <w:sz w:val="32"/>
        </w:rPr>
        <w:t>16</w:t>
      </w:r>
      <w:r>
        <w:rPr>
          <w:rFonts w:ascii="宋体" w:hAnsi="宋体" w:eastAsia="宋体" w:cs="宋体"/>
          <w:sz w:val="32"/>
        </w:rPr>
        <w:t>人次，</w:t>
      </w:r>
      <w:r>
        <w:rPr>
          <w:rFonts w:ascii="宋体" w:hAnsi="宋体" w:eastAsia="宋体" w:cs="宋体"/>
          <w:color w:val="000000"/>
          <w:sz w:val="32"/>
        </w:rPr>
        <w:t>预算为</w:t>
      </w:r>
      <w:r>
        <w:rPr>
          <w:rFonts w:ascii="仿宋_GB2312" w:hAnsi="仿宋_GB2312" w:eastAsia="仿宋_GB2312" w:cs="仿宋_GB2312"/>
          <w:color w:val="000000"/>
          <w:sz w:val="32"/>
        </w:rPr>
        <w:t>1.14</w:t>
      </w:r>
      <w:r>
        <w:rPr>
          <w:rFonts w:ascii="宋体" w:hAnsi="宋体" w:eastAsia="宋体" w:cs="宋体"/>
          <w:color w:val="000000"/>
          <w:sz w:val="32"/>
        </w:rPr>
        <w:t>万元，支出决算为</w:t>
      </w:r>
      <w:r>
        <w:rPr>
          <w:rFonts w:ascii="仿宋_GB2312" w:hAnsi="仿宋_GB2312" w:eastAsia="仿宋_GB2312" w:cs="仿宋_GB2312"/>
          <w:color w:val="000000"/>
          <w:sz w:val="32"/>
        </w:rPr>
        <w:t>0.13</w:t>
      </w:r>
      <w:r>
        <w:rPr>
          <w:rFonts w:ascii="宋体" w:hAnsi="宋体" w:eastAsia="宋体" w:cs="宋体"/>
          <w:color w:val="000000"/>
          <w:sz w:val="32"/>
        </w:rPr>
        <w:t>万元</w:t>
      </w:r>
      <w:r>
        <w:rPr>
          <w:rFonts w:ascii="宋体" w:hAnsi="宋体" w:eastAsia="宋体" w:cs="宋体"/>
          <w:sz w:val="32"/>
        </w:rPr>
        <w:t xml:space="preserve"> ,</w:t>
      </w:r>
      <w:r>
        <w:rPr>
          <w:rFonts w:ascii="宋体" w:hAnsi="宋体" w:eastAsia="宋体" w:cs="宋体"/>
          <w:color w:val="000000"/>
          <w:sz w:val="32"/>
        </w:rPr>
        <w:t>完成预算的</w:t>
      </w:r>
      <w:r>
        <w:rPr>
          <w:rFonts w:ascii="仿宋_GB2312" w:hAnsi="仿宋_GB2312" w:eastAsia="仿宋_GB2312" w:cs="仿宋_GB2312"/>
          <w:color w:val="000000"/>
          <w:sz w:val="32"/>
        </w:rPr>
        <w:t>11%</w:t>
      </w:r>
      <w:r>
        <w:rPr>
          <w:rFonts w:ascii="宋体" w:hAnsi="宋体" w:eastAsia="宋体" w:cs="宋体"/>
          <w:color w:val="000000"/>
          <w:sz w:val="32"/>
        </w:rPr>
        <w:t>，决算数较预算数减少</w:t>
      </w:r>
      <w:r>
        <w:rPr>
          <w:rFonts w:ascii="仿宋_GB2312" w:hAnsi="仿宋_GB2312" w:eastAsia="仿宋_GB2312" w:cs="仿宋_GB2312"/>
          <w:color w:val="000000"/>
          <w:sz w:val="32"/>
        </w:rPr>
        <w:t>1.01</w:t>
      </w:r>
      <w:r>
        <w:rPr>
          <w:rFonts w:ascii="宋体" w:hAnsi="宋体" w:eastAsia="宋体" w:cs="宋体"/>
          <w:color w:val="000000"/>
          <w:sz w:val="32"/>
        </w:rPr>
        <w:t>万元，主要原因是</w:t>
      </w:r>
      <w:r>
        <w:rPr>
          <w:rFonts w:ascii="宋体" w:hAnsi="宋体" w:eastAsia="宋体" w:cs="宋体"/>
          <w:sz w:val="32"/>
        </w:rPr>
        <w:t>省、市督导检查工作次数减少，同时我委严格按照中央八项规定执行，厉行节约。</w:t>
      </w:r>
    </w:p>
    <w:p>
      <w:pPr>
        <w:spacing w:line="560" w:lineRule="auto"/>
        <w:rPr>
          <w:rFonts w:ascii="楷体_GB2312" w:hAnsi="楷体_GB2312" w:eastAsia="楷体_GB2312" w:cs="楷体_GB2312"/>
          <w:b/>
          <w:color w:val="000000"/>
          <w:sz w:val="20"/>
        </w:rPr>
      </w:pPr>
      <w:r>
        <w:rPr>
          <w:rFonts w:ascii="宋体" w:hAnsi="宋体" w:eastAsia="宋体" w:cs="宋体"/>
          <w:b/>
          <w:color w:val="000000"/>
          <w:sz w:val="32"/>
        </w:rPr>
        <w:t>（三）培训费支出情况说明。</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sz w:val="32"/>
        </w:rPr>
        <w:t>2020</w:t>
      </w:r>
      <w:r>
        <w:rPr>
          <w:rFonts w:ascii="宋体" w:hAnsi="宋体" w:eastAsia="宋体" w:cs="宋体"/>
          <w:sz w:val="32"/>
        </w:rPr>
        <w:t>年度培训费</w:t>
      </w:r>
      <w:r>
        <w:rPr>
          <w:rFonts w:ascii="宋体" w:hAnsi="宋体" w:eastAsia="宋体" w:cs="宋体"/>
          <w:color w:val="000000"/>
          <w:sz w:val="32"/>
        </w:rPr>
        <w:t>预算为</w:t>
      </w:r>
      <w:r>
        <w:rPr>
          <w:rFonts w:ascii="仿宋_GB2312" w:hAnsi="仿宋_GB2312" w:eastAsia="仿宋_GB2312" w:cs="仿宋_GB2312"/>
          <w:color w:val="000000"/>
          <w:sz w:val="32"/>
        </w:rPr>
        <w:t>0</w:t>
      </w:r>
      <w:r>
        <w:rPr>
          <w:rFonts w:ascii="宋体" w:hAnsi="宋体" w:eastAsia="宋体" w:cs="宋体"/>
          <w:color w:val="000000"/>
          <w:sz w:val="32"/>
        </w:rPr>
        <w:t>万元，支出决算为</w:t>
      </w:r>
      <w:r>
        <w:rPr>
          <w:rFonts w:ascii="仿宋_GB2312" w:hAnsi="仿宋_GB2312" w:eastAsia="仿宋_GB2312" w:cs="仿宋_GB2312"/>
          <w:color w:val="000000"/>
          <w:sz w:val="32"/>
        </w:rPr>
        <w:t>0.74</w:t>
      </w:r>
      <w:r>
        <w:rPr>
          <w:rFonts w:ascii="宋体" w:hAnsi="宋体" w:eastAsia="宋体" w:cs="宋体"/>
          <w:color w:val="000000"/>
          <w:sz w:val="32"/>
        </w:rPr>
        <w:t>万元</w:t>
      </w:r>
      <w:r>
        <w:rPr>
          <w:rFonts w:ascii="宋体" w:hAnsi="宋体" w:eastAsia="宋体" w:cs="宋体"/>
          <w:sz w:val="32"/>
        </w:rPr>
        <w:t>,</w:t>
      </w:r>
      <w:r>
        <w:rPr>
          <w:rFonts w:ascii="宋体" w:hAnsi="宋体" w:eastAsia="宋体" w:cs="宋体"/>
          <w:color w:val="000000"/>
          <w:sz w:val="32"/>
        </w:rPr>
        <w:t>决算数较预算数增加</w:t>
      </w:r>
      <w:r>
        <w:rPr>
          <w:rFonts w:ascii="仿宋_GB2312" w:hAnsi="仿宋_GB2312" w:eastAsia="仿宋_GB2312" w:cs="仿宋_GB2312"/>
          <w:color w:val="000000"/>
          <w:sz w:val="32"/>
        </w:rPr>
        <w:t>0.74</w:t>
      </w:r>
      <w:r>
        <w:rPr>
          <w:rFonts w:ascii="宋体" w:hAnsi="宋体" w:eastAsia="宋体" w:cs="宋体"/>
          <w:color w:val="000000"/>
          <w:sz w:val="32"/>
        </w:rPr>
        <w:t>万元，主要原因是年内举办了维稳国家安全工作培训，参加省、市举行的各类培训支出。</w:t>
      </w:r>
    </w:p>
    <w:p>
      <w:pPr>
        <w:spacing w:line="560" w:lineRule="auto"/>
        <w:ind w:firstLine="640"/>
        <w:rPr>
          <w:rFonts w:ascii="楷体_GB2312" w:hAnsi="楷体_GB2312" w:eastAsia="楷体_GB2312" w:cs="楷体_GB2312"/>
          <w:b/>
          <w:color w:val="000000"/>
          <w:sz w:val="20"/>
        </w:rPr>
      </w:pPr>
      <w:r>
        <w:rPr>
          <w:rFonts w:ascii="宋体" w:hAnsi="宋体" w:eastAsia="宋体" w:cs="宋体"/>
          <w:b/>
          <w:color w:val="000000"/>
          <w:sz w:val="32"/>
        </w:rPr>
        <w:t>（四）会议费支出情况说明。</w:t>
      </w:r>
    </w:p>
    <w:p>
      <w:pPr>
        <w:spacing w:line="560" w:lineRule="auto"/>
        <w:ind w:firstLine="640"/>
        <w:jc w:val="left"/>
        <w:rPr>
          <w:rFonts w:ascii="仿宋_GB2312" w:hAnsi="仿宋_GB2312" w:eastAsia="仿宋_GB2312" w:cs="仿宋_GB2312"/>
          <w:color w:val="000000"/>
          <w:sz w:val="20"/>
        </w:rPr>
      </w:pPr>
      <w:r>
        <w:rPr>
          <w:rFonts w:ascii="仿宋_GB2312" w:hAnsi="仿宋_GB2312" w:eastAsia="仿宋_GB2312" w:cs="仿宋_GB2312"/>
          <w:sz w:val="32"/>
        </w:rPr>
        <w:t>2020</w:t>
      </w:r>
      <w:r>
        <w:rPr>
          <w:rFonts w:ascii="宋体" w:hAnsi="宋体" w:eastAsia="宋体" w:cs="宋体"/>
          <w:sz w:val="32"/>
        </w:rPr>
        <w:t>年度会议费</w:t>
      </w:r>
      <w:r>
        <w:rPr>
          <w:rFonts w:ascii="宋体" w:hAnsi="宋体" w:eastAsia="宋体" w:cs="宋体"/>
          <w:color w:val="000000"/>
          <w:sz w:val="32"/>
        </w:rPr>
        <w:t>预算为</w:t>
      </w:r>
      <w:r>
        <w:rPr>
          <w:rFonts w:ascii="仿宋_GB2312" w:hAnsi="仿宋_GB2312" w:eastAsia="仿宋_GB2312" w:cs="仿宋_GB2312"/>
          <w:color w:val="000000"/>
          <w:sz w:val="32"/>
        </w:rPr>
        <w:t>0.6</w:t>
      </w:r>
      <w:r>
        <w:rPr>
          <w:rFonts w:ascii="宋体" w:hAnsi="宋体" w:eastAsia="宋体" w:cs="宋体"/>
          <w:color w:val="000000"/>
          <w:sz w:val="32"/>
        </w:rPr>
        <w:t>万元，支出决算为</w:t>
      </w:r>
      <w:r>
        <w:rPr>
          <w:rFonts w:ascii="仿宋_GB2312" w:hAnsi="仿宋_GB2312" w:eastAsia="仿宋_GB2312" w:cs="仿宋_GB2312"/>
          <w:color w:val="000000"/>
          <w:sz w:val="32"/>
        </w:rPr>
        <w:t>2.05</w:t>
      </w:r>
      <w:r>
        <w:rPr>
          <w:rFonts w:ascii="宋体" w:hAnsi="宋体" w:eastAsia="宋体" w:cs="宋体"/>
          <w:color w:val="000000"/>
          <w:sz w:val="32"/>
        </w:rPr>
        <w:t>万元，完成预算的</w:t>
      </w:r>
      <w:r>
        <w:rPr>
          <w:rFonts w:ascii="仿宋_GB2312" w:hAnsi="仿宋_GB2312" w:eastAsia="仿宋_GB2312" w:cs="仿宋_GB2312"/>
          <w:color w:val="000000"/>
          <w:sz w:val="32"/>
        </w:rPr>
        <w:t>100%</w:t>
      </w:r>
      <w:r>
        <w:rPr>
          <w:rFonts w:ascii="宋体" w:hAnsi="宋体" w:eastAsia="宋体" w:cs="宋体"/>
          <w:color w:val="000000"/>
          <w:sz w:val="32"/>
        </w:rPr>
        <w:t>，决算数较预算数增加</w:t>
      </w:r>
      <w:r>
        <w:rPr>
          <w:rFonts w:ascii="仿宋_GB2312" w:hAnsi="仿宋_GB2312" w:eastAsia="仿宋_GB2312" w:cs="仿宋_GB2312"/>
          <w:color w:val="000000"/>
          <w:sz w:val="32"/>
        </w:rPr>
        <w:t>1.45</w:t>
      </w:r>
      <w:r>
        <w:rPr>
          <w:rFonts w:ascii="宋体" w:hAnsi="宋体" w:eastAsia="宋体" w:cs="宋体"/>
          <w:color w:val="000000"/>
          <w:sz w:val="32"/>
        </w:rPr>
        <w:t>万元，主要原因是年内召开了全区政法会议。</w:t>
      </w:r>
    </w:p>
    <w:p>
      <w:pPr>
        <w:spacing w:line="560" w:lineRule="auto"/>
        <w:ind w:firstLine="643"/>
        <w:rPr>
          <w:rFonts w:ascii="Calibri" w:hAnsi="Calibri" w:eastAsia="Calibri" w:cs="Calibri"/>
          <w:b/>
          <w:color w:val="000000"/>
          <w:sz w:val="20"/>
        </w:rPr>
      </w:pPr>
      <w:r>
        <w:rPr>
          <w:rFonts w:ascii="宋体" w:hAnsi="宋体" w:eastAsia="宋体" w:cs="宋体"/>
          <w:b/>
          <w:color w:val="000000"/>
          <w:sz w:val="32"/>
        </w:rPr>
        <w:t>八、政府性基金预算财政拨款收入支出情况说明</w:t>
      </w:r>
    </w:p>
    <w:p>
      <w:pPr>
        <w:spacing w:line="560" w:lineRule="auto"/>
        <w:ind w:firstLine="640"/>
        <w:jc w:val="left"/>
        <w:rPr>
          <w:rFonts w:ascii="仿宋_GB2312" w:hAnsi="仿宋_GB2312" w:eastAsia="仿宋_GB2312" w:cs="仿宋_GB2312"/>
          <w:sz w:val="20"/>
        </w:rPr>
      </w:pPr>
      <w:r>
        <w:rPr>
          <w:rFonts w:ascii="宋体" w:hAnsi="宋体" w:eastAsia="宋体" w:cs="宋体"/>
          <w:sz w:val="32"/>
        </w:rPr>
        <w:t>本部门无政府性基金决算收支，并已公开空表</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九、国有资本经营财政拨款收入支出情况说明</w:t>
      </w:r>
    </w:p>
    <w:p>
      <w:pPr>
        <w:spacing w:line="560" w:lineRule="auto"/>
        <w:ind w:firstLine="640"/>
        <w:jc w:val="left"/>
        <w:rPr>
          <w:rFonts w:ascii="仿宋_GB2312" w:hAnsi="仿宋_GB2312" w:eastAsia="仿宋_GB2312" w:cs="仿宋_GB2312"/>
          <w:sz w:val="20"/>
        </w:rPr>
      </w:pPr>
      <w:r>
        <w:rPr>
          <w:rFonts w:ascii="宋体" w:hAnsi="宋体" w:eastAsia="宋体" w:cs="宋体"/>
          <w:sz w:val="32"/>
        </w:rPr>
        <w:t>本部门无国有资本经营决算拨款收支，并已公开空表</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十、机关运行经费支出情况说明</w:t>
      </w:r>
    </w:p>
    <w:p>
      <w:pPr>
        <w:spacing w:line="560" w:lineRule="auto"/>
        <w:ind w:firstLine="620"/>
        <w:jc w:val="left"/>
        <w:rPr>
          <w:rFonts w:ascii="仿宋_GB2312" w:hAnsi="仿宋_GB2312" w:eastAsia="仿宋_GB2312" w:cs="仿宋_GB2312"/>
          <w:sz w:val="32"/>
        </w:rPr>
      </w:pPr>
      <w:r>
        <w:rPr>
          <w:rFonts w:ascii="仿宋_GB2312" w:hAnsi="仿宋_GB2312" w:eastAsia="仿宋_GB2312" w:cs="仿宋_GB2312"/>
          <w:color w:val="000000"/>
          <w:sz w:val="31"/>
        </w:rPr>
        <w:t>2020</w:t>
      </w:r>
      <w:r>
        <w:rPr>
          <w:rFonts w:ascii="宋体" w:hAnsi="宋体" w:eastAsia="宋体" w:cs="宋体"/>
          <w:color w:val="000000"/>
          <w:sz w:val="31"/>
        </w:rPr>
        <w:t>年度机关运行经费</w:t>
      </w:r>
      <w:r>
        <w:rPr>
          <w:rFonts w:ascii="宋体" w:hAnsi="宋体" w:eastAsia="宋体" w:cs="宋体"/>
          <w:color w:val="000000"/>
          <w:sz w:val="32"/>
        </w:rPr>
        <w:t>预算为</w:t>
      </w:r>
      <w:r>
        <w:rPr>
          <w:rFonts w:ascii="仿宋_GB2312" w:hAnsi="仿宋_GB2312" w:eastAsia="仿宋_GB2312" w:cs="仿宋_GB2312"/>
          <w:color w:val="000000"/>
          <w:sz w:val="32"/>
        </w:rPr>
        <w:t>4.86</w:t>
      </w:r>
      <w:r>
        <w:rPr>
          <w:rFonts w:ascii="宋体" w:hAnsi="宋体" w:eastAsia="宋体" w:cs="宋体"/>
          <w:color w:val="000000"/>
          <w:sz w:val="32"/>
        </w:rPr>
        <w:t>万元，支出决算为</w:t>
      </w:r>
      <w:r>
        <w:rPr>
          <w:rFonts w:ascii="仿宋_GB2312" w:hAnsi="仿宋_GB2312" w:eastAsia="仿宋_GB2312" w:cs="仿宋_GB2312"/>
          <w:color w:val="000000"/>
          <w:sz w:val="32"/>
        </w:rPr>
        <w:t>4.86</w:t>
      </w:r>
      <w:r>
        <w:rPr>
          <w:rFonts w:ascii="宋体" w:hAnsi="宋体" w:eastAsia="宋体" w:cs="宋体"/>
          <w:color w:val="000000"/>
          <w:sz w:val="32"/>
        </w:rPr>
        <w:t>万元，完成预算的</w:t>
      </w:r>
      <w:r>
        <w:rPr>
          <w:rFonts w:ascii="仿宋_GB2312" w:hAnsi="仿宋_GB2312" w:eastAsia="仿宋_GB2312" w:cs="仿宋_GB2312"/>
          <w:color w:val="000000"/>
          <w:sz w:val="32"/>
        </w:rPr>
        <w:t>100%</w:t>
      </w:r>
      <w:r>
        <w:rPr>
          <w:rFonts w:ascii="宋体" w:hAnsi="宋体" w:eastAsia="宋体" w:cs="宋体"/>
          <w:color w:val="000000"/>
          <w:sz w:val="32"/>
        </w:rPr>
        <w:t>。决算数较预算数持平，无变化</w:t>
      </w:r>
      <w:r>
        <w:rPr>
          <w:rFonts w:ascii="宋体" w:hAnsi="宋体" w:eastAsia="宋体" w:cs="宋体"/>
          <w:sz w:val="32"/>
        </w:rPr>
        <w:t>。</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十一、政府采购支出情况说明</w:t>
      </w:r>
    </w:p>
    <w:p>
      <w:pPr>
        <w:spacing w:line="560" w:lineRule="auto"/>
        <w:ind w:firstLine="640"/>
        <w:rPr>
          <w:rFonts w:ascii="仿宋_GB2312" w:hAnsi="仿宋_GB2312" w:eastAsia="仿宋_GB2312" w:cs="仿宋_GB2312"/>
          <w:sz w:val="20"/>
        </w:rPr>
      </w:pPr>
      <w:r>
        <w:rPr>
          <w:rFonts w:ascii="仿宋_GB2312" w:hAnsi="仿宋_GB2312" w:eastAsia="仿宋_GB2312" w:cs="仿宋_GB2312"/>
          <w:sz w:val="32"/>
        </w:rPr>
        <w:t>2020</w:t>
      </w:r>
      <w:r>
        <w:rPr>
          <w:rFonts w:ascii="宋体" w:hAnsi="宋体" w:eastAsia="宋体" w:cs="宋体"/>
          <w:sz w:val="32"/>
        </w:rPr>
        <w:t>年本部门政府采购支出总额共</w:t>
      </w:r>
      <w:r>
        <w:rPr>
          <w:rFonts w:ascii="仿宋_GB2312" w:hAnsi="仿宋_GB2312" w:eastAsia="仿宋_GB2312" w:cs="仿宋_GB2312"/>
          <w:sz w:val="32"/>
        </w:rPr>
        <w:t xml:space="preserve"> 0</w:t>
      </w:r>
      <w:r>
        <w:rPr>
          <w:rFonts w:ascii="宋体" w:hAnsi="宋体" w:eastAsia="宋体" w:cs="宋体"/>
          <w:sz w:val="32"/>
        </w:rPr>
        <w:t>万元，其中政府采购货物类支出</w:t>
      </w:r>
      <w:r>
        <w:rPr>
          <w:rFonts w:ascii="仿宋_GB2312" w:hAnsi="仿宋_GB2312" w:eastAsia="仿宋_GB2312" w:cs="仿宋_GB2312"/>
          <w:sz w:val="32"/>
        </w:rPr>
        <w:t>0</w:t>
      </w:r>
      <w:r>
        <w:rPr>
          <w:rFonts w:ascii="宋体" w:hAnsi="宋体" w:eastAsia="宋体" w:cs="宋体"/>
          <w:sz w:val="32"/>
        </w:rPr>
        <w:t>万元、政府采购服务类支出</w:t>
      </w:r>
      <w:r>
        <w:rPr>
          <w:rFonts w:ascii="仿宋_GB2312" w:hAnsi="仿宋_GB2312" w:eastAsia="仿宋_GB2312" w:cs="仿宋_GB2312"/>
          <w:sz w:val="32"/>
        </w:rPr>
        <w:t>0</w:t>
      </w:r>
      <w:r>
        <w:rPr>
          <w:rFonts w:ascii="宋体" w:hAnsi="宋体" w:eastAsia="宋体" w:cs="宋体"/>
          <w:sz w:val="32"/>
        </w:rPr>
        <w:t>万元、政府采购工程类支出</w:t>
      </w:r>
      <w:r>
        <w:rPr>
          <w:rFonts w:ascii="仿宋_GB2312" w:hAnsi="仿宋_GB2312" w:eastAsia="仿宋_GB2312" w:cs="仿宋_GB2312"/>
          <w:sz w:val="32"/>
        </w:rPr>
        <w:t xml:space="preserve"> 0</w:t>
      </w:r>
      <w:r>
        <w:rPr>
          <w:rFonts w:ascii="宋体" w:hAnsi="宋体" w:eastAsia="宋体" w:cs="宋体"/>
          <w:sz w:val="32"/>
        </w:rPr>
        <w:t>万元。授予中小企业合同金额</w:t>
      </w:r>
      <w:r>
        <w:rPr>
          <w:rFonts w:ascii="仿宋_GB2312" w:hAnsi="仿宋_GB2312" w:eastAsia="仿宋_GB2312" w:cs="仿宋_GB2312"/>
          <w:sz w:val="32"/>
        </w:rPr>
        <w:t xml:space="preserve"> 0</w:t>
      </w:r>
      <w:r>
        <w:rPr>
          <w:rFonts w:ascii="宋体" w:hAnsi="宋体" w:eastAsia="宋体" w:cs="宋体"/>
          <w:sz w:val="32"/>
        </w:rPr>
        <w:t>万元，占政府采购支出总额的</w:t>
      </w:r>
      <w:r>
        <w:rPr>
          <w:rFonts w:ascii="仿宋_GB2312" w:hAnsi="仿宋_GB2312" w:eastAsia="仿宋_GB2312" w:cs="仿宋_GB2312"/>
          <w:sz w:val="32"/>
        </w:rPr>
        <w:t>0%</w:t>
      </w:r>
      <w:r>
        <w:rPr>
          <w:rFonts w:ascii="宋体" w:hAnsi="宋体" w:eastAsia="宋体" w:cs="宋体"/>
          <w:sz w:val="32"/>
        </w:rPr>
        <w:t>，其中：授予小微企业合同金额</w:t>
      </w:r>
      <w:r>
        <w:rPr>
          <w:rFonts w:ascii="仿宋_GB2312" w:hAnsi="仿宋_GB2312" w:eastAsia="仿宋_GB2312" w:cs="仿宋_GB2312"/>
          <w:sz w:val="32"/>
        </w:rPr>
        <w:t>0</w:t>
      </w:r>
      <w:r>
        <w:rPr>
          <w:rFonts w:ascii="宋体" w:hAnsi="宋体" w:eastAsia="宋体" w:cs="宋体"/>
          <w:sz w:val="32"/>
        </w:rPr>
        <w:t>万元，占政府采购支出总额的</w:t>
      </w:r>
      <w:r>
        <w:rPr>
          <w:rFonts w:ascii="仿宋_GB2312" w:hAnsi="仿宋_GB2312" w:eastAsia="仿宋_GB2312" w:cs="仿宋_GB2312"/>
          <w:sz w:val="32"/>
        </w:rPr>
        <w:t>0%</w:t>
      </w:r>
      <w:r>
        <w:rPr>
          <w:rFonts w:ascii="宋体" w:hAnsi="宋体" w:eastAsia="宋体" w:cs="宋体"/>
          <w:sz w:val="32"/>
        </w:rPr>
        <w:t>。（如不涉及，文字说明“本部门无政府采购支出”）</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十二、国有资产占用及购置情况说明</w:t>
      </w:r>
    </w:p>
    <w:p>
      <w:pPr>
        <w:spacing w:line="560" w:lineRule="auto"/>
        <w:ind w:firstLine="640"/>
        <w:jc w:val="left"/>
        <w:rPr>
          <w:rFonts w:ascii="仿宋_GB2312" w:hAnsi="仿宋_GB2312" w:eastAsia="仿宋_GB2312" w:cs="仿宋_GB2312"/>
          <w:sz w:val="20"/>
        </w:rPr>
      </w:pPr>
      <w:r>
        <w:rPr>
          <w:rFonts w:ascii="宋体" w:hAnsi="宋体" w:eastAsia="宋体" w:cs="宋体"/>
          <w:sz w:val="32"/>
        </w:rPr>
        <w:t>示例：截至</w:t>
      </w:r>
      <w:r>
        <w:rPr>
          <w:rFonts w:ascii="仿宋_GB2312" w:hAnsi="仿宋_GB2312" w:eastAsia="仿宋_GB2312" w:cs="仿宋_GB2312"/>
          <w:sz w:val="32"/>
        </w:rPr>
        <w:t xml:space="preserve"> 2020</w:t>
      </w:r>
      <w:r>
        <w:rPr>
          <w:rFonts w:ascii="宋体" w:hAnsi="宋体" w:eastAsia="宋体" w:cs="宋体"/>
          <w:sz w:val="32"/>
        </w:rPr>
        <w:t>年末，本部门机关及所属单位实有车辆</w:t>
      </w:r>
      <w:r>
        <w:rPr>
          <w:rFonts w:ascii="仿宋_GB2312" w:hAnsi="仿宋_GB2312" w:eastAsia="仿宋_GB2312" w:cs="仿宋_GB2312"/>
          <w:sz w:val="32"/>
        </w:rPr>
        <w:t>0</w:t>
      </w:r>
      <w:r>
        <w:rPr>
          <w:rFonts w:ascii="宋体" w:hAnsi="宋体" w:eastAsia="宋体" w:cs="宋体"/>
          <w:sz w:val="32"/>
        </w:rPr>
        <w:t>辆。</w:t>
      </w:r>
      <w:r>
        <w:rPr>
          <w:rFonts w:ascii="仿宋_GB2312" w:hAnsi="仿宋_GB2312" w:eastAsia="仿宋_GB2312" w:cs="仿宋_GB2312"/>
          <w:sz w:val="32"/>
        </w:rPr>
        <w:t>2020</w:t>
      </w:r>
      <w:r>
        <w:rPr>
          <w:rFonts w:ascii="宋体" w:hAnsi="宋体" w:eastAsia="宋体" w:cs="宋体"/>
          <w:sz w:val="32"/>
        </w:rPr>
        <w:t>年当年购置车辆</w:t>
      </w:r>
      <w:r>
        <w:rPr>
          <w:rFonts w:ascii="仿宋_GB2312" w:hAnsi="仿宋_GB2312" w:eastAsia="仿宋_GB2312" w:cs="仿宋_GB2312"/>
          <w:sz w:val="32"/>
        </w:rPr>
        <w:t>0</w:t>
      </w:r>
      <w:r>
        <w:rPr>
          <w:rFonts w:ascii="宋体" w:hAnsi="宋体" w:eastAsia="宋体" w:cs="宋体"/>
          <w:sz w:val="32"/>
        </w:rPr>
        <w:t>辆。</w:t>
      </w:r>
    </w:p>
    <w:p>
      <w:pPr>
        <w:spacing w:line="560" w:lineRule="auto"/>
        <w:ind w:firstLine="643"/>
        <w:jc w:val="left"/>
        <w:rPr>
          <w:rFonts w:ascii="Calibri" w:hAnsi="Calibri" w:eastAsia="Calibri" w:cs="Calibri"/>
          <w:b/>
          <w:color w:val="000000"/>
          <w:sz w:val="20"/>
        </w:rPr>
      </w:pPr>
      <w:r>
        <w:rPr>
          <w:rFonts w:ascii="宋体" w:hAnsi="宋体" w:eastAsia="宋体" w:cs="宋体"/>
          <w:b/>
          <w:color w:val="000000"/>
          <w:sz w:val="32"/>
        </w:rPr>
        <w:t>十三、预算绩效情况说明</w:t>
      </w:r>
    </w:p>
    <w:p>
      <w:pPr>
        <w:spacing w:line="560" w:lineRule="auto"/>
        <w:ind w:firstLine="640"/>
        <w:jc w:val="left"/>
        <w:rPr>
          <w:rFonts w:ascii="楷体_GB2312" w:hAnsi="楷体_GB2312" w:eastAsia="楷体_GB2312" w:cs="楷体_GB2312"/>
          <w:b/>
          <w:color w:val="000000"/>
          <w:sz w:val="20"/>
        </w:rPr>
      </w:pPr>
      <w:r>
        <w:rPr>
          <w:rFonts w:ascii="宋体" w:hAnsi="宋体" w:eastAsia="宋体" w:cs="宋体"/>
          <w:b/>
          <w:color w:val="000000"/>
          <w:sz w:val="32"/>
        </w:rPr>
        <w:t>（一）预算绩效管理工作开展情况说明。</w:t>
      </w:r>
    </w:p>
    <w:p>
      <w:pPr>
        <w:spacing w:line="560" w:lineRule="auto"/>
        <w:ind w:firstLine="640"/>
        <w:jc w:val="left"/>
        <w:rPr>
          <w:rFonts w:ascii="仿宋_GB2312" w:hAnsi="仿宋_GB2312" w:eastAsia="仿宋_GB2312" w:cs="仿宋_GB2312"/>
          <w:color w:val="000000"/>
          <w:sz w:val="31"/>
        </w:rPr>
      </w:pPr>
      <w:r>
        <w:rPr>
          <w:rFonts w:ascii="宋体" w:hAnsi="宋体" w:eastAsia="宋体" w:cs="宋体"/>
          <w:sz w:val="32"/>
        </w:rPr>
        <w:t>本部门组织对</w:t>
      </w:r>
      <w:r>
        <w:rPr>
          <w:rFonts w:ascii="仿宋_GB2312" w:hAnsi="仿宋_GB2312" w:eastAsia="仿宋_GB2312" w:cs="仿宋_GB2312"/>
          <w:sz w:val="32"/>
        </w:rPr>
        <w:t>2020</w:t>
      </w:r>
      <w:r>
        <w:rPr>
          <w:rFonts w:ascii="宋体" w:hAnsi="宋体" w:eastAsia="宋体" w:cs="宋体"/>
          <w:sz w:val="32"/>
        </w:rPr>
        <w:t>年一般公共预算</w:t>
      </w:r>
      <w:r>
        <w:rPr>
          <w:rFonts w:ascii="仿宋_GB2312" w:hAnsi="仿宋_GB2312" w:eastAsia="仿宋_GB2312" w:cs="仿宋_GB2312"/>
          <w:sz w:val="32"/>
        </w:rPr>
        <w:t>4</w:t>
      </w:r>
      <w:r>
        <w:rPr>
          <w:rFonts w:ascii="宋体" w:hAnsi="宋体" w:eastAsia="宋体" w:cs="宋体"/>
          <w:sz w:val="32"/>
        </w:rPr>
        <w:t>个项目支出开展了绩效自评，其中，一级项目</w:t>
      </w:r>
      <w:r>
        <w:rPr>
          <w:rFonts w:ascii="仿宋_GB2312" w:hAnsi="仿宋_GB2312" w:eastAsia="仿宋_GB2312" w:cs="仿宋_GB2312"/>
          <w:sz w:val="32"/>
        </w:rPr>
        <w:t>2</w:t>
      </w:r>
      <w:r>
        <w:rPr>
          <w:rFonts w:ascii="宋体" w:hAnsi="宋体" w:eastAsia="宋体" w:cs="宋体"/>
          <w:sz w:val="32"/>
        </w:rPr>
        <w:t>个，二级项目</w:t>
      </w:r>
      <w:r>
        <w:rPr>
          <w:rFonts w:ascii="仿宋_GB2312" w:hAnsi="仿宋_GB2312" w:eastAsia="仿宋_GB2312" w:cs="仿宋_GB2312"/>
          <w:sz w:val="32"/>
        </w:rPr>
        <w:t>0</w:t>
      </w:r>
      <w:r>
        <w:rPr>
          <w:rFonts w:ascii="宋体" w:hAnsi="宋体" w:eastAsia="宋体" w:cs="宋体"/>
          <w:sz w:val="32"/>
        </w:rPr>
        <w:t>个，共涉及资金</w:t>
      </w:r>
      <w:r>
        <w:rPr>
          <w:rFonts w:ascii="仿宋_GB2312" w:hAnsi="仿宋_GB2312" w:eastAsia="仿宋_GB2312" w:cs="仿宋_GB2312"/>
          <w:sz w:val="32"/>
        </w:rPr>
        <w:t>105.77</w:t>
      </w:r>
      <w:r>
        <w:rPr>
          <w:rFonts w:ascii="宋体" w:hAnsi="宋体" w:eastAsia="宋体" w:cs="宋体"/>
          <w:sz w:val="32"/>
        </w:rPr>
        <w:t>万元，占一般公共预算项目支出总额的</w:t>
      </w:r>
      <w:r>
        <w:rPr>
          <w:rFonts w:ascii="仿宋_GB2312" w:hAnsi="仿宋_GB2312" w:eastAsia="仿宋_GB2312" w:cs="仿宋_GB2312"/>
          <w:sz w:val="32"/>
        </w:rPr>
        <w:t>%</w:t>
      </w:r>
      <w:r>
        <w:rPr>
          <w:rFonts w:ascii="宋体" w:hAnsi="宋体" w:eastAsia="宋体" w:cs="宋体"/>
          <w:sz w:val="32"/>
        </w:rPr>
        <w:t>。</w:t>
      </w:r>
    </w:p>
    <w:p>
      <w:pPr>
        <w:spacing w:line="560" w:lineRule="auto"/>
        <w:ind w:left="640"/>
        <w:jc w:val="left"/>
        <w:rPr>
          <w:rFonts w:ascii="仿宋_GB2312" w:hAnsi="仿宋_GB2312" w:eastAsia="仿宋_GB2312" w:cs="仿宋_GB2312"/>
          <w:color w:val="000000"/>
          <w:sz w:val="31"/>
        </w:rPr>
      </w:pPr>
      <w:r>
        <w:rPr>
          <w:rFonts w:ascii="宋体" w:hAnsi="宋体" w:eastAsia="宋体" w:cs="宋体"/>
          <w:sz w:val="32"/>
        </w:rPr>
        <w:t>本部门组织对</w:t>
      </w:r>
      <w:r>
        <w:rPr>
          <w:rFonts w:ascii="仿宋_GB2312" w:hAnsi="仿宋_GB2312" w:eastAsia="仿宋_GB2312" w:cs="仿宋_GB2312"/>
          <w:sz w:val="32"/>
        </w:rPr>
        <w:t>2020</w:t>
      </w:r>
      <w:r>
        <w:rPr>
          <w:rFonts w:ascii="宋体" w:hAnsi="宋体" w:eastAsia="宋体" w:cs="宋体"/>
          <w:sz w:val="32"/>
        </w:rPr>
        <w:t>年度部门整体进行了绩效自评，涉及资金</w:t>
      </w:r>
      <w:r>
        <w:rPr>
          <w:rFonts w:ascii="仿宋_GB2312" w:hAnsi="仿宋_GB2312" w:eastAsia="仿宋_GB2312" w:cs="仿宋_GB2312"/>
          <w:sz w:val="32"/>
        </w:rPr>
        <w:t>16</w:t>
      </w:r>
      <w:r>
        <w:rPr>
          <w:rFonts w:ascii="宋体" w:hAnsi="宋体" w:eastAsia="宋体" w:cs="宋体"/>
          <w:sz w:val="32"/>
        </w:rPr>
        <w:t>万元。</w:t>
      </w:r>
    </w:p>
    <w:p>
      <w:pPr>
        <w:spacing w:line="560" w:lineRule="auto"/>
        <w:ind w:firstLine="640"/>
        <w:jc w:val="left"/>
        <w:rPr>
          <w:rFonts w:ascii="楷体_GB2312" w:hAnsi="楷体_GB2312" w:eastAsia="楷体_GB2312" w:cs="楷体_GB2312"/>
          <w:b/>
          <w:color w:val="000000"/>
          <w:sz w:val="20"/>
        </w:rPr>
      </w:pPr>
      <w:r>
        <w:rPr>
          <w:rFonts w:ascii="宋体" w:hAnsi="宋体" w:eastAsia="宋体" w:cs="宋体"/>
          <w:b/>
          <w:color w:val="000000"/>
          <w:sz w:val="32"/>
        </w:rPr>
        <w:t>（二）部门决算中项目绩效自评结果。</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b/>
          <w:color w:val="000000"/>
          <w:sz w:val="31"/>
        </w:rPr>
        <w:t>严重精神障碍患者监护基金项目绩效自评综述：</w:t>
      </w:r>
      <w:r>
        <w:rPr>
          <w:rFonts w:ascii="宋体" w:hAnsi="宋体" w:eastAsia="宋体" w:cs="宋体"/>
          <w:color w:val="000000"/>
          <w:sz w:val="31"/>
        </w:rPr>
        <w:t>根据年初设定的绩效目标，项目自评得分</w:t>
      </w:r>
      <w:r>
        <w:rPr>
          <w:rFonts w:ascii="仿宋_GB2312" w:hAnsi="仿宋_GB2312" w:eastAsia="仿宋_GB2312" w:cs="仿宋_GB2312"/>
          <w:color w:val="000000"/>
          <w:sz w:val="31"/>
        </w:rPr>
        <w:t>100</w:t>
      </w:r>
      <w:r>
        <w:rPr>
          <w:rFonts w:ascii="宋体" w:hAnsi="宋体" w:eastAsia="宋体" w:cs="宋体"/>
          <w:color w:val="000000"/>
          <w:sz w:val="31"/>
        </w:rPr>
        <w:t>分。项目全年预算数</w:t>
      </w:r>
      <w:r>
        <w:rPr>
          <w:rFonts w:ascii="仿宋_GB2312" w:hAnsi="仿宋_GB2312" w:eastAsia="仿宋_GB2312" w:cs="仿宋_GB2312"/>
          <w:color w:val="000000"/>
          <w:sz w:val="31"/>
        </w:rPr>
        <w:t>6</w:t>
      </w:r>
      <w:r>
        <w:rPr>
          <w:rFonts w:ascii="宋体" w:hAnsi="宋体" w:eastAsia="宋体" w:cs="宋体"/>
          <w:color w:val="000000"/>
          <w:sz w:val="31"/>
        </w:rPr>
        <w:t>万元，执行数</w:t>
      </w:r>
      <w:r>
        <w:rPr>
          <w:rFonts w:ascii="仿宋_GB2312" w:hAnsi="仿宋_GB2312" w:eastAsia="仿宋_GB2312" w:cs="仿宋_GB2312"/>
          <w:color w:val="000000"/>
          <w:sz w:val="31"/>
        </w:rPr>
        <w:t>6</w:t>
      </w:r>
      <w:r>
        <w:rPr>
          <w:rFonts w:ascii="宋体" w:hAnsi="宋体" w:eastAsia="宋体" w:cs="宋体"/>
          <w:color w:val="000000"/>
          <w:sz w:val="31"/>
        </w:rPr>
        <w:t>万元，完成预算的</w:t>
      </w:r>
      <w:r>
        <w:rPr>
          <w:rFonts w:ascii="仿宋_GB2312" w:hAnsi="仿宋_GB2312" w:eastAsia="仿宋_GB2312" w:cs="仿宋_GB2312"/>
          <w:color w:val="000000"/>
          <w:sz w:val="31"/>
        </w:rPr>
        <w:t>100%</w:t>
      </w:r>
      <w:r>
        <w:rPr>
          <w:rFonts w:ascii="宋体" w:hAnsi="宋体" w:eastAsia="宋体" w:cs="宋体"/>
          <w:color w:val="000000"/>
          <w:sz w:val="31"/>
        </w:rPr>
        <w:t>。</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主要产出和效果：通过项目实施完成春、秋两季严重精神障碍患者筛查工作，完成三级患者评估认定工作，通过对优秀的五人管控小组进行奖励，管控小组工作积极性增强，严重精神障碍患者服务管控效果显著。</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发现的问题及原因：有些患病的严重精神障碍患者未纳入管控范围，享受不到监护人补贴。</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下一步改进措施：开展春秋季排查工作时认真细致，患者评估认定工作由街道、各相关部门联合认定，将符合政策的患者全部纳入服务管控对象，进一步提升我区特殊人群服务管理水平。</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b/>
          <w:color w:val="000000"/>
          <w:sz w:val="31"/>
        </w:rPr>
        <w:t>司法救助项目绩效自评综述：</w:t>
      </w:r>
      <w:r>
        <w:rPr>
          <w:rFonts w:ascii="宋体" w:hAnsi="宋体" w:eastAsia="宋体" w:cs="宋体"/>
          <w:color w:val="000000"/>
          <w:sz w:val="31"/>
        </w:rPr>
        <w:t>根据年初设定的绩效目标，项目自评得分</w:t>
      </w:r>
      <w:r>
        <w:rPr>
          <w:rFonts w:ascii="仿宋_GB2312" w:hAnsi="仿宋_GB2312" w:eastAsia="仿宋_GB2312" w:cs="仿宋_GB2312"/>
          <w:color w:val="000000"/>
          <w:sz w:val="31"/>
        </w:rPr>
        <w:t>100</w:t>
      </w:r>
      <w:r>
        <w:rPr>
          <w:rFonts w:ascii="宋体" w:hAnsi="宋体" w:eastAsia="宋体" w:cs="宋体"/>
          <w:color w:val="000000"/>
          <w:sz w:val="31"/>
        </w:rPr>
        <w:t>分。项目全年预算数</w:t>
      </w:r>
      <w:r>
        <w:rPr>
          <w:rFonts w:ascii="仿宋_GB2312" w:hAnsi="仿宋_GB2312" w:eastAsia="仿宋_GB2312" w:cs="仿宋_GB2312"/>
          <w:color w:val="000000"/>
          <w:sz w:val="31"/>
        </w:rPr>
        <w:t>10</w:t>
      </w:r>
      <w:r>
        <w:rPr>
          <w:rFonts w:ascii="宋体" w:hAnsi="宋体" w:eastAsia="宋体" w:cs="宋体"/>
          <w:color w:val="000000"/>
          <w:sz w:val="31"/>
        </w:rPr>
        <w:t>万元，执行数</w:t>
      </w:r>
      <w:r>
        <w:rPr>
          <w:rFonts w:ascii="仿宋_GB2312" w:hAnsi="仿宋_GB2312" w:eastAsia="仿宋_GB2312" w:cs="仿宋_GB2312"/>
          <w:color w:val="000000"/>
          <w:sz w:val="31"/>
        </w:rPr>
        <w:t>10</w:t>
      </w:r>
      <w:r>
        <w:rPr>
          <w:rFonts w:ascii="宋体" w:hAnsi="宋体" w:eastAsia="宋体" w:cs="宋体"/>
          <w:color w:val="000000"/>
          <w:sz w:val="31"/>
        </w:rPr>
        <w:t>万元，完成预算的</w:t>
      </w:r>
      <w:r>
        <w:rPr>
          <w:rFonts w:ascii="仿宋_GB2312" w:hAnsi="仿宋_GB2312" w:eastAsia="仿宋_GB2312" w:cs="仿宋_GB2312"/>
          <w:color w:val="000000"/>
          <w:sz w:val="31"/>
        </w:rPr>
        <w:t>100%</w:t>
      </w:r>
      <w:r>
        <w:rPr>
          <w:rFonts w:ascii="宋体" w:hAnsi="宋体" w:eastAsia="宋体" w:cs="宋体"/>
          <w:color w:val="000000"/>
          <w:sz w:val="31"/>
        </w:rPr>
        <w:t>。</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主要产出和效果：通过项目实施</w:t>
      </w:r>
      <w:r>
        <w:rPr>
          <w:rFonts w:ascii="宋体" w:hAnsi="宋体" w:eastAsia="宋体" w:cs="宋体"/>
          <w:sz w:val="32"/>
        </w:rPr>
        <w:t>开展执法专项检查和案件评查剖析活动，执法办案质量明显提升。全面落实司法救助工作，全年司法救助</w:t>
      </w:r>
      <w:r>
        <w:rPr>
          <w:rFonts w:ascii="仿宋_GB2312" w:hAnsi="仿宋_GB2312" w:eastAsia="仿宋_GB2312" w:cs="仿宋_GB2312"/>
          <w:sz w:val="32"/>
        </w:rPr>
        <w:t>16</w:t>
      </w:r>
      <w:r>
        <w:rPr>
          <w:rFonts w:ascii="宋体" w:hAnsi="宋体" w:eastAsia="宋体" w:cs="宋体"/>
          <w:sz w:val="32"/>
        </w:rPr>
        <w:t>案</w:t>
      </w:r>
      <w:r>
        <w:rPr>
          <w:rFonts w:ascii="仿宋_GB2312" w:hAnsi="仿宋_GB2312" w:eastAsia="仿宋_GB2312" w:cs="仿宋_GB2312"/>
          <w:sz w:val="32"/>
        </w:rPr>
        <w:t>16</w:t>
      </w:r>
      <w:r>
        <w:rPr>
          <w:rFonts w:ascii="宋体" w:hAnsi="宋体" w:eastAsia="宋体" w:cs="宋体"/>
          <w:sz w:val="32"/>
        </w:rPr>
        <w:t>人</w:t>
      </w:r>
      <w:r>
        <w:rPr>
          <w:rFonts w:ascii="仿宋_GB2312" w:hAnsi="仿宋_GB2312" w:eastAsia="仿宋_GB2312" w:cs="仿宋_GB2312"/>
          <w:sz w:val="32"/>
        </w:rPr>
        <w:t>10</w:t>
      </w:r>
      <w:r>
        <w:rPr>
          <w:rFonts w:ascii="宋体" w:hAnsi="宋体" w:eastAsia="宋体" w:cs="宋体"/>
          <w:sz w:val="32"/>
        </w:rPr>
        <w:t>万元。</w:t>
      </w:r>
      <w:r>
        <w:rPr>
          <w:rFonts w:ascii="宋体" w:hAnsi="宋体" w:eastAsia="宋体" w:cs="宋体"/>
          <w:color w:val="000000"/>
          <w:sz w:val="31"/>
        </w:rPr>
        <w:t>通过对一部分家庭困难的涉法涉诉人员进行司法救助，解决一部分涉法涉诉难题，保障社会公平正义，提升群众对政法各部门的满意度。</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发现的问题及原因：司法救助经费不足，涉法涉诉困难人员较多。</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下一步改进措施：在保障区级司法救助项目的同时，积极申请省、市司法救助资金，救助更多需要的涉法涉诉困难人。</w:t>
      </w:r>
    </w:p>
    <w:p>
      <w:pPr>
        <w:spacing w:line="560" w:lineRule="auto"/>
        <w:ind w:firstLine="640"/>
        <w:jc w:val="left"/>
        <w:rPr>
          <w:rFonts w:ascii="楷体_GB2312" w:hAnsi="楷体_GB2312" w:eastAsia="楷体_GB2312" w:cs="楷体_GB2312"/>
          <w:b/>
          <w:color w:val="000000"/>
          <w:sz w:val="20"/>
        </w:rPr>
      </w:pPr>
      <w:r>
        <w:rPr>
          <w:rFonts w:ascii="宋体" w:hAnsi="宋体" w:eastAsia="宋体" w:cs="宋体"/>
          <w:b/>
          <w:color w:val="000000"/>
          <w:sz w:val="32"/>
        </w:rPr>
        <w:t>（三）部门决算中整体支出绩效自评结果。</w:t>
      </w:r>
    </w:p>
    <w:p>
      <w:pPr>
        <w:spacing w:line="560" w:lineRule="auto"/>
        <w:ind w:firstLine="620"/>
        <w:jc w:val="left"/>
        <w:rPr>
          <w:rFonts w:ascii="仿宋_GB2312" w:hAnsi="仿宋_GB2312" w:eastAsia="仿宋_GB2312" w:cs="仿宋_GB2312"/>
          <w:color w:val="000000"/>
          <w:sz w:val="31"/>
        </w:rPr>
      </w:pPr>
      <w:r>
        <w:rPr>
          <w:rFonts w:ascii="宋体" w:hAnsi="宋体" w:eastAsia="宋体" w:cs="宋体"/>
          <w:color w:val="000000"/>
          <w:sz w:val="31"/>
        </w:rPr>
        <w:t>根据年初设定的绩效目标，本部门整体</w:t>
      </w:r>
      <w:r>
        <w:rPr>
          <w:rFonts w:ascii="仿宋_GB2312" w:hAnsi="仿宋_GB2312" w:eastAsia="仿宋_GB2312" w:cs="仿宋_GB2312"/>
          <w:color w:val="000000"/>
          <w:sz w:val="31"/>
        </w:rPr>
        <w:t>2020</w:t>
      </w:r>
      <w:r>
        <w:rPr>
          <w:rFonts w:ascii="宋体" w:hAnsi="宋体" w:eastAsia="宋体" w:cs="宋体"/>
          <w:color w:val="000000"/>
          <w:sz w:val="31"/>
        </w:rPr>
        <w:t>年度整体自评得分</w:t>
      </w:r>
      <w:r>
        <w:rPr>
          <w:rFonts w:ascii="仿宋_GB2312" w:hAnsi="仿宋_GB2312" w:eastAsia="仿宋_GB2312" w:cs="仿宋_GB2312"/>
          <w:color w:val="000000"/>
          <w:sz w:val="31"/>
        </w:rPr>
        <w:t>93</w:t>
      </w:r>
      <w:r>
        <w:rPr>
          <w:rFonts w:ascii="宋体" w:hAnsi="宋体" w:eastAsia="宋体" w:cs="宋体"/>
          <w:color w:val="000000"/>
          <w:sz w:val="31"/>
        </w:rPr>
        <w:t>分。全年预算数</w:t>
      </w:r>
      <w:r>
        <w:rPr>
          <w:rFonts w:ascii="仿宋_GB2312" w:hAnsi="仿宋_GB2312" w:eastAsia="仿宋_GB2312" w:cs="仿宋_GB2312"/>
          <w:color w:val="000000"/>
          <w:sz w:val="31"/>
        </w:rPr>
        <w:t>222.45</w:t>
      </w:r>
      <w:r>
        <w:rPr>
          <w:rFonts w:ascii="宋体" w:hAnsi="宋体" w:eastAsia="宋体" w:cs="宋体"/>
          <w:color w:val="000000"/>
          <w:sz w:val="31"/>
        </w:rPr>
        <w:t>万元，执行数万元，完成预算的</w:t>
      </w:r>
      <w:r>
        <w:rPr>
          <w:rFonts w:ascii="仿宋_GB2312" w:hAnsi="仿宋_GB2312" w:eastAsia="仿宋_GB2312" w:cs="仿宋_GB2312"/>
          <w:color w:val="000000"/>
          <w:sz w:val="31"/>
        </w:rPr>
        <w:t>%</w:t>
      </w:r>
      <w:r>
        <w:rPr>
          <w:rFonts w:ascii="宋体" w:hAnsi="宋体" w:eastAsia="宋体" w:cs="宋体"/>
          <w:color w:val="000000"/>
          <w:sz w:val="31"/>
        </w:rPr>
        <w:t>。</w:t>
      </w:r>
    </w:p>
    <w:p>
      <w:pPr>
        <w:spacing w:line="540" w:lineRule="auto"/>
        <w:ind w:firstLine="620"/>
        <w:rPr>
          <w:rFonts w:ascii="仿宋_GB2312" w:hAnsi="仿宋_GB2312" w:eastAsia="仿宋_GB2312" w:cs="仿宋_GB2312"/>
          <w:sz w:val="20"/>
        </w:rPr>
      </w:pPr>
      <w:r>
        <w:rPr>
          <w:rFonts w:ascii="宋体" w:hAnsi="宋体" w:eastAsia="宋体" w:cs="宋体"/>
          <w:color w:val="000000"/>
          <w:sz w:val="31"/>
        </w:rPr>
        <w:t>主要产出和效果：</w:t>
      </w:r>
      <w:r>
        <w:rPr>
          <w:rFonts w:ascii="仿宋_GB2312" w:hAnsi="仿宋_GB2312" w:eastAsia="仿宋_GB2312" w:cs="仿宋_GB2312"/>
          <w:sz w:val="32"/>
        </w:rPr>
        <w:t>2020</w:t>
      </w:r>
      <w:r>
        <w:rPr>
          <w:rFonts w:ascii="宋体" w:hAnsi="宋体" w:eastAsia="宋体" w:cs="宋体"/>
          <w:sz w:val="32"/>
        </w:rPr>
        <w:t>年中共西安市阎良区委政法委各项工作社会效益良好，资金利用率高，阎良区社会环境稳定，人民群众安全感逐步提升。</w:t>
      </w:r>
    </w:p>
    <w:p>
      <w:pPr>
        <w:spacing w:line="530" w:lineRule="auto"/>
        <w:ind w:firstLine="640"/>
        <w:rPr>
          <w:rFonts w:ascii="仿宋_GB2312" w:hAnsi="仿宋_GB2312" w:eastAsia="仿宋_GB2312" w:cs="仿宋_GB2312"/>
          <w:color w:val="000000"/>
          <w:sz w:val="20"/>
        </w:rPr>
      </w:pPr>
      <w:r>
        <w:rPr>
          <w:rFonts w:ascii="仿宋_GB2312" w:hAnsi="仿宋_GB2312" w:eastAsia="仿宋_GB2312" w:cs="仿宋_GB2312"/>
          <w:sz w:val="32"/>
        </w:rPr>
        <w:t>1.</w:t>
      </w:r>
      <w:r>
        <w:rPr>
          <w:rFonts w:ascii="宋体" w:hAnsi="宋体" w:eastAsia="宋体" w:cs="宋体"/>
          <w:sz w:val="32"/>
        </w:rPr>
        <w:t>统筹疫情防控，服务保障中心工作能力得到提升</w:t>
      </w:r>
      <w:r>
        <w:rPr>
          <w:rFonts w:ascii="仿宋_GB2312" w:hAnsi="仿宋_GB2312" w:eastAsia="仿宋_GB2312" w:cs="仿宋_GB2312"/>
          <w:sz w:val="32"/>
        </w:rPr>
        <w:t>.</w:t>
      </w:r>
      <w:r>
        <w:rPr>
          <w:rFonts w:ascii="宋体" w:hAnsi="宋体" w:eastAsia="宋体" w:cs="宋体"/>
          <w:color w:val="000000"/>
          <w:sz w:val="32"/>
        </w:rPr>
        <w:t>全区政法系统启动战时机制，精细落实防控措施。扎实开展交通查控、信息核查、网格化管理工作</w:t>
      </w:r>
      <w:r>
        <w:rPr>
          <w:rFonts w:ascii="仿宋_GB2312" w:hAnsi="仿宋_GB2312" w:eastAsia="仿宋_GB2312" w:cs="仿宋_GB2312"/>
          <w:color w:val="000000"/>
          <w:sz w:val="32"/>
        </w:rPr>
        <w:t>,</w:t>
      </w:r>
      <w:r>
        <w:rPr>
          <w:rFonts w:ascii="宋体" w:hAnsi="宋体" w:eastAsia="宋体" w:cs="宋体"/>
          <w:color w:val="000000"/>
          <w:sz w:val="32"/>
        </w:rPr>
        <w:t>全区政法干警甘当“逆行者”，下沉街道、社区参与值守、排查等疫情防控，让党旗在抗疫一线高高飘扬。</w:t>
      </w:r>
      <w:r>
        <w:rPr>
          <w:rFonts w:ascii="宋体" w:hAnsi="宋体" w:eastAsia="宋体" w:cs="宋体"/>
          <w:color w:val="000000"/>
          <w:sz w:val="32"/>
          <w:shd w:val="clear" w:color="auto" w:fill="FFFFFF"/>
        </w:rPr>
        <w:t>扎实开展“民企发展、政法护航”专项行动，落实常态化服务企业机制，开展</w:t>
      </w:r>
      <w:r>
        <w:rPr>
          <w:rFonts w:ascii="宋体" w:hAnsi="宋体" w:eastAsia="宋体" w:cs="宋体"/>
          <w:sz w:val="32"/>
        </w:rPr>
        <w:t>打击非法集资专项行动、互联网金融风险专项整治、大气污染防治专项行动，</w:t>
      </w:r>
      <w:r>
        <w:rPr>
          <w:rFonts w:ascii="宋体" w:hAnsi="宋体" w:eastAsia="宋体" w:cs="宋体"/>
          <w:color w:val="000000"/>
          <w:sz w:val="32"/>
        </w:rPr>
        <w:t>服务保障中心工作能力不断提升。</w:t>
      </w:r>
    </w:p>
    <w:p>
      <w:pPr>
        <w:spacing w:line="560" w:lineRule="auto"/>
        <w:ind w:firstLine="640"/>
        <w:rPr>
          <w:rFonts w:ascii="仿宋_GB2312" w:hAnsi="仿宋_GB2312" w:eastAsia="仿宋_GB2312" w:cs="仿宋_GB2312"/>
          <w:sz w:val="20"/>
        </w:rPr>
      </w:pPr>
      <w:r>
        <w:rPr>
          <w:rFonts w:ascii="仿宋_GB2312" w:hAnsi="仿宋_GB2312" w:eastAsia="仿宋_GB2312" w:cs="仿宋_GB2312"/>
          <w:sz w:val="32"/>
        </w:rPr>
        <w:t>2.</w:t>
      </w:r>
      <w:r>
        <w:rPr>
          <w:rFonts w:ascii="宋体" w:hAnsi="宋体" w:eastAsia="宋体" w:cs="宋体"/>
          <w:sz w:val="32"/>
        </w:rPr>
        <w:t>聚焦职责使命，有效维护辖区社会大局持续稳定。健全完善“党委领导、政府负责，属地管理、分级负责，谁主管谁负责”的维稳工作格局，研究制定《阎良区防范化解和妥善处置群体性事件实施细则》，强化属地属事维稳责任，及时有效处置涉稳问题</w:t>
      </w:r>
      <w:r>
        <w:rPr>
          <w:rFonts w:ascii="仿宋_GB2312" w:hAnsi="仿宋_GB2312" w:eastAsia="仿宋_GB2312" w:cs="仿宋_GB2312"/>
          <w:sz w:val="32"/>
        </w:rPr>
        <w:t>13</w:t>
      </w:r>
      <w:r>
        <w:rPr>
          <w:rFonts w:ascii="宋体" w:hAnsi="宋体" w:eastAsia="宋体" w:cs="宋体"/>
          <w:sz w:val="32"/>
        </w:rPr>
        <w:t>件，相关问题源头稳控和化解率均达到</w:t>
      </w:r>
      <w:r>
        <w:rPr>
          <w:rFonts w:ascii="仿宋_GB2312" w:hAnsi="仿宋_GB2312" w:eastAsia="仿宋_GB2312" w:cs="仿宋_GB2312"/>
          <w:sz w:val="32"/>
        </w:rPr>
        <w:t>100%</w:t>
      </w:r>
      <w:r>
        <w:rPr>
          <w:rFonts w:ascii="宋体" w:hAnsi="宋体" w:eastAsia="宋体" w:cs="宋体"/>
          <w:sz w:val="32"/>
        </w:rPr>
        <w:t>。全年无群体性事件、严重危害国家安全事件、严重影响社会稳定事件发生。</w:t>
      </w:r>
    </w:p>
    <w:p>
      <w:pPr>
        <w:spacing w:line="560" w:lineRule="auto"/>
        <w:ind w:firstLine="640"/>
        <w:rPr>
          <w:rFonts w:ascii="仿宋_GB2312" w:hAnsi="仿宋_GB2312" w:eastAsia="仿宋_GB2312" w:cs="仿宋_GB2312"/>
          <w:sz w:val="20"/>
        </w:rPr>
      </w:pPr>
      <w:r>
        <w:rPr>
          <w:rFonts w:ascii="仿宋_GB2312" w:hAnsi="仿宋_GB2312" w:eastAsia="仿宋_GB2312" w:cs="仿宋_GB2312"/>
          <w:sz w:val="32"/>
        </w:rPr>
        <w:t>3.</w:t>
      </w:r>
      <w:r>
        <w:rPr>
          <w:rFonts w:ascii="宋体" w:hAnsi="宋体" w:eastAsia="宋体" w:cs="宋体"/>
          <w:sz w:val="32"/>
        </w:rPr>
        <w:t>围绕平安建设，市域社会治理不断创新提质。</w:t>
      </w:r>
      <w:r>
        <w:rPr>
          <w:rFonts w:ascii="宋体" w:hAnsi="宋体" w:eastAsia="宋体" w:cs="宋体"/>
          <w:color w:val="000000"/>
          <w:sz w:val="32"/>
        </w:rPr>
        <w:t>制定市域社会治理现代化试点《三年行动方案》，</w:t>
      </w:r>
      <w:r>
        <w:rPr>
          <w:rFonts w:ascii="宋体" w:hAnsi="宋体" w:eastAsia="宋体" w:cs="宋体"/>
          <w:sz w:val="32"/>
        </w:rPr>
        <w:t>相继成立区、街道综合治理和网格化服务管理中心，对各类风险隐患的源头发现、早期控制以及各类风险预警防范化解的能力进一步提升。探索创新社会治理模式，我区“</w:t>
      </w:r>
      <w:r>
        <w:rPr>
          <w:rFonts w:ascii="仿宋_GB2312" w:hAnsi="仿宋_GB2312" w:eastAsia="仿宋_GB2312" w:cs="仿宋_GB2312"/>
          <w:sz w:val="32"/>
        </w:rPr>
        <w:t>5+5</w:t>
      </w:r>
      <w:r>
        <w:rPr>
          <w:rFonts w:ascii="宋体" w:hAnsi="宋体" w:eastAsia="宋体" w:cs="宋体"/>
          <w:sz w:val="32"/>
        </w:rPr>
        <w:t>”党建引领基层治理新模式受到市级部门多次通报表扬，先后有</w:t>
      </w:r>
      <w:r>
        <w:rPr>
          <w:rFonts w:ascii="仿宋_GB2312" w:hAnsi="仿宋_GB2312" w:eastAsia="仿宋_GB2312" w:cs="仿宋_GB2312"/>
          <w:sz w:val="32"/>
        </w:rPr>
        <w:t>11</w:t>
      </w:r>
      <w:r>
        <w:rPr>
          <w:rFonts w:ascii="宋体" w:hAnsi="宋体" w:eastAsia="宋体" w:cs="宋体"/>
          <w:sz w:val="32"/>
        </w:rPr>
        <w:t>个市内区县来阎观摩学习。建立长效机制，扫黑除恶专项斗争进一步深化。全区平安建设满意度达</w:t>
      </w:r>
      <w:r>
        <w:rPr>
          <w:rFonts w:ascii="仿宋_GB2312" w:hAnsi="仿宋_GB2312" w:eastAsia="仿宋_GB2312" w:cs="仿宋_GB2312"/>
          <w:sz w:val="32"/>
        </w:rPr>
        <w:t>96.36%</w:t>
      </w:r>
      <w:r>
        <w:rPr>
          <w:rFonts w:ascii="宋体" w:hAnsi="宋体" w:eastAsia="宋体" w:cs="宋体"/>
          <w:sz w:val="32"/>
        </w:rPr>
        <w:t>，名列全市第一，是我市唯一高于陕西省平均值</w:t>
      </w:r>
      <w:r>
        <w:rPr>
          <w:rFonts w:ascii="仿宋_GB2312" w:hAnsi="仿宋_GB2312" w:eastAsia="仿宋_GB2312" w:cs="仿宋_GB2312"/>
          <w:sz w:val="32"/>
        </w:rPr>
        <w:t>96.16%</w:t>
      </w:r>
      <w:r>
        <w:rPr>
          <w:rFonts w:ascii="宋体" w:hAnsi="宋体" w:eastAsia="宋体" w:cs="宋体"/>
          <w:sz w:val="32"/>
        </w:rPr>
        <w:t>的区县。</w:t>
      </w:r>
    </w:p>
    <w:p>
      <w:pPr>
        <w:spacing w:line="560" w:lineRule="auto"/>
        <w:ind w:firstLine="640"/>
        <w:rPr>
          <w:rFonts w:ascii="仿宋_GB2312" w:hAnsi="仿宋_GB2312" w:eastAsia="仿宋_GB2312" w:cs="仿宋_GB2312"/>
          <w:sz w:val="20"/>
        </w:rPr>
      </w:pPr>
      <w:r>
        <w:rPr>
          <w:rFonts w:ascii="仿宋_GB2312" w:hAnsi="仿宋_GB2312" w:eastAsia="仿宋_GB2312" w:cs="仿宋_GB2312"/>
          <w:sz w:val="32"/>
        </w:rPr>
        <w:t>4.</w:t>
      </w:r>
      <w:r>
        <w:rPr>
          <w:rFonts w:ascii="宋体" w:hAnsi="宋体" w:eastAsia="宋体" w:cs="宋体"/>
          <w:sz w:val="32"/>
        </w:rPr>
        <w:t>深入推进改革，法治阎良建设纵深推进。</w:t>
      </w:r>
      <w:r>
        <w:rPr>
          <w:rFonts w:ascii="仿宋_GB2312" w:hAnsi="仿宋_GB2312" w:eastAsia="仿宋_GB2312" w:cs="仿宋_GB2312"/>
          <w:sz w:val="32"/>
        </w:rPr>
        <w:t>2020</w:t>
      </w:r>
      <w:r>
        <w:rPr>
          <w:rFonts w:ascii="宋体" w:hAnsi="宋体" w:eastAsia="宋体" w:cs="宋体"/>
          <w:sz w:val="32"/>
        </w:rPr>
        <w:t>年司法体制改革专项小组</w:t>
      </w:r>
      <w:r>
        <w:rPr>
          <w:rFonts w:ascii="仿宋_GB2312" w:hAnsi="仿宋_GB2312" w:eastAsia="仿宋_GB2312" w:cs="仿宋_GB2312"/>
          <w:sz w:val="32"/>
        </w:rPr>
        <w:t>5</w:t>
      </w:r>
      <w:r>
        <w:rPr>
          <w:rFonts w:ascii="宋体" w:hAnsi="宋体" w:eastAsia="宋体" w:cs="宋体"/>
          <w:sz w:val="32"/>
        </w:rPr>
        <w:t>项改革任务全部完成。司法改革案例《凌云路枫桥式派出所的创新做法、改革成效和经验启示》成为全区改革领域优秀案例。扎实推进“七五”普法。组建成立法治宣讲团，在各部门、各社区村，宣讲民法典，让民法典真正走到群众身边。</w:t>
      </w:r>
      <w:r>
        <w:rPr>
          <w:rFonts w:ascii="宋体" w:hAnsi="宋体" w:eastAsia="宋体" w:cs="宋体"/>
          <w:color w:val="000000"/>
          <w:sz w:val="32"/>
        </w:rPr>
        <w:t>行政执法“三项制度”工作被确定为全省法治政府建设示范项目单位。坚持从严治警，</w:t>
      </w:r>
      <w:r>
        <w:rPr>
          <w:rFonts w:ascii="仿宋_GB2312" w:hAnsi="仿宋_GB2312" w:eastAsia="仿宋_GB2312" w:cs="仿宋_GB2312"/>
          <w:sz w:val="32"/>
        </w:rPr>
        <w:t>2020</w:t>
      </w:r>
      <w:r>
        <w:rPr>
          <w:rFonts w:ascii="宋体" w:hAnsi="宋体" w:eastAsia="宋体" w:cs="宋体"/>
          <w:sz w:val="32"/>
        </w:rPr>
        <w:t>年以来，我区未发生政法干警违法违纪行为。积极培养树立先进典型，表彰</w:t>
      </w:r>
      <w:r>
        <w:rPr>
          <w:rFonts w:ascii="仿宋_GB2312" w:hAnsi="仿宋_GB2312" w:eastAsia="仿宋_GB2312" w:cs="仿宋_GB2312"/>
          <w:sz w:val="32"/>
        </w:rPr>
        <w:t>4</w:t>
      </w:r>
      <w:r>
        <w:rPr>
          <w:rFonts w:ascii="宋体" w:hAnsi="宋体" w:eastAsia="宋体" w:cs="宋体"/>
          <w:sz w:val="32"/>
        </w:rPr>
        <w:t>件优秀侦办案件，</w:t>
      </w:r>
      <w:r>
        <w:rPr>
          <w:rFonts w:ascii="仿宋_GB2312" w:hAnsi="仿宋_GB2312" w:eastAsia="仿宋_GB2312" w:cs="仿宋_GB2312"/>
          <w:sz w:val="32"/>
        </w:rPr>
        <w:t>10</w:t>
      </w:r>
      <w:r>
        <w:rPr>
          <w:rFonts w:ascii="宋体" w:hAnsi="宋体" w:eastAsia="宋体" w:cs="宋体"/>
          <w:sz w:val="32"/>
        </w:rPr>
        <w:t>个政法先进单位、</w:t>
      </w:r>
      <w:r>
        <w:rPr>
          <w:rFonts w:ascii="仿宋_GB2312" w:hAnsi="仿宋_GB2312" w:eastAsia="仿宋_GB2312" w:cs="仿宋_GB2312"/>
          <w:sz w:val="32"/>
        </w:rPr>
        <w:t>30</w:t>
      </w:r>
      <w:r>
        <w:rPr>
          <w:rFonts w:ascii="宋体" w:hAnsi="宋体" w:eastAsia="宋体" w:cs="宋体"/>
          <w:sz w:val="32"/>
        </w:rPr>
        <w:t>个政法先进先进个人，弘扬政法队伍主旋律，聚集政法工作正能量。</w:t>
      </w:r>
    </w:p>
    <w:p>
      <w:pPr>
        <w:spacing w:line="560" w:lineRule="auto"/>
        <w:ind w:firstLine="620"/>
        <w:rPr>
          <w:rFonts w:ascii="仿宋_GB2312" w:hAnsi="仿宋_GB2312" w:eastAsia="仿宋_GB2312" w:cs="仿宋_GB2312"/>
          <w:sz w:val="20"/>
        </w:rPr>
      </w:pPr>
      <w:r>
        <w:rPr>
          <w:rFonts w:ascii="宋体" w:hAnsi="宋体" w:eastAsia="宋体" w:cs="宋体"/>
          <w:color w:val="000000"/>
          <w:sz w:val="31"/>
        </w:rPr>
        <w:t>主要工作绩效是：</w:t>
      </w:r>
      <w:r>
        <w:rPr>
          <w:rFonts w:ascii="仿宋_GB2312" w:hAnsi="仿宋_GB2312" w:eastAsia="仿宋_GB2312" w:cs="仿宋_GB2312"/>
          <w:sz w:val="32"/>
        </w:rPr>
        <w:t>2020</w:t>
      </w:r>
      <w:r>
        <w:rPr>
          <w:rFonts w:ascii="宋体" w:hAnsi="宋体" w:eastAsia="宋体" w:cs="宋体"/>
          <w:sz w:val="32"/>
        </w:rPr>
        <w:t>年在平安建设工作中，我区被陕西省委平安建设领导小组评为省级平安建设先进区；在扫黑除恶专项斗争中，我区被省扫黑除恶专项斗争领导小组评为省级扫黑除恶专项斗争先进区。全区目标责任考评政法委为一类单位。</w:t>
      </w:r>
    </w:p>
    <w:p>
      <w:pPr>
        <w:spacing w:line="560" w:lineRule="auto"/>
        <w:ind w:firstLine="620"/>
        <w:rPr>
          <w:rFonts w:ascii="仿宋_GB2312" w:hAnsi="仿宋_GB2312" w:eastAsia="仿宋_GB2312" w:cs="仿宋_GB2312"/>
          <w:sz w:val="20"/>
        </w:rPr>
      </w:pPr>
      <w:r>
        <w:rPr>
          <w:rFonts w:ascii="宋体" w:hAnsi="宋体" w:eastAsia="宋体" w:cs="宋体"/>
          <w:color w:val="000000"/>
          <w:sz w:val="31"/>
        </w:rPr>
        <w:t>发现的问题及原因：在</w:t>
      </w:r>
      <w:r>
        <w:rPr>
          <w:rFonts w:ascii="宋体" w:hAnsi="宋体" w:eastAsia="宋体" w:cs="宋体"/>
          <w:sz w:val="32"/>
        </w:rPr>
        <w:t>预算编制方面，</w:t>
      </w:r>
      <w:r>
        <w:rPr>
          <w:rFonts w:ascii="仿宋_GB2312" w:hAnsi="仿宋_GB2312" w:eastAsia="仿宋_GB2312" w:cs="仿宋_GB2312"/>
          <w:sz w:val="32"/>
        </w:rPr>
        <w:t>2020</w:t>
      </w:r>
      <w:r>
        <w:rPr>
          <w:rFonts w:ascii="宋体" w:hAnsi="宋体" w:eastAsia="宋体" w:cs="宋体"/>
          <w:sz w:val="32"/>
        </w:rPr>
        <w:t>年项目绩效目标只涉及了两项，此次不能有效地对</w:t>
      </w:r>
      <w:r>
        <w:rPr>
          <w:rFonts w:ascii="仿宋_GB2312" w:hAnsi="仿宋_GB2312" w:eastAsia="仿宋_GB2312" w:cs="仿宋_GB2312"/>
          <w:sz w:val="32"/>
        </w:rPr>
        <w:t>2020</w:t>
      </w:r>
      <w:r>
        <w:rPr>
          <w:rFonts w:ascii="宋体" w:hAnsi="宋体" w:eastAsia="宋体" w:cs="宋体"/>
          <w:sz w:val="32"/>
        </w:rPr>
        <w:t>年项目预算执行结果进行全面绩效评价。在预算执行方面，</w:t>
      </w:r>
      <w:r>
        <w:rPr>
          <w:rFonts w:ascii="仿宋_GB2312" w:hAnsi="仿宋_GB2312" w:eastAsia="仿宋_GB2312" w:cs="仿宋_GB2312"/>
          <w:sz w:val="32"/>
        </w:rPr>
        <w:t>2020</w:t>
      </w:r>
      <w:r>
        <w:rPr>
          <w:rFonts w:ascii="宋体" w:hAnsi="宋体" w:eastAsia="宋体" w:cs="宋体"/>
          <w:sz w:val="32"/>
        </w:rPr>
        <w:t>年中共西安市阎良区委政法委支出不均衡，全年支付主要集中在第四季度。</w:t>
      </w:r>
    </w:p>
    <w:p>
      <w:pPr>
        <w:spacing w:line="560" w:lineRule="auto"/>
        <w:ind w:firstLine="620"/>
        <w:rPr>
          <w:rFonts w:ascii="仿宋_GB2312" w:hAnsi="仿宋_GB2312" w:eastAsia="仿宋_GB2312" w:cs="仿宋_GB2312"/>
          <w:color w:val="000000"/>
          <w:sz w:val="31"/>
        </w:rPr>
      </w:pPr>
      <w:r>
        <w:rPr>
          <w:rFonts w:ascii="宋体" w:hAnsi="宋体" w:eastAsia="宋体" w:cs="宋体"/>
          <w:color w:val="000000"/>
          <w:sz w:val="31"/>
        </w:rPr>
        <w:t>下一步改进措施：今后</w:t>
      </w:r>
      <w:r>
        <w:rPr>
          <w:rFonts w:ascii="宋体" w:hAnsi="宋体" w:eastAsia="宋体" w:cs="宋体"/>
          <w:sz w:val="32"/>
        </w:rPr>
        <w:t>中共西安市阎良区委政法委在预算管理方面进一步健全各项管理制度，严格执行《财务管理规定》等部门内部制度；在资金使用方面，严格按照单位财务管理制度、审批程序执行。科学做好预算，按计划支出，提高资金利用率，保证政法委各项工作运转，实现阎良区社会环境稳定，人民群众安全感逐步提升的目标。</w:t>
      </w:r>
    </w:p>
    <w:p>
      <w:pPr>
        <w:jc w:val="left"/>
        <w:rPr>
          <w:rFonts w:ascii="仿宋_GB2312" w:hAnsi="仿宋_GB2312" w:eastAsia="仿宋_GB2312" w:cs="仿宋_GB2312"/>
          <w:color w:val="000000"/>
          <w:sz w:val="31"/>
        </w:rPr>
      </w:pPr>
    </w:p>
    <w:p>
      <w:pPr>
        <w:jc w:val="left"/>
        <w:rPr>
          <w:rFonts w:ascii="仿宋_GB2312" w:hAnsi="仿宋_GB2312" w:eastAsia="仿宋_GB2312" w:cs="仿宋_GB2312"/>
          <w:color w:val="000000"/>
          <w:sz w:val="31"/>
        </w:rPr>
      </w:pPr>
    </w:p>
    <w:p>
      <w:pPr>
        <w:jc w:val="left"/>
        <w:rPr>
          <w:rFonts w:ascii="仿宋_GB2312" w:hAnsi="仿宋_GB2312" w:eastAsia="仿宋_GB2312" w:cs="仿宋_GB2312"/>
          <w:color w:val="000000"/>
          <w:sz w:val="31"/>
        </w:rPr>
      </w:pPr>
    </w:p>
    <w:p>
      <w:pPr>
        <w:jc w:val="left"/>
        <w:rPr>
          <w:rFonts w:ascii="仿宋_GB2312" w:hAnsi="仿宋_GB2312" w:eastAsia="仿宋_GB2312" w:cs="仿宋_GB2312"/>
          <w:color w:val="000000"/>
          <w:sz w:val="31"/>
        </w:rPr>
      </w:pPr>
      <w:r>
        <w:object>
          <v:shape id="_x0000_i1025" o:spt="75" type="#_x0000_t75" style="height:690pt;width:465pt;" o:ole="t" filled="f" o:preferrelative="t" stroked="f" coordsize="21600,21600">
            <v:path/>
            <v:fill on="f" focussize="0,0"/>
            <v:stroke on="f" joinstyle="miter"/>
            <v:imagedata r:id="rId12" o:title=""/>
            <o:lock v:ext="edit" aspectratio="t"/>
            <w10:wrap type="none"/>
            <w10:anchorlock/>
          </v:shape>
          <o:OLEObject Type="Embed" ProgID="Excel.Sheet.12" ShapeID="_x0000_i1025" DrawAspect="Content" ObjectID="_1468075725" r:id="rId11">
            <o:LockedField>false</o:LockedField>
          </o:OLEObject>
        </w:object>
      </w:r>
    </w:p>
    <w:p>
      <w:pPr>
        <w:spacing w:line="560" w:lineRule="auto"/>
        <w:jc w:val="left"/>
        <w:rPr>
          <w:rFonts w:ascii="楷体_GB2312" w:hAnsi="楷体_GB2312" w:eastAsia="楷体_GB2312" w:cs="楷体_GB2312"/>
          <w:b/>
          <w:color w:val="000000"/>
          <w:sz w:val="20"/>
        </w:rPr>
      </w:pPr>
      <w:r>
        <w:object>
          <v:shape id="_x0000_i1026" o:spt="75" type="#_x0000_t75" style="height:570.75pt;width:735pt;" o:ole="t" filled="f" o:preferrelative="t" stroked="f" coordsize="21600,21600">
            <v:path/>
            <v:fill on="f" focussize="0,0"/>
            <v:stroke on="f" joinstyle="miter"/>
            <v:imagedata r:id="rId14" o:title=""/>
            <o:lock v:ext="edit" aspectratio="t"/>
            <w10:wrap type="none"/>
            <w10:anchorlock/>
          </v:shape>
          <o:OLEObject Type="Embed" ProgID="StaticMetafile" ShapeID="_x0000_i1026" DrawAspect="Content" ObjectID="_1468075726" r:id="rId13">
            <o:LockedField>false</o:LockedField>
          </o:OLEObject>
        </w:object>
      </w:r>
    </w:p>
    <w:p>
      <w:pPr>
        <w:jc w:val="left"/>
        <w:rPr>
          <w:rFonts w:ascii="仿宋_GB2312" w:hAnsi="仿宋_GB2312" w:eastAsia="仿宋_GB2312" w:cs="仿宋_GB2312"/>
          <w:color w:val="000000"/>
          <w:sz w:val="31"/>
        </w:rPr>
      </w:pPr>
    </w:p>
    <w:p>
      <w:pPr>
        <w:jc w:val="left"/>
        <w:rPr>
          <w:rFonts w:ascii="仿宋_GB2312" w:hAnsi="仿宋_GB2312" w:eastAsia="仿宋_GB2312" w:cs="仿宋_GB2312"/>
          <w:color w:val="000000"/>
          <w:sz w:val="31"/>
        </w:rPr>
      </w:pPr>
    </w:p>
    <w:p>
      <w:pPr>
        <w:jc w:val="left"/>
        <w:rPr>
          <w:rFonts w:ascii="黑体" w:hAnsi="黑体" w:eastAsia="黑体" w:cs="黑体"/>
          <w:color w:val="000000"/>
          <w:sz w:val="20"/>
        </w:rPr>
      </w:pPr>
      <w:r>
        <w:object>
          <v:shape id="_x0000_i1027" o:spt="75" type="#_x0000_t75" style="height:585pt;width:1062pt;" o:ole="t" filled="f" o:preferrelative="t" stroked="f" coordsize="21600,21600">
            <v:path/>
            <v:fill on="f" focussize="0,0"/>
            <v:stroke on="f" joinstyle="miter"/>
            <v:imagedata r:id="rId14" o:title=""/>
            <o:lock v:ext="edit" aspectratio="t"/>
            <w10:wrap type="none"/>
            <w10:anchorlock/>
          </v:shape>
          <o:OLEObject Type="Embed" ProgID="StaticMetafile" ShapeID="_x0000_i1027" DrawAspect="Content" ObjectID="_1468075727" r:id="rId15">
            <o:LockedField>false</o:LockedField>
          </o:OLEObject>
        </w:object>
      </w:r>
    </w:p>
    <w:p>
      <w:pPr>
        <w:spacing w:line="560" w:lineRule="auto"/>
        <w:ind w:firstLine="640"/>
        <w:rPr>
          <w:rFonts w:ascii="黑体" w:hAnsi="黑体" w:eastAsia="黑体" w:cs="黑体"/>
          <w:sz w:val="20"/>
        </w:rPr>
      </w:pPr>
      <w:r>
        <w:rPr>
          <w:rFonts w:ascii="黑体" w:hAnsi="黑体" w:eastAsia="黑体" w:cs="黑体"/>
          <w:color w:val="000000"/>
          <w:sz w:val="32"/>
        </w:rPr>
        <w:t>十一、其他重要事项说明</w:t>
      </w:r>
    </w:p>
    <w:p>
      <w:pPr>
        <w:spacing w:line="560" w:lineRule="auto"/>
        <w:ind w:firstLine="640"/>
        <w:jc w:val="left"/>
        <w:rPr>
          <w:rFonts w:ascii="Calibri" w:hAnsi="Calibri" w:eastAsia="Calibri" w:cs="Calibri"/>
          <w:b/>
          <w:i/>
          <w:caps/>
          <w:sz w:val="32"/>
        </w:rPr>
      </w:pPr>
      <w:r>
        <w:rPr>
          <w:rFonts w:ascii="宋体" w:hAnsi="宋体" w:eastAsia="宋体" w:cs="宋体"/>
          <w:b/>
          <w:color w:val="000000"/>
          <w:sz w:val="32"/>
        </w:rPr>
        <w:t>（一）机关运行经费支出情况说明。</w:t>
      </w:r>
    </w:p>
    <w:p>
      <w:pPr>
        <w:spacing w:line="560" w:lineRule="auto"/>
        <w:ind w:firstLine="620"/>
        <w:jc w:val="left"/>
        <w:rPr>
          <w:rFonts w:ascii="仿宋_GB2312" w:hAnsi="仿宋_GB2312" w:eastAsia="仿宋_GB2312" w:cs="仿宋_GB2312"/>
          <w:sz w:val="32"/>
        </w:rPr>
      </w:pPr>
      <w:r>
        <w:rPr>
          <w:rFonts w:ascii="仿宋_GB2312" w:hAnsi="仿宋_GB2312" w:eastAsia="仿宋_GB2312" w:cs="仿宋_GB2312"/>
          <w:color w:val="000000"/>
          <w:sz w:val="31"/>
        </w:rPr>
        <w:t>2020</w:t>
      </w:r>
      <w:r>
        <w:rPr>
          <w:rFonts w:ascii="宋体" w:hAnsi="宋体" w:eastAsia="宋体" w:cs="宋体"/>
          <w:color w:val="000000"/>
          <w:sz w:val="31"/>
        </w:rPr>
        <w:t>年度机关运行经费</w:t>
      </w:r>
      <w:r>
        <w:rPr>
          <w:rFonts w:ascii="宋体" w:hAnsi="宋体" w:eastAsia="宋体" w:cs="宋体"/>
          <w:color w:val="000000"/>
          <w:sz w:val="32"/>
        </w:rPr>
        <w:t>预算为</w:t>
      </w:r>
      <w:r>
        <w:rPr>
          <w:rFonts w:ascii="仿宋_GB2312" w:hAnsi="仿宋_GB2312" w:eastAsia="仿宋_GB2312" w:cs="仿宋_GB2312"/>
          <w:color w:val="000000"/>
          <w:sz w:val="32"/>
        </w:rPr>
        <w:t>4.86</w:t>
      </w:r>
      <w:r>
        <w:rPr>
          <w:rFonts w:ascii="宋体" w:hAnsi="宋体" w:eastAsia="宋体" w:cs="宋体"/>
          <w:color w:val="000000"/>
          <w:sz w:val="32"/>
        </w:rPr>
        <w:t>万元，支出决算为</w:t>
      </w:r>
      <w:r>
        <w:rPr>
          <w:rFonts w:ascii="仿宋_GB2312" w:hAnsi="仿宋_GB2312" w:eastAsia="仿宋_GB2312" w:cs="仿宋_GB2312"/>
          <w:color w:val="000000"/>
          <w:sz w:val="32"/>
        </w:rPr>
        <w:t>4.86</w:t>
      </w:r>
      <w:r>
        <w:rPr>
          <w:rFonts w:ascii="宋体" w:hAnsi="宋体" w:eastAsia="宋体" w:cs="宋体"/>
          <w:color w:val="000000"/>
          <w:sz w:val="32"/>
        </w:rPr>
        <w:t>万元，完成预算的</w:t>
      </w:r>
      <w:r>
        <w:rPr>
          <w:rFonts w:ascii="仿宋_GB2312" w:hAnsi="仿宋_GB2312" w:eastAsia="仿宋_GB2312" w:cs="仿宋_GB2312"/>
          <w:color w:val="000000"/>
          <w:sz w:val="32"/>
        </w:rPr>
        <w:t>100%</w:t>
      </w:r>
      <w:r>
        <w:rPr>
          <w:rFonts w:ascii="宋体" w:hAnsi="宋体" w:eastAsia="宋体" w:cs="宋体"/>
          <w:color w:val="000000"/>
          <w:sz w:val="32"/>
        </w:rPr>
        <w:t>。决算数较预算数持平，无变化</w:t>
      </w:r>
      <w:r>
        <w:rPr>
          <w:rFonts w:ascii="宋体" w:hAnsi="宋体" w:eastAsia="宋体" w:cs="宋体"/>
          <w:sz w:val="32"/>
        </w:rPr>
        <w:t>。</w:t>
      </w:r>
    </w:p>
    <w:p>
      <w:pPr>
        <w:spacing w:line="560" w:lineRule="auto"/>
        <w:ind w:firstLine="640"/>
        <w:jc w:val="left"/>
        <w:rPr>
          <w:rFonts w:ascii="楷体_GB2312" w:hAnsi="楷体_GB2312" w:eastAsia="楷体_GB2312" w:cs="楷体_GB2312"/>
          <w:b/>
          <w:color w:val="000000"/>
          <w:sz w:val="20"/>
        </w:rPr>
      </w:pPr>
      <w:r>
        <w:rPr>
          <w:rFonts w:ascii="宋体" w:hAnsi="宋体" w:eastAsia="宋体" w:cs="宋体"/>
          <w:b/>
          <w:color w:val="000000"/>
          <w:sz w:val="32"/>
        </w:rPr>
        <w:t>（二）政府采购支出情况说明。</w:t>
      </w:r>
    </w:p>
    <w:p>
      <w:pPr>
        <w:spacing w:line="560" w:lineRule="auto"/>
        <w:ind w:firstLine="640"/>
        <w:rPr>
          <w:rFonts w:ascii="仿宋_GB2312" w:hAnsi="仿宋_GB2312" w:eastAsia="仿宋_GB2312" w:cs="仿宋_GB2312"/>
          <w:sz w:val="20"/>
        </w:rPr>
      </w:pPr>
      <w:r>
        <w:rPr>
          <w:rFonts w:ascii="宋体" w:hAnsi="宋体" w:eastAsia="宋体" w:cs="宋体"/>
          <w:sz w:val="32"/>
        </w:rPr>
        <w:t>本部门</w:t>
      </w:r>
      <w:r>
        <w:rPr>
          <w:rFonts w:ascii="仿宋_GB2312" w:hAnsi="仿宋_GB2312" w:eastAsia="仿宋_GB2312" w:cs="仿宋_GB2312"/>
          <w:sz w:val="32"/>
        </w:rPr>
        <w:t>2020</w:t>
      </w:r>
      <w:r>
        <w:rPr>
          <w:rFonts w:ascii="宋体" w:hAnsi="宋体" w:eastAsia="宋体" w:cs="宋体"/>
          <w:sz w:val="32"/>
        </w:rPr>
        <w:t>年度无政府采购支出</w:t>
      </w:r>
      <w:r>
        <w:rPr>
          <w:rFonts w:ascii="仿宋_GB2312" w:hAnsi="仿宋_GB2312" w:eastAsia="仿宋_GB2312" w:cs="仿宋_GB2312"/>
          <w:sz w:val="32"/>
        </w:rPr>
        <w:t>.</w:t>
      </w:r>
    </w:p>
    <w:p>
      <w:pPr>
        <w:numPr>
          <w:ilvl w:val="0"/>
          <w:numId w:val="3"/>
        </w:numPr>
        <w:spacing w:line="560" w:lineRule="auto"/>
        <w:ind w:left="640"/>
        <w:jc w:val="left"/>
        <w:rPr>
          <w:rFonts w:ascii="楷体_GB2312" w:hAnsi="楷体_GB2312" w:eastAsia="楷体_GB2312" w:cs="楷体_GB2312"/>
          <w:b/>
          <w:color w:val="000000"/>
          <w:sz w:val="20"/>
        </w:rPr>
      </w:pPr>
      <w:r>
        <w:rPr>
          <w:rFonts w:ascii="宋体" w:hAnsi="宋体" w:eastAsia="宋体" w:cs="宋体"/>
          <w:b/>
          <w:color w:val="000000"/>
          <w:sz w:val="32"/>
        </w:rPr>
        <w:t>国有资产占用及购置情况说明。</w:t>
      </w:r>
    </w:p>
    <w:p>
      <w:pPr>
        <w:spacing w:line="560" w:lineRule="auto"/>
        <w:ind w:firstLine="645"/>
        <w:rPr>
          <w:rFonts w:ascii="宋体" w:hAnsi="宋体" w:eastAsia="宋体" w:cs="宋体"/>
          <w:sz w:val="20"/>
        </w:rPr>
      </w:pPr>
      <w:r>
        <w:rPr>
          <w:rFonts w:ascii="宋体" w:hAnsi="宋体" w:eastAsia="宋体" w:cs="宋体"/>
          <w:sz w:val="32"/>
        </w:rPr>
        <w:t>截至</w:t>
      </w:r>
      <w:r>
        <w:rPr>
          <w:rFonts w:ascii="仿宋_GB2312" w:hAnsi="仿宋_GB2312" w:eastAsia="仿宋_GB2312" w:cs="仿宋_GB2312"/>
          <w:sz w:val="32"/>
        </w:rPr>
        <w:t>2020</w:t>
      </w:r>
      <w:r>
        <w:rPr>
          <w:rFonts w:ascii="宋体" w:hAnsi="宋体" w:eastAsia="宋体" w:cs="宋体"/>
          <w:sz w:val="32"/>
        </w:rPr>
        <w:t>年末，本部门没有公务车辆。</w:t>
      </w:r>
    </w:p>
    <w:p>
      <w:pPr>
        <w:jc w:val="center"/>
        <w:rPr>
          <w:rFonts w:ascii="黑体" w:hAnsi="黑体" w:eastAsia="黑体" w:cs="黑体"/>
          <w:color w:val="000000"/>
          <w:sz w:val="44"/>
        </w:rPr>
      </w:pPr>
    </w:p>
    <w:p>
      <w:pPr>
        <w:jc w:val="center"/>
        <w:rPr>
          <w:rFonts w:ascii="黑体" w:hAnsi="黑体" w:eastAsia="黑体" w:cs="黑体"/>
          <w:color w:val="000000"/>
          <w:sz w:val="44"/>
        </w:rPr>
      </w:pPr>
      <w:r>
        <w:rPr>
          <w:rFonts w:ascii="黑体" w:hAnsi="黑体" w:eastAsia="黑体" w:cs="黑体"/>
          <w:color w:val="000000"/>
          <w:sz w:val="44"/>
        </w:rPr>
        <w:t>第四部分专业名词解释</w:t>
      </w:r>
    </w:p>
    <w:p>
      <w:pPr>
        <w:jc w:val="center"/>
        <w:rPr>
          <w:rFonts w:ascii="黑体" w:hAnsi="黑体" w:eastAsia="黑体" w:cs="黑体"/>
          <w:color w:val="000000"/>
          <w:sz w:val="44"/>
        </w:rPr>
      </w:pPr>
    </w:p>
    <w:p>
      <w:pPr>
        <w:spacing w:line="560" w:lineRule="auto"/>
        <w:ind w:firstLine="640"/>
        <w:jc w:val="left"/>
        <w:rPr>
          <w:rFonts w:ascii="仿宋_GB2312" w:hAnsi="仿宋_GB2312" w:eastAsia="仿宋_GB2312" w:cs="仿宋_GB2312"/>
          <w:sz w:val="20"/>
        </w:rPr>
      </w:pPr>
      <w:r>
        <w:rPr>
          <w:rFonts w:ascii="宋体" w:hAnsi="宋体" w:eastAsia="宋体" w:cs="宋体"/>
          <w:sz w:val="32"/>
        </w:rPr>
        <w:t>文字说明。专业名词解释可由部门根据业务内容等自行选择。</w:t>
      </w:r>
    </w:p>
    <w:p>
      <w:pPr>
        <w:spacing w:line="560" w:lineRule="auto"/>
        <w:ind w:firstLine="640"/>
        <w:jc w:val="left"/>
        <w:rPr>
          <w:rFonts w:ascii="仿宋_GB2312" w:hAnsi="仿宋_GB2312" w:eastAsia="仿宋_GB2312" w:cs="仿宋_GB2312"/>
          <w:sz w:val="20"/>
        </w:rPr>
      </w:pPr>
      <w:r>
        <w:rPr>
          <w:rFonts w:ascii="宋体" w:hAnsi="宋体" w:eastAsia="宋体" w:cs="宋体"/>
          <w:sz w:val="32"/>
        </w:rPr>
        <w:t>示例：</w:t>
      </w:r>
    </w:p>
    <w:p>
      <w:pPr>
        <w:spacing w:line="560" w:lineRule="auto"/>
        <w:ind w:firstLine="640"/>
        <w:rPr>
          <w:rFonts w:ascii="仿宋_GB2312" w:hAnsi="仿宋_GB2312" w:eastAsia="仿宋_GB2312" w:cs="仿宋_GB2312"/>
          <w:sz w:val="20"/>
        </w:rPr>
      </w:pPr>
      <w:r>
        <w:rPr>
          <w:rFonts w:ascii="仿宋_GB2312" w:hAnsi="仿宋_GB2312" w:eastAsia="仿宋_GB2312" w:cs="仿宋_GB2312"/>
          <w:b/>
          <w:sz w:val="32"/>
        </w:rPr>
        <w:t>1.</w:t>
      </w:r>
      <w:r>
        <w:rPr>
          <w:rFonts w:ascii="宋体" w:hAnsi="宋体" w:eastAsia="宋体" w:cs="宋体"/>
          <w:b/>
          <w:sz w:val="32"/>
        </w:rPr>
        <w:t>基本支出</w:t>
      </w:r>
      <w:r>
        <w:rPr>
          <w:rFonts w:ascii="宋体" w:hAnsi="宋体" w:eastAsia="宋体" w:cs="宋体"/>
          <w:sz w:val="32"/>
        </w:rPr>
        <w:t>：指为保障机构正常运转、完成日常工作任务而发生的各项支出。</w:t>
      </w:r>
    </w:p>
    <w:p>
      <w:pPr>
        <w:spacing w:line="560" w:lineRule="auto"/>
        <w:ind w:firstLine="640"/>
        <w:rPr>
          <w:rFonts w:ascii="仿宋_GB2312" w:hAnsi="仿宋_GB2312" w:eastAsia="仿宋_GB2312" w:cs="仿宋_GB2312"/>
          <w:sz w:val="20"/>
        </w:rPr>
      </w:pPr>
      <w:r>
        <w:rPr>
          <w:rFonts w:ascii="仿宋_GB2312" w:hAnsi="仿宋_GB2312" w:eastAsia="仿宋_GB2312" w:cs="仿宋_GB2312"/>
          <w:b/>
          <w:sz w:val="32"/>
        </w:rPr>
        <w:t>2.</w:t>
      </w:r>
      <w:r>
        <w:rPr>
          <w:rFonts w:ascii="宋体" w:hAnsi="宋体" w:eastAsia="宋体" w:cs="宋体"/>
          <w:b/>
          <w:sz w:val="32"/>
        </w:rPr>
        <w:t>项目支出</w:t>
      </w:r>
      <w:r>
        <w:rPr>
          <w:rFonts w:ascii="宋体" w:hAnsi="宋体" w:eastAsia="宋体" w:cs="宋体"/>
          <w:sz w:val="32"/>
        </w:rPr>
        <w:t>：指单位为完成特定的行政工作任务或事业发展目标所发生的各项支出。</w:t>
      </w:r>
    </w:p>
    <w:p>
      <w:pPr>
        <w:spacing w:line="560" w:lineRule="auto"/>
        <w:ind w:firstLine="640"/>
        <w:rPr>
          <w:rFonts w:ascii="仿宋_GB2312" w:hAnsi="仿宋_GB2312" w:eastAsia="仿宋_GB2312" w:cs="仿宋_GB2312"/>
          <w:sz w:val="20"/>
        </w:rPr>
      </w:pPr>
      <w:r>
        <w:rPr>
          <w:rFonts w:ascii="仿宋_GB2312" w:hAnsi="仿宋_GB2312" w:eastAsia="仿宋_GB2312" w:cs="仿宋_GB2312"/>
          <w:b/>
          <w:sz w:val="32"/>
        </w:rPr>
        <w:t>3.</w:t>
      </w:r>
      <w:r>
        <w:rPr>
          <w:rFonts w:ascii="宋体" w:hAnsi="宋体" w:eastAsia="宋体" w:cs="宋体"/>
          <w:b/>
          <w:sz w:val="32"/>
        </w:rPr>
        <w:t>“三公”经费</w:t>
      </w:r>
      <w:r>
        <w:rPr>
          <w:rFonts w:ascii="宋体" w:hAnsi="宋体" w:eastAsia="宋体" w:cs="宋体"/>
          <w:sz w:val="32"/>
        </w:rPr>
        <w:t>：指部门使用一般公共预算财政拨款安排的因公出国（境）费、公务用车购置及运行费和公务接待费支出。</w:t>
      </w:r>
    </w:p>
    <w:p>
      <w:pPr>
        <w:spacing w:line="560" w:lineRule="auto"/>
        <w:ind w:firstLine="640"/>
        <w:rPr>
          <w:rFonts w:ascii="仿宋_GB2312" w:hAnsi="仿宋_GB2312" w:eastAsia="仿宋_GB2312" w:cs="仿宋_GB2312"/>
          <w:sz w:val="20"/>
        </w:rPr>
      </w:pPr>
      <w:r>
        <w:rPr>
          <w:rFonts w:ascii="仿宋_GB2312" w:hAnsi="仿宋_GB2312" w:eastAsia="仿宋_GB2312" w:cs="仿宋_GB2312"/>
          <w:b/>
          <w:sz w:val="32"/>
        </w:rPr>
        <w:t>4.</w:t>
      </w:r>
      <w:r>
        <w:rPr>
          <w:rFonts w:ascii="宋体" w:hAnsi="宋体" w:eastAsia="宋体" w:cs="宋体"/>
          <w:b/>
          <w:sz w:val="32"/>
        </w:rPr>
        <w:t>财政拨款收入</w:t>
      </w:r>
      <w:r>
        <w:rPr>
          <w:rFonts w:ascii="宋体" w:hAnsi="宋体" w:eastAsia="宋体" w:cs="宋体"/>
          <w:sz w:val="32"/>
        </w:rPr>
        <w:t>：指本级财政当年拨付的资金。</w:t>
      </w:r>
    </w:p>
    <w:p>
      <w:pPr>
        <w:spacing w:line="560" w:lineRule="auto"/>
        <w:ind w:firstLine="640"/>
        <w:rPr>
          <w:rFonts w:ascii="仿宋_GB2312" w:hAnsi="仿宋_GB2312" w:eastAsia="仿宋_GB2312" w:cs="仿宋_GB2312"/>
          <w:sz w:val="20"/>
        </w:rPr>
      </w:pPr>
      <w:r>
        <w:rPr>
          <w:rFonts w:ascii="仿宋_GB2312" w:hAnsi="仿宋_GB2312" w:eastAsia="仿宋_GB2312" w:cs="仿宋_GB2312"/>
          <w:b/>
          <w:sz w:val="32"/>
        </w:rPr>
        <w:t>5.</w:t>
      </w:r>
      <w:r>
        <w:rPr>
          <w:rFonts w:ascii="宋体" w:hAnsi="宋体" w:eastAsia="宋体" w:cs="宋体"/>
          <w:b/>
          <w:sz w:val="32"/>
        </w:rPr>
        <w:t>调整预算数：</w:t>
      </w:r>
      <w:r>
        <w:rPr>
          <w:rFonts w:ascii="宋体" w:hAnsi="宋体" w:eastAsia="宋体" w:cs="宋体"/>
          <w:sz w:val="32"/>
        </w:rPr>
        <w:t>填列经调整后的全年预算数，包括年初预算数和预算调增调减数，即：调整预算数＝年初预算数＋预算调增数－预算调减数。</w:t>
      </w:r>
    </w:p>
    <w:p>
      <w:pPr>
        <w:ind w:firstLine="620"/>
        <w:jc w:val="left"/>
        <w:rPr>
          <w:rFonts w:ascii="仿宋_GB2312" w:hAnsi="仿宋_GB2312" w:eastAsia="仿宋_GB2312" w:cs="仿宋_GB2312"/>
          <w:color w:val="000000"/>
          <w:sz w:val="31"/>
          <w:shd w:val="clear" w:color="auto" w:fill="FFFF00"/>
        </w:rPr>
      </w:pPr>
    </w:p>
    <w:p>
      <w:pPr>
        <w:ind w:firstLine="620"/>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p>
    <w:p>
      <w:pPr>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p>
    <w:p>
      <w:pPr>
        <w:spacing w:line="560" w:lineRule="auto"/>
        <w:ind w:firstLine="640"/>
        <w:rPr>
          <w:rFonts w:ascii="仿宋_GB2312" w:hAnsi="仿宋_GB2312" w:eastAsia="仿宋_GB2312" w:cs="仿宋_GB2312"/>
          <w:sz w:val="20"/>
        </w:rPr>
      </w:pPr>
    </w:p>
    <w:p>
      <w:pPr>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r>
        <w:object>
          <v:shape id="_x0000_i1028" o:spt="75" type="#_x0000_t75" style="height:690pt;width:465pt;" o:ole="t" filled="f" o:preferrelative="t" stroked="f" coordsize="21600,21600">
            <v:path/>
            <v:fill on="f" focussize="0,0"/>
            <v:stroke on="f" joinstyle="miter"/>
            <v:imagedata r:id="rId17" o:title=""/>
            <o:lock v:ext="edit" aspectratio="t"/>
            <w10:wrap type="none"/>
            <w10:anchorlock/>
          </v:shape>
          <o:OLEObject Type="Embed" ProgID="Excel.Sheet.12" ShapeID="_x0000_i1028" DrawAspect="Content" ObjectID="_1468075728" r:id="rId16">
            <o:LockedField>false</o:LockedField>
          </o:OLEObject>
        </w:object>
      </w:r>
    </w:p>
    <w:p>
      <w:pPr>
        <w:jc w:val="left"/>
        <w:rPr>
          <w:rFonts w:ascii="仿宋_GB2312" w:hAnsi="仿宋_GB2312" w:eastAsia="仿宋_GB2312" w:cs="仿宋_GB2312"/>
          <w:color w:val="000000"/>
          <w:sz w:val="31"/>
        </w:rPr>
      </w:pPr>
    </w:p>
    <w:p>
      <w:pPr>
        <w:ind w:firstLine="620"/>
        <w:jc w:val="left"/>
        <w:rPr>
          <w:rFonts w:ascii="仿宋_GB2312" w:hAnsi="仿宋_GB2312" w:eastAsia="仿宋_GB2312" w:cs="仿宋_GB2312"/>
          <w:color w:val="000000"/>
          <w:sz w:val="31"/>
        </w:rPr>
      </w:pPr>
    </w:p>
    <w:p>
      <w:pPr>
        <w:jc w:val="left"/>
        <w:rPr>
          <w:rFonts w:ascii="楷体" w:hAnsi="楷体" w:eastAsia="楷体" w:cs="楷体"/>
          <w:sz w:val="20"/>
        </w:rPr>
      </w:pPr>
    </w:p>
    <w:p>
      <w:pPr>
        <w:rPr>
          <w:rFonts w:ascii="Calibri" w:hAnsi="Calibri" w:eastAsia="Calibri" w:cs="Calibri"/>
          <w:b/>
          <w:i/>
          <w:caps/>
          <w:sz w:val="32"/>
        </w:rPr>
      </w:pPr>
    </w:p>
    <w:sectPr>
      <w:pgSz w:w="11906" w:h="16838"/>
      <w:pgMar w:top="1440" w:right="1286" w:bottom="1440" w:left="13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abstractNum w:abstractNumId="1">
    <w:nsid w:val="0053208E"/>
    <w:multiLevelType w:val="singleLevel"/>
    <w:tmpl w:val="0053208E"/>
    <w:lvl w:ilvl="0" w:tentative="0">
      <w:start w:val="1"/>
      <w:numFmt w:val="bullet"/>
      <w:lvlText w:val="•"/>
      <w:lvlJc w:val="left"/>
    </w:lvl>
  </w:abstractNum>
  <w:abstractNum w:abstractNumId="2">
    <w:nsid w:val="59ADCABA"/>
    <w:multiLevelType w:val="singleLevel"/>
    <w:tmpl w:val="59ADCABA"/>
    <w:lvl w:ilvl="0" w:tentative="0">
      <w:start w:val="1"/>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splitPgBreakAndParaMark/>
    <w:compatSetting w:name="compatibilityMode" w:uri="http://schemas.microsoft.com/office/word" w:val="12"/>
  </w:compat>
  <w:rsids>
    <w:rsidRoot w:val="006B4A15"/>
    <w:rsid w:val="000B5D6D"/>
    <w:rsid w:val="00246118"/>
    <w:rsid w:val="002F10E0"/>
    <w:rsid w:val="00313F83"/>
    <w:rsid w:val="004F3DE8"/>
    <w:rsid w:val="0069317C"/>
    <w:rsid w:val="006B4A15"/>
    <w:rsid w:val="0071027F"/>
    <w:rsid w:val="00AB4722"/>
    <w:rsid w:val="0C7C0A0B"/>
    <w:rsid w:val="15F76B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0"/>
    <w:rPr>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package" Target="embeddings/Workbook2.xlsx"/><Relationship Id="rId15" Type="http://schemas.openxmlformats.org/officeDocument/2006/relationships/oleObject" Target="embeddings/oleObject2.bin"/><Relationship Id="rId14" Type="http://schemas.openxmlformats.org/officeDocument/2006/relationships/image" Target="media/image2.png"/><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package" Target="embeddings/Workbook1.xlsx"/><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2452;&#32455;&#37096;2020&#24180;&#20915;&#31639;&#20844;&#24320;\&#22270;&#24418;&#2101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32452;&#32455;&#37096;2020&#24180;&#20915;&#31639;&#20844;&#24320;\&#22270;&#24418;&#2101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32452;&#32455;&#37096;2020&#24180;&#20915;&#31639;&#20844;&#24320;\&#22270;&#24418;&#21015;&#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32452;&#32455;&#37096;2020&#24180;&#20915;&#31639;&#20844;&#24320;\&#22270;&#24418;&#21015;&#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32452;&#32455;&#37096;2020&#24180;&#20915;&#31639;&#20844;&#24320;\&#22270;&#24418;&#21015;&#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32452;&#32455;&#37096;2020&#24180;&#20915;&#31639;&#20844;&#24320;\&#22270;&#24418;&#21015;&#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32452;&#32455;&#37096;2020&#24180;&#20915;&#31639;&#20844;&#24320;\&#22270;&#24418;&#2101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[图形列表.xls]Sheet5!$A$1:$D$1</c:f>
              <c:strCache>
                <c:ptCount val="4"/>
                <c:pt idx="0">
                  <c:v>编制数</c:v>
                </c:pt>
                <c:pt idx="1">
                  <c:v>行政编</c:v>
                </c:pt>
                <c:pt idx="2">
                  <c:v>实有人数</c:v>
                </c:pt>
                <c:pt idx="3">
                  <c:v>行政实有人员</c:v>
                </c:pt>
              </c:strCache>
            </c:strRef>
          </c:cat>
          <c:val>
            <c:numRef>
              <c:f>[图形列表.xls]Sheet5!$A$2:$D$2</c:f>
              <c:numCache>
                <c:formatCode>General</c:formatCode>
                <c:ptCount val="4"/>
                <c:pt idx="0">
                  <c:v>9</c:v>
                </c:pt>
                <c:pt idx="1">
                  <c:v>9</c:v>
                </c:pt>
                <c:pt idx="2">
                  <c:v>8</c:v>
                </c:pt>
                <c:pt idx="3">
                  <c:v>8</c:v>
                </c:pt>
              </c:numCache>
            </c:numRef>
          </c:val>
        </c:ser>
        <c:dLbls>
          <c:showLegendKey val="0"/>
          <c:showVal val="0"/>
          <c:showCatName val="0"/>
          <c:showSerName val="0"/>
          <c:showPercent val="0"/>
          <c:showBubbleSize val="0"/>
        </c:dLbls>
        <c:gapWidth val="219"/>
        <c:overlap val="-27"/>
        <c:axId val="113342514"/>
        <c:axId val="175472627"/>
      </c:barChart>
      <c:catAx>
        <c:axId val="1133425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472627"/>
        <c:crosses val="autoZero"/>
        <c:auto val="1"/>
        <c:lblAlgn val="ctr"/>
        <c:lblOffset val="100"/>
        <c:noMultiLvlLbl val="0"/>
      </c:catAx>
      <c:valAx>
        <c:axId val="1754726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3425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delete val="1"/>
          </c:dLbls>
          <c:cat>
            <c:strRef>
              <c:f>[图形列表.xls]Sheet1!$A$1:$B$1</c:f>
              <c:strCache>
                <c:ptCount val="2"/>
                <c:pt idx="0">
                  <c:v>本年收入（万元）</c:v>
                </c:pt>
                <c:pt idx="1">
                  <c:v>本年支出（万元）</c:v>
                </c:pt>
              </c:strCache>
            </c:strRef>
          </c:cat>
          <c:val>
            <c:numRef>
              <c:f>[图形列表.xls]Sheet1!$A$2:$B$2</c:f>
              <c:numCache>
                <c:formatCode>General</c:formatCode>
                <c:ptCount val="2"/>
                <c:pt idx="0">
                  <c:v>275.5</c:v>
                </c:pt>
                <c:pt idx="1">
                  <c:v>447.19</c:v>
                </c:pt>
              </c:numCache>
            </c:numRef>
          </c:val>
        </c:ser>
        <c:dLbls>
          <c:showLegendKey val="0"/>
          <c:showVal val="0"/>
          <c:showCatName val="0"/>
          <c:showSerName val="0"/>
          <c:showPercent val="0"/>
          <c:showBubbleSize val="0"/>
        </c:dLbls>
        <c:gapWidth val="219"/>
        <c:overlap val="-27"/>
        <c:axId val="67928064"/>
        <c:axId val="67929600"/>
      </c:barChart>
      <c:catAx>
        <c:axId val="679280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7929600"/>
        <c:crosses val="autoZero"/>
        <c:auto val="1"/>
        <c:lblAlgn val="ctr"/>
        <c:lblOffset val="100"/>
        <c:noMultiLvlLbl val="0"/>
      </c:catAx>
      <c:valAx>
        <c:axId val="67929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792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delete val="1"/>
          </c:dLbls>
          <c:cat>
            <c:strRef>
              <c:f>[图形列表.xls]Sheet2!$A$1:$D$1</c:f>
              <c:strCache>
                <c:ptCount val="4"/>
                <c:pt idx="0">
                  <c:v>财政拨款收入（万元）</c:v>
                </c:pt>
                <c:pt idx="1">
                  <c:v>事业收入（万元）</c:v>
                </c:pt>
                <c:pt idx="2">
                  <c:v>经营收入（万元）</c:v>
                </c:pt>
                <c:pt idx="3">
                  <c:v>其他收入（万元）</c:v>
                </c:pt>
              </c:strCache>
            </c:strRef>
          </c:cat>
          <c:val>
            <c:numRef>
              <c:f>[图形列表.xls]Sheet2!$A$2:$D$2</c:f>
              <c:numCache>
                <c:formatCode>General</c:formatCode>
                <c:ptCount val="4"/>
                <c:pt idx="0">
                  <c:v>275.5</c:v>
                </c:pt>
                <c:pt idx="1">
                  <c:v>0</c:v>
                </c:pt>
                <c:pt idx="2">
                  <c:v>0</c:v>
                </c:pt>
                <c:pt idx="3">
                  <c:v>0</c:v>
                </c:pt>
              </c:numCache>
            </c:numRef>
          </c:val>
        </c:ser>
        <c:dLbls>
          <c:showLegendKey val="0"/>
          <c:showVal val="0"/>
          <c:showCatName val="0"/>
          <c:showSerName val="0"/>
          <c:showPercent val="0"/>
          <c:showBubbleSize val="0"/>
        </c:dLbls>
        <c:gapWidth val="219"/>
        <c:overlap val="-27"/>
        <c:axId val="68706688"/>
        <c:axId val="68708224"/>
      </c:barChart>
      <c:catAx>
        <c:axId val="687066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08224"/>
        <c:crosses val="autoZero"/>
        <c:auto val="1"/>
        <c:lblAlgn val="ctr"/>
        <c:lblOffset val="100"/>
        <c:noMultiLvlLbl val="0"/>
      </c:catAx>
      <c:valAx>
        <c:axId val="68708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0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delete val="1"/>
          </c:dLbls>
          <c:cat>
            <c:strRef>
              <c:f>[图形列表.xls]Sheet3!$A$1:$C$1</c:f>
              <c:strCache>
                <c:ptCount val="3"/>
                <c:pt idx="0">
                  <c:v>基本支出（万元）</c:v>
                </c:pt>
                <c:pt idx="1">
                  <c:v>项目支出（万元）</c:v>
                </c:pt>
                <c:pt idx="2">
                  <c:v>经营支出（万元）</c:v>
                </c:pt>
              </c:strCache>
            </c:strRef>
          </c:cat>
          <c:val>
            <c:numRef>
              <c:f>[图形列表.xls]Sheet3!$A$2:$C$2</c:f>
              <c:numCache>
                <c:formatCode>General</c:formatCode>
                <c:ptCount val="3"/>
                <c:pt idx="0">
                  <c:v>173.73</c:v>
                </c:pt>
                <c:pt idx="1">
                  <c:v>105.77</c:v>
                </c:pt>
                <c:pt idx="2">
                  <c:v>0</c:v>
                </c:pt>
              </c:numCache>
            </c:numRef>
          </c:val>
        </c:ser>
        <c:dLbls>
          <c:showLegendKey val="0"/>
          <c:showVal val="0"/>
          <c:showCatName val="0"/>
          <c:showSerName val="0"/>
          <c:showPercent val="0"/>
          <c:showBubbleSize val="0"/>
        </c:dLbls>
        <c:gapWidth val="219"/>
        <c:overlap val="-27"/>
        <c:axId val="68735744"/>
        <c:axId val="68737280"/>
      </c:barChart>
      <c:catAx>
        <c:axId val="687357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37280"/>
        <c:crosses val="autoZero"/>
        <c:auto val="1"/>
        <c:lblAlgn val="ctr"/>
        <c:lblOffset val="100"/>
        <c:noMultiLvlLbl val="0"/>
      </c:catAx>
      <c:valAx>
        <c:axId val="68737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delete val="1"/>
          </c:dLbls>
          <c:cat>
            <c:strRef>
              <c:f>[图形列表.xls]Sheet4!$A$1:$B$1</c:f>
              <c:strCache>
                <c:ptCount val="2"/>
                <c:pt idx="0">
                  <c:v>2019年财政拨款支出（万元）</c:v>
                </c:pt>
                <c:pt idx="1">
                  <c:v>2020年财政拨款支出（万元）</c:v>
                </c:pt>
              </c:strCache>
            </c:strRef>
          </c:cat>
          <c:val>
            <c:numRef>
              <c:f>[图形列表.xls]Sheet4!$A$2:$B$2</c:f>
              <c:numCache>
                <c:formatCode>General</c:formatCode>
                <c:ptCount val="2"/>
                <c:pt idx="0">
                  <c:v>447.19</c:v>
                </c:pt>
                <c:pt idx="1">
                  <c:v>275.5</c:v>
                </c:pt>
              </c:numCache>
            </c:numRef>
          </c:val>
        </c:ser>
        <c:dLbls>
          <c:showLegendKey val="0"/>
          <c:showVal val="0"/>
          <c:showCatName val="0"/>
          <c:showSerName val="0"/>
          <c:showPercent val="0"/>
          <c:showBubbleSize val="0"/>
        </c:dLbls>
        <c:gapWidth val="219"/>
        <c:overlap val="-27"/>
        <c:axId val="68756608"/>
        <c:axId val="68758144"/>
      </c:barChart>
      <c:catAx>
        <c:axId val="687566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58144"/>
        <c:crosses val="autoZero"/>
        <c:auto val="1"/>
        <c:lblAlgn val="ctr"/>
        <c:lblOffset val="100"/>
        <c:noMultiLvlLbl val="0"/>
      </c:catAx>
      <c:valAx>
        <c:axId val="68758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875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Sheet4!$A$1:$B$1</c:f>
              <c:strCache>
                <c:ptCount val="2"/>
                <c:pt idx="0">
                  <c:v>2019年财政拨款支出（万元）</c:v>
                </c:pt>
                <c:pt idx="1">
                  <c:v>2020年财政拨款支出（万元）</c:v>
                </c:pt>
              </c:strCache>
            </c:strRef>
          </c:cat>
          <c:val>
            <c:numRef>
              <c:f>Sheet4!$A$2:$B$2</c:f>
              <c:numCache>
                <c:formatCode>General</c:formatCode>
                <c:ptCount val="2"/>
                <c:pt idx="0">
                  <c:v>447.19</c:v>
                </c:pt>
                <c:pt idx="1">
                  <c:v>279.5</c:v>
                </c:pt>
              </c:numCache>
            </c:numRef>
          </c:val>
        </c:ser>
        <c:dLbls>
          <c:showLegendKey val="0"/>
          <c:showVal val="0"/>
          <c:showCatName val="0"/>
          <c:showSerName val="0"/>
          <c:showPercent val="0"/>
          <c:showBubbleSize val="0"/>
        </c:dLbls>
        <c:gapWidth val="219"/>
        <c:overlap val="-27"/>
        <c:axId val="68781568"/>
        <c:axId val="68783104"/>
      </c:barChart>
      <c:catAx>
        <c:axId val="687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68783104"/>
        <c:crosses val="autoZero"/>
        <c:auto val="1"/>
        <c:lblAlgn val="ctr"/>
        <c:lblOffset val="100"/>
        <c:noMultiLvlLbl val="0"/>
      </c:catAx>
      <c:valAx>
        <c:axId val="68783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687815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Sheet5!$A$1:$D$1</c:f>
              <c:strCache>
                <c:ptCount val="4"/>
                <c:pt idx="0">
                  <c:v>因公出国（境）费支出（万元）</c:v>
                </c:pt>
                <c:pt idx="1">
                  <c:v>公务用车购置费支出（万元）</c:v>
                </c:pt>
                <c:pt idx="2">
                  <c:v>公务用车运行维护费支出（万元）</c:v>
                </c:pt>
                <c:pt idx="3">
                  <c:v>公务接待费支出（万元）</c:v>
                </c:pt>
              </c:strCache>
            </c:strRef>
          </c:cat>
          <c:val>
            <c:numRef>
              <c:f>Sheet5!$A$2:$D$2</c:f>
              <c:numCache>
                <c:formatCode>General</c:formatCode>
                <c:ptCount val="4"/>
                <c:pt idx="0">
                  <c:v>0</c:v>
                </c:pt>
                <c:pt idx="1">
                  <c:v>0</c:v>
                </c:pt>
                <c:pt idx="2">
                  <c:v>0</c:v>
                </c:pt>
                <c:pt idx="3">
                  <c:v>0.13</c:v>
                </c:pt>
              </c:numCache>
            </c:numRef>
          </c:val>
        </c:ser>
        <c:dLbls>
          <c:showLegendKey val="0"/>
          <c:showVal val="0"/>
          <c:showCatName val="0"/>
          <c:showSerName val="0"/>
          <c:showPercent val="0"/>
          <c:showBubbleSize val="0"/>
        </c:dLbls>
        <c:gapWidth val="150"/>
        <c:axId val="68802432"/>
        <c:axId val="68803968"/>
      </c:barChart>
      <c:catAx>
        <c:axId val="68802432"/>
        <c:scaling>
          <c:orientation val="minMax"/>
        </c:scaling>
        <c:delete val="0"/>
        <c:axPos val="b"/>
        <c:numFmt formatCode="General" sourceLinked="1"/>
        <c:majorTickMark val="out"/>
        <c:minorTickMark val="none"/>
        <c:tickLblPos val="nextTo"/>
        <c:txPr>
          <a:bodyPr rot="-54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8803968"/>
        <c:crosses val="autoZero"/>
        <c:auto val="1"/>
        <c:lblAlgn val="ctr"/>
        <c:lblOffset val="100"/>
        <c:noMultiLvlLbl val="0"/>
      </c:catAx>
      <c:valAx>
        <c:axId val="68803968"/>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8802432"/>
        <c:crosses val="autoZero"/>
        <c:crossBetween val="between"/>
      </c:valAx>
    </c:plotArea>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9767</Words>
  <Characters>4902</Characters>
  <Lines>40</Lines>
  <Paragraphs>29</Paragraphs>
  <TotalTime>27</TotalTime>
  <ScaleCrop>false</ScaleCrop>
  <LinksUpToDate>false</LinksUpToDate>
  <CharactersWithSpaces>14640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2021-10-27T09:40:00Z</dcterms:created>
  <dc:creator>Administrator</dc:creator>
  <cp:lastModifiedBy>王倩雯</cp:lastModifiedBy>
  <dcterms:modified xsi:type="dcterms:W3CDTF">2021-10-29T03:30:28Z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43501F73FBE44C268FD7D777ED31815A</vt:lpwstr>
  </property>
</Properties>
</file>