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7"/>
        <w:shd w:val="clear" w:color="auto" w:fill="FFFFFF"/>
        <w:spacing w:before="0" w:beforeAutospacing="0" w:after="0" w:afterAutospacing="0"/>
        <w:jc w:val="center"/>
        <w:rPr>
          <w:rStyle w:val="11"/>
          <w:rFonts w:hint="eastAsia"/>
          <w:sz w:val="36"/>
          <w:szCs w:val="36"/>
        </w:rPr>
      </w:pPr>
    </w:p>
    <w:p>
      <w:pPr>
        <w:pStyle w:val="7"/>
        <w:shd w:val="clear" w:color="auto" w:fill="FFFFFF"/>
        <w:spacing w:before="0" w:beforeAutospacing="0" w:after="0" w:afterAutospacing="0" w:line="520" w:lineRule="exact"/>
        <w:jc w:val="center"/>
        <w:rPr>
          <w:rStyle w:val="11"/>
          <w:rFonts w:hint="eastAsia" w:ascii="方正小标宋简体" w:hAnsi="方正小标宋简体" w:eastAsia="方正小标宋简体" w:cs="方正小标宋简体"/>
          <w:sz w:val="44"/>
          <w:szCs w:val="44"/>
          <w:lang w:eastAsia="zh-CN"/>
        </w:rPr>
      </w:pPr>
      <w:r>
        <w:rPr>
          <w:rStyle w:val="11"/>
          <w:rFonts w:hint="eastAsia" w:ascii="方正小标宋简体" w:hAnsi="方正小标宋简体" w:eastAsia="方正小标宋简体" w:cs="方正小标宋简体"/>
          <w:sz w:val="44"/>
          <w:szCs w:val="44"/>
          <w:lang w:eastAsia="zh-CN"/>
        </w:rPr>
        <w:t>阎良区机关事务服务中心</w:t>
      </w:r>
    </w:p>
    <w:p>
      <w:pPr>
        <w:pStyle w:val="7"/>
        <w:shd w:val="clear" w:color="auto" w:fill="FFFFFF"/>
        <w:spacing w:before="0" w:beforeAutospacing="0" w:after="0" w:afterAutospacing="0" w:line="520" w:lineRule="exact"/>
        <w:jc w:val="center"/>
        <w:rPr>
          <w:rStyle w:val="11"/>
          <w:rFonts w:ascii="方正小标宋简体" w:hAnsi="方正小标宋简体" w:eastAsia="方正小标宋简体" w:cs="方正小标宋简体"/>
          <w:b w:val="0"/>
          <w:bCs w:val="0"/>
          <w:color w:val="000000"/>
          <w:sz w:val="44"/>
          <w:szCs w:val="44"/>
        </w:rPr>
      </w:pPr>
      <w:r>
        <w:rPr>
          <w:rStyle w:val="11"/>
          <w:rFonts w:hint="eastAsia" w:ascii="方正小标宋简体" w:hAnsi="方正小标宋简体" w:eastAsia="方正小标宋简体" w:cs="方正小标宋简体"/>
          <w:color w:val="000000"/>
          <w:sz w:val="44"/>
          <w:szCs w:val="44"/>
          <w:lang w:eastAsia="zh-CN"/>
        </w:rPr>
        <w:t>2020年</w:t>
      </w:r>
      <w:r>
        <w:rPr>
          <w:rStyle w:val="11"/>
          <w:rFonts w:hint="eastAsia" w:ascii="方正小标宋简体" w:hAnsi="方正小标宋简体" w:eastAsia="方正小标宋简体" w:cs="方正小标宋简体"/>
          <w:color w:val="000000"/>
          <w:sz w:val="44"/>
          <w:szCs w:val="44"/>
        </w:rPr>
        <w:t>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pStyle w:val="2"/>
      </w:pP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7"/>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numPr>
          <w:ilvl w:val="0"/>
          <w:numId w:val="3"/>
        </w:numPr>
        <w:spacing w:line="578" w:lineRule="exact"/>
        <w:ind w:firstLine="643" w:firstLineChars="200"/>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主要职责</w:t>
      </w:r>
    </w:p>
    <w:p>
      <w:pPr>
        <w:numPr>
          <w:ilvl w:val="0"/>
          <w:numId w:val="0"/>
        </w:num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阎办字[2019]75号《关于印发〈西安市阎良区机关事务服务中心职能配置内设机构和人员编制规定〉的通知》规定，西安市阎良区机关事务服务中心是区政府直属事业单位，为正处级。主要负责区委、区人大、区政府、区政协</w:t>
      </w:r>
      <w:r>
        <w:rPr>
          <w:rFonts w:hint="eastAsia" w:ascii="仿宋_GB2312" w:hAnsi="仿宋" w:eastAsia="仿宋_GB2312" w:cs="仿宋"/>
          <w:sz w:val="32"/>
          <w:szCs w:val="32"/>
          <w:lang w:eastAsia="zh-CN"/>
        </w:rPr>
        <w:t>及人防综合大楼</w:t>
      </w:r>
      <w:r>
        <w:rPr>
          <w:rFonts w:hint="eastAsia" w:ascii="仿宋_GB2312" w:hAnsi="仿宋" w:eastAsia="仿宋_GB2312" w:cs="仿宋"/>
          <w:sz w:val="32"/>
          <w:szCs w:val="32"/>
        </w:rPr>
        <w:t>机关后勤服务保障工作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负责区级机关事业单位房屋清查登记工作，负责办公用房规划、建设、配置、租赁和使用管理等服务保障工作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统筹推进全区公共机构</w:t>
      </w:r>
      <w:r>
        <w:rPr>
          <w:rFonts w:hint="eastAsia" w:ascii="仿宋_GB2312" w:hAnsi="仿宋" w:eastAsia="仿宋_GB2312" w:cs="仿宋"/>
          <w:sz w:val="32"/>
          <w:szCs w:val="32"/>
          <w:lang w:eastAsia="zh-CN"/>
        </w:rPr>
        <w:t>节能及垃圾分类</w:t>
      </w:r>
      <w:r>
        <w:rPr>
          <w:rFonts w:hint="eastAsia" w:ascii="仿宋_GB2312" w:hAnsi="仿宋" w:eastAsia="仿宋_GB2312" w:cs="仿宋"/>
          <w:sz w:val="32"/>
          <w:szCs w:val="32"/>
        </w:rPr>
        <w:t>工作，参与拟订相关管理制度并组织实施</w:t>
      </w:r>
      <w:r>
        <w:rPr>
          <w:rFonts w:hint="eastAsia" w:ascii="仿宋_GB2312" w:hAnsi="仿宋" w:eastAsia="仿宋_GB2312" w:cs="仿宋"/>
          <w:sz w:val="32"/>
          <w:szCs w:val="32"/>
          <w:lang w:eastAsia="zh-CN"/>
        </w:rPr>
        <w:t>；负责</w:t>
      </w:r>
      <w:r>
        <w:rPr>
          <w:rFonts w:hint="eastAsia" w:ascii="仿宋_GB2312" w:hAnsi="仿宋" w:eastAsia="仿宋_GB2312" w:cs="仿宋"/>
          <w:sz w:val="32"/>
          <w:szCs w:val="32"/>
        </w:rPr>
        <w:t>全区公务用车财政保障平台车辆的日常管理服务</w:t>
      </w:r>
      <w:r>
        <w:rPr>
          <w:rFonts w:hint="eastAsia" w:ascii="仿宋_GB2312" w:hAnsi="仿宋" w:eastAsia="仿宋_GB2312" w:cs="仿宋"/>
          <w:sz w:val="32"/>
          <w:szCs w:val="32"/>
          <w:lang w:eastAsia="zh-CN"/>
        </w:rPr>
        <w:t>工作；承担区委、区政府机关及人防综合楼</w:t>
      </w:r>
      <w:r>
        <w:rPr>
          <w:rFonts w:hint="eastAsia" w:ascii="仿宋_GB2312" w:hAnsi="仿宋" w:eastAsia="仿宋_GB2312" w:cs="仿宋"/>
          <w:sz w:val="32"/>
          <w:szCs w:val="32"/>
        </w:rPr>
        <w:t>办公区安全保卫、应急预防、人民防空及</w:t>
      </w:r>
      <w:r>
        <w:rPr>
          <w:rFonts w:hint="eastAsia" w:ascii="仿宋_GB2312" w:hAnsi="仿宋" w:eastAsia="仿宋_GB2312" w:cs="仿宋"/>
          <w:sz w:val="32"/>
          <w:szCs w:val="32"/>
          <w:lang w:eastAsia="zh-CN"/>
        </w:rPr>
        <w:t>垃圾分类、</w:t>
      </w:r>
      <w:r>
        <w:rPr>
          <w:rFonts w:hint="eastAsia" w:ascii="仿宋_GB2312" w:hAnsi="仿宋" w:eastAsia="仿宋_GB2312" w:cs="仿宋"/>
          <w:sz w:val="32"/>
          <w:szCs w:val="32"/>
        </w:rPr>
        <w:t>环卫绿化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社会事务管理等工作。</w:t>
      </w:r>
    </w:p>
    <w:p>
      <w:pPr>
        <w:spacing w:line="578" w:lineRule="exact"/>
        <w:ind w:firstLine="643" w:firstLineChars="200"/>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单位设</w:t>
      </w:r>
      <w:r>
        <w:rPr>
          <w:rFonts w:hint="eastAsia" w:ascii="仿宋_GB2312" w:hAnsi="仿宋" w:eastAsia="仿宋_GB2312" w:cs="仿宋"/>
          <w:sz w:val="32"/>
          <w:szCs w:val="32"/>
        </w:rPr>
        <w:t>主任1名，</w:t>
      </w:r>
      <w:r>
        <w:rPr>
          <w:rFonts w:hint="eastAsia" w:ascii="仿宋_GB2312" w:hAnsi="仿宋" w:eastAsia="仿宋_GB2312" w:cs="仿宋"/>
          <w:sz w:val="32"/>
          <w:szCs w:val="32"/>
          <w:lang w:eastAsia="zh-CN"/>
        </w:rPr>
        <w:t>五级职员</w:t>
      </w:r>
      <w:r>
        <w:rPr>
          <w:rFonts w:hint="eastAsia" w:ascii="仿宋_GB2312" w:hAnsi="仿宋" w:eastAsia="仿宋_GB2312" w:cs="仿宋"/>
          <w:sz w:val="32"/>
          <w:szCs w:val="32"/>
          <w:lang w:val="en-US" w:eastAsia="zh-CN"/>
        </w:rPr>
        <w:t>1名，</w:t>
      </w:r>
      <w:r>
        <w:rPr>
          <w:rFonts w:hint="eastAsia" w:ascii="仿宋_GB2312" w:hAnsi="仿宋" w:eastAsia="仿宋_GB2312" w:cs="仿宋"/>
          <w:sz w:val="32"/>
          <w:szCs w:val="32"/>
        </w:rPr>
        <w:t>副主任3名；</w:t>
      </w:r>
      <w:r>
        <w:rPr>
          <w:rFonts w:hint="eastAsia" w:ascii="仿宋_GB2312" w:hAnsi="仿宋" w:eastAsia="仿宋_GB2312" w:cs="仿宋"/>
          <w:sz w:val="32"/>
          <w:szCs w:val="32"/>
          <w:lang w:eastAsia="zh-CN"/>
        </w:rPr>
        <w:t>正科级</w:t>
      </w:r>
      <w:r>
        <w:rPr>
          <w:rFonts w:hint="eastAsia" w:ascii="仿宋_GB2312" w:hAnsi="仿宋" w:eastAsia="仿宋_GB2312" w:cs="仿宋"/>
          <w:sz w:val="32"/>
          <w:szCs w:val="32"/>
        </w:rPr>
        <w:t>领导职数7名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2020年</w:t>
      </w:r>
      <w:r>
        <w:rPr>
          <w:rFonts w:hint="eastAsia" w:ascii="仿宋_GB2312" w:hAnsi="仿宋" w:eastAsia="仿宋_GB2312" w:cs="仿宋"/>
          <w:sz w:val="32"/>
          <w:szCs w:val="32"/>
        </w:rPr>
        <w:t>年末</w:t>
      </w:r>
      <w:r>
        <w:rPr>
          <w:rFonts w:hint="eastAsia" w:ascii="仿宋_GB2312" w:hAnsi="仿宋" w:eastAsia="仿宋_GB2312" w:cs="仿宋"/>
          <w:sz w:val="32"/>
          <w:szCs w:val="32"/>
          <w:lang w:val="en-US" w:eastAsia="zh-CN"/>
        </w:rPr>
        <w:t>32</w:t>
      </w:r>
      <w:r>
        <w:rPr>
          <w:rFonts w:hint="eastAsia" w:ascii="仿宋_GB2312" w:hAnsi="仿宋" w:eastAsia="仿宋_GB2312" w:cs="仿宋"/>
          <w:sz w:val="32"/>
          <w:szCs w:val="32"/>
        </w:rPr>
        <w:t>人</w:t>
      </w:r>
      <w:r>
        <w:rPr>
          <w:rFonts w:hint="eastAsia" w:ascii="仿宋_GB2312" w:hAnsi="仿宋" w:eastAsia="仿宋_GB2312"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ascii="黑体" w:hAnsi="宋体" w:eastAsia="黑体"/>
          <w:color w:val="000000"/>
          <w:kern w:val="0"/>
          <w:sz w:val="32"/>
          <w:szCs w:val="32"/>
          <w:highlight w:val="none"/>
          <w:lang w:bidi="ar"/>
        </w:rPr>
        <w:t>二、</w:t>
      </w:r>
      <w:r>
        <w:rPr>
          <w:rFonts w:hint="eastAsia" w:ascii="黑体" w:hAnsi="宋体" w:eastAsia="黑体"/>
          <w:color w:val="000000"/>
          <w:kern w:val="0"/>
          <w:sz w:val="32"/>
          <w:szCs w:val="32"/>
          <w:highlight w:val="none"/>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lang w:eastAsia="zh-CN"/>
        </w:rPr>
        <w:t>2020年度</w:t>
      </w:r>
      <w:r>
        <w:rPr>
          <w:rFonts w:hint="eastAsia" w:ascii="仿宋_GB2312" w:hAnsi="仿宋_GB2312" w:eastAsia="仿宋_GB2312" w:cs="仿宋_GB2312"/>
          <w:sz w:val="32"/>
          <w:szCs w:val="32"/>
          <w:highlight w:val="none"/>
        </w:rPr>
        <w:t>本部门决算编制范围的单位共</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本级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无</w:t>
      </w:r>
      <w:r>
        <w:rPr>
          <w:rFonts w:ascii="仿宋_GB2312" w:hAnsi="仿宋_GB2312" w:eastAsia="仿宋_GB2312" w:cs="仿宋_GB2312"/>
          <w:color w:val="000000"/>
          <w:kern w:val="0"/>
          <w:sz w:val="31"/>
          <w:szCs w:val="31"/>
          <w:highlight w:val="none"/>
          <w:lang w:bidi="ar"/>
        </w:rPr>
        <w:t>二级预算</w:t>
      </w:r>
      <w:r>
        <w:rPr>
          <w:rFonts w:hint="eastAsia" w:ascii="仿宋_GB2312" w:hAnsi="仿宋_GB2312" w:eastAsia="仿宋_GB2312" w:cs="仿宋_GB2312"/>
          <w:sz w:val="32"/>
          <w:szCs w:val="32"/>
          <w:highlight w:val="none"/>
        </w:rPr>
        <w:t>单位：</w:t>
      </w:r>
    </w:p>
    <w:tbl>
      <w:tblPr>
        <w:tblStyle w:val="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序号</w:t>
            </w:r>
          </w:p>
        </w:tc>
        <w:tc>
          <w:tcPr>
            <w:tcW w:w="7278"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7278"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阎良区机关事务服务中心</w:t>
            </w:r>
            <w:r>
              <w:rPr>
                <w:rFonts w:hint="eastAsia" w:ascii="仿宋_GB2312" w:hAnsi="仿宋_GB2312" w:eastAsia="仿宋_GB2312" w:cs="仿宋_GB2312"/>
                <w:sz w:val="32"/>
                <w:szCs w:val="32"/>
                <w:highlight w:val="none"/>
              </w:rPr>
              <w:t>部门本级（机关）</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spacing w:line="560" w:lineRule="exact"/>
        <w:ind w:firstLine="640" w:firstLineChars="200"/>
        <w:rPr>
          <w:rFonts w:hint="eastAsia" w:ascii="仿宋_GB2312" w:hAnsi="仿宋" w:eastAsia="仿宋_GB2312" w:cs="仿宋"/>
          <w:kern w:val="0"/>
          <w:szCs w:val="32"/>
          <w:highlight w:val="none"/>
          <w:lang w:eastAsia="zh-CN"/>
        </w:rPr>
      </w:pPr>
      <w:r>
        <w:rPr>
          <w:rFonts w:hint="eastAsia" w:ascii="仿宋_GB2312" w:hAnsi="仿宋_GB2312" w:eastAsia="仿宋_GB2312" w:cs="仿宋_GB2312"/>
          <w:color w:val="000000"/>
          <w:sz w:val="32"/>
          <w:szCs w:val="32"/>
          <w:lang w:eastAsia="zh-CN"/>
        </w:rPr>
        <w:pict>
          <v:shape id="Object 1" o:spid="_x0000_s1026" o:spt="75" type="#_x0000_t75" style="position:absolute;left:0pt;margin-left:109pt;margin-top:85.2pt;height:174.2pt;width:248.6pt;mso-wrap-distance-bottom:0pt;mso-wrap-distance-top:0pt;z-index:251659264;mso-width-relative:page;mso-height-relative:page;" o:ole="t" filled="f" o:preferrelative="t" stroked="f" coordsize="21600,21600" o:gfxdata="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">
            <v:path/>
            <v:fill on="f" focussize="0,0"/>
            <v:stroke on="f"/>
            <v:imagedata r:id="rId7" o:title=""/>
            <o:lock v:ext="edit" aspectratio="f"/>
            <w10:wrap type="topAndBottom"/>
          </v:shape>
          <o:OLEObject Type="Embed" ProgID="Office12.wks.Sheet.8" ShapeID="Object 1" DrawAspect="Content" ObjectID="_1468075725" r:id="rId6">
            <o:LockedField>false</o:LockedField>
          </o:OLEObject>
        </w:pict>
      </w:r>
      <w:r>
        <w:rPr>
          <w:rFonts w:hint="eastAsia" w:ascii="仿宋_GB2312" w:hAnsi="仿宋" w:eastAsia="仿宋_GB2312" w:cs="仿宋"/>
          <w:kern w:val="0"/>
          <w:szCs w:val="32"/>
          <w:highlight w:val="none"/>
        </w:rPr>
        <w:t>截止20</w:t>
      </w:r>
      <w:r>
        <w:rPr>
          <w:rFonts w:hint="eastAsia" w:ascii="仿宋_GB2312" w:hAnsi="仿宋" w:eastAsia="仿宋_GB2312" w:cs="仿宋"/>
          <w:kern w:val="0"/>
          <w:szCs w:val="32"/>
          <w:highlight w:val="none"/>
          <w:lang w:val="en-US" w:eastAsia="zh-CN"/>
        </w:rPr>
        <w:t>20</w:t>
      </w:r>
      <w:r>
        <w:rPr>
          <w:rFonts w:hint="eastAsia" w:ascii="仿宋_GB2312" w:hAnsi="仿宋" w:eastAsia="仿宋_GB2312" w:cs="仿宋"/>
          <w:kern w:val="0"/>
          <w:szCs w:val="32"/>
          <w:highlight w:val="none"/>
        </w:rPr>
        <w:t>年底，本部门人员编制</w:t>
      </w:r>
      <w:r>
        <w:rPr>
          <w:rFonts w:hint="eastAsia" w:ascii="仿宋_GB2312" w:hAnsi="仿宋" w:eastAsia="仿宋_GB2312" w:cs="仿宋"/>
          <w:kern w:val="0"/>
          <w:szCs w:val="32"/>
          <w:highlight w:val="none"/>
          <w:lang w:val="en-US" w:eastAsia="zh-CN"/>
        </w:rPr>
        <w:t>41</w:t>
      </w:r>
      <w:r>
        <w:rPr>
          <w:rFonts w:hint="eastAsia" w:ascii="仿宋_GB2312" w:hAnsi="仿宋" w:eastAsia="仿宋_GB2312" w:cs="仿宋"/>
          <w:kern w:val="0"/>
          <w:szCs w:val="32"/>
          <w:highlight w:val="none"/>
        </w:rPr>
        <w:t>人，其中事业编制</w:t>
      </w:r>
      <w:r>
        <w:rPr>
          <w:rFonts w:hint="eastAsia" w:ascii="仿宋_GB2312" w:hAnsi="仿宋" w:eastAsia="仿宋_GB2312" w:cs="仿宋"/>
          <w:kern w:val="0"/>
          <w:szCs w:val="32"/>
          <w:highlight w:val="none"/>
          <w:lang w:val="en-US" w:eastAsia="zh-CN"/>
        </w:rPr>
        <w:t>41</w:t>
      </w:r>
      <w:r>
        <w:rPr>
          <w:rFonts w:hint="eastAsia" w:ascii="仿宋_GB2312" w:hAnsi="仿宋" w:eastAsia="仿宋_GB2312" w:cs="仿宋"/>
          <w:kern w:val="0"/>
          <w:szCs w:val="32"/>
          <w:highlight w:val="none"/>
        </w:rPr>
        <w:t>人；实有人员</w:t>
      </w:r>
      <w:r>
        <w:rPr>
          <w:rFonts w:hint="eastAsia" w:ascii="仿宋_GB2312" w:hAnsi="仿宋" w:eastAsia="仿宋_GB2312" w:cs="仿宋"/>
          <w:kern w:val="0"/>
          <w:szCs w:val="32"/>
          <w:highlight w:val="none"/>
          <w:lang w:val="en-US" w:eastAsia="zh-CN"/>
        </w:rPr>
        <w:t>32</w:t>
      </w:r>
      <w:r>
        <w:rPr>
          <w:rFonts w:hint="eastAsia" w:ascii="仿宋_GB2312" w:hAnsi="仿宋" w:eastAsia="仿宋_GB2312" w:cs="仿宋"/>
          <w:kern w:val="0"/>
          <w:szCs w:val="32"/>
          <w:highlight w:val="none"/>
        </w:rPr>
        <w:t>人，其中事业</w:t>
      </w:r>
      <w:r>
        <w:rPr>
          <w:rFonts w:hint="eastAsia" w:ascii="仿宋_GB2312" w:hAnsi="仿宋" w:eastAsia="仿宋_GB2312" w:cs="仿宋"/>
          <w:kern w:val="0"/>
          <w:szCs w:val="32"/>
          <w:highlight w:val="none"/>
          <w:lang w:val="en-US" w:eastAsia="zh-CN"/>
        </w:rPr>
        <w:t>32</w:t>
      </w:r>
      <w:r>
        <w:rPr>
          <w:rFonts w:hint="eastAsia" w:ascii="仿宋_GB2312" w:hAnsi="仿宋" w:eastAsia="仿宋_GB2312" w:cs="仿宋"/>
          <w:kern w:val="0"/>
          <w:szCs w:val="32"/>
          <w:highlight w:val="none"/>
        </w:rPr>
        <w:t>人。单位管理的离退休人员</w:t>
      </w:r>
      <w:r>
        <w:rPr>
          <w:rFonts w:hint="eastAsia" w:ascii="仿宋_GB2312" w:hAnsi="仿宋" w:eastAsia="仿宋_GB2312" w:cs="仿宋"/>
          <w:kern w:val="0"/>
          <w:szCs w:val="32"/>
          <w:highlight w:val="none"/>
          <w:lang w:val="en-US" w:eastAsia="zh-CN"/>
        </w:rPr>
        <w:t>0</w:t>
      </w:r>
      <w:r>
        <w:rPr>
          <w:rFonts w:hint="eastAsia" w:ascii="仿宋_GB2312" w:hAnsi="仿宋" w:eastAsia="仿宋_GB2312" w:cs="仿宋"/>
          <w:kern w:val="0"/>
          <w:szCs w:val="32"/>
          <w:highlight w:val="none"/>
        </w:rPr>
        <w:t>人。</w:t>
      </w:r>
      <w:r>
        <w:rPr>
          <w:rFonts w:hint="eastAsia" w:ascii="仿宋_GB2312" w:hAnsi="仿宋" w:eastAsia="仿宋_GB2312" w:cs="仿宋"/>
          <w:kern w:val="0"/>
          <w:szCs w:val="32"/>
          <w:highlight w:val="none"/>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6" r:id="rId8">
            <o:LockedField>false</o:LockedField>
          </o:OLEObject>
        </w:objec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jc w:val="center"/>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8"/>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562"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2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1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92"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61"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2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rPr>
            </w:pPr>
          </w:p>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不涉及此项业务</w:t>
            </w:r>
          </w:p>
        </w:tc>
      </w:tr>
      <w:tr>
        <w:tblPrEx>
          <w:tblCellMar>
            <w:top w:w="0" w:type="dxa"/>
            <w:left w:w="0" w:type="dxa"/>
            <w:bottom w:w="0" w:type="dxa"/>
            <w:right w:w="0" w:type="dxa"/>
          </w:tblCellMar>
        </w:tblPrEx>
        <w:trPr>
          <w:trHeight w:val="60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不涉及此项业务</w:t>
            </w: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tabs>
                <w:tab w:val="left" w:pos="545"/>
              </w:tabs>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917.46</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964.37</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964.37</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ind w:firstLine="6535" w:firstLineChars="3100"/>
        <w:rPr>
          <w:rFonts w:ascii="宋体" w:hAnsi="宋体" w:eastAsia="宋体" w:cs="宋体"/>
          <w:b/>
          <w:bCs/>
          <w:sz w:val="48"/>
          <w:szCs w:val="48"/>
        </w:rPr>
      </w:pPr>
      <w:r>
        <w:rPr>
          <w:rFonts w:hint="eastAsia" w:ascii="宋体" w:hAnsi="宋体" w:eastAsia="宋体" w:cs="宋体"/>
          <w:b/>
          <w:bCs/>
          <w:sz w:val="21"/>
          <w:szCs w:val="21"/>
        </w:rPr>
        <w:t>金额单位：万元</w:t>
      </w:r>
    </w:p>
    <w:tbl>
      <w:tblPr>
        <w:tblStyle w:val="8"/>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
      <w:pPr>
        <w:ind w:firstLine="3213" w:firstLineChars="1000"/>
        <w:jc w:val="both"/>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48"/>
          <w:szCs w:val="48"/>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523.47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917.46</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917.46</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37.31</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37.31</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89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color w:val="000000"/>
                <w:kern w:val="0"/>
                <w:sz w:val="21"/>
                <w:szCs w:val="21"/>
                <w:lang w:val="en-US"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color w:val="000000"/>
                <w:kern w:val="0"/>
                <w:sz w:val="21"/>
                <w:szCs w:val="21"/>
                <w:lang w:val="en-US" w:eastAsia="zh-CN"/>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val="en-US" w:eastAsia="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964.37</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hint="eastAsia"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9014" w:type="dxa"/>
        <w:tblInd w:w="-237" w:type="dxa"/>
        <w:tblLayout w:type="fixed"/>
        <w:tblCellMar>
          <w:top w:w="15" w:type="dxa"/>
          <w:left w:w="15" w:type="dxa"/>
          <w:bottom w:w="15" w:type="dxa"/>
          <w:right w:w="15" w:type="dxa"/>
        </w:tblCellMar>
      </w:tblPr>
      <w:tblGrid>
        <w:gridCol w:w="1185"/>
        <w:gridCol w:w="2790"/>
        <w:gridCol w:w="735"/>
        <w:gridCol w:w="720"/>
        <w:gridCol w:w="1050"/>
        <w:gridCol w:w="1020"/>
        <w:gridCol w:w="900"/>
        <w:gridCol w:w="614"/>
      </w:tblGrid>
      <w:tr>
        <w:tblPrEx>
          <w:tblCellMar>
            <w:top w:w="15" w:type="dxa"/>
            <w:left w:w="15" w:type="dxa"/>
            <w:bottom w:w="15" w:type="dxa"/>
            <w:right w:w="15" w:type="dxa"/>
          </w:tblCellMar>
        </w:tblPrEx>
        <w:trPr>
          <w:trHeight w:val="414" w:hRule="atLeast"/>
        </w:trPr>
        <w:tc>
          <w:tcPr>
            <w:tcW w:w="39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790"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6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9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964.37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523.47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422.01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101.46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201</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一般公共服务支出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917.45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476.55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375.09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101.46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2010</w:t>
            </w:r>
            <w:r>
              <w:rPr>
                <w:rFonts w:hint="eastAsia" w:ascii="宋体" w:hAnsi="宋体" w:eastAsia="宋体" w:cs="宋体"/>
                <w:color w:val="000000"/>
                <w:kern w:val="0"/>
                <w:sz w:val="21"/>
                <w:szCs w:val="21"/>
                <w:lang w:val="en-US" w:eastAsia="zh-CN"/>
              </w:rPr>
              <w:t>3</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政府办公厅（室）及相关机构事务</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917.45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476.55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375.09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101.46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36"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0303</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机关服务</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818.73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377.83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45.62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440.90</w:t>
            </w: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2010350</w:t>
            </w:r>
          </w:p>
        </w:tc>
        <w:tc>
          <w:tcPr>
            <w:tcW w:w="2790" w:type="dxa"/>
            <w:tcBorders>
              <w:top w:val="single" w:color="000000" w:sz="4" w:space="0"/>
              <w:left w:val="single" w:color="000000" w:sz="4" w:space="0"/>
              <w:bottom w:val="single" w:color="000000" w:sz="4" w:space="0"/>
              <w:right w:val="single" w:color="000000" w:sz="4" w:space="0"/>
            </w:tcBorders>
            <w:vAlign w:val="center"/>
          </w:tcPr>
          <w:p>
            <w:pPr>
              <w:ind w:firstLine="840" w:firstLineChars="4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事业运行</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98.73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98.73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42.88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55.84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社会保障和就业支出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行政事业单位养老支出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卫生健康支出</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21011</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行政事业单位医疗</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2101102</w:t>
            </w: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事业单位医疗</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8817" w:type="dxa"/>
        <w:tblInd w:w="0" w:type="dxa"/>
        <w:tblLayout w:type="fixed"/>
        <w:tblCellMar>
          <w:top w:w="15" w:type="dxa"/>
          <w:left w:w="15" w:type="dxa"/>
          <w:bottom w:w="15" w:type="dxa"/>
          <w:right w:w="15" w:type="dxa"/>
        </w:tblCellMar>
      </w:tblPr>
      <w:tblGrid>
        <w:gridCol w:w="1623"/>
        <w:gridCol w:w="1680"/>
        <w:gridCol w:w="1559"/>
        <w:gridCol w:w="1437"/>
        <w:gridCol w:w="1363"/>
        <w:gridCol w:w="1155"/>
      </w:tblGrid>
      <w:tr>
        <w:tblPrEx>
          <w:tblCellMar>
            <w:top w:w="15" w:type="dxa"/>
            <w:left w:w="15" w:type="dxa"/>
            <w:bottom w:w="15" w:type="dxa"/>
            <w:right w:w="15" w:type="dxa"/>
          </w:tblCellMar>
        </w:tblPrEx>
        <w:trPr>
          <w:trHeight w:val="434" w:hRule="atLeast"/>
        </w:trPr>
        <w:tc>
          <w:tcPr>
            <w:tcW w:w="33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经济分类科目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编码</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3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5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523.47</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422.01</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101.46</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422.01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149.42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149.42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64.67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64.67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30107</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92.01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37.32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37.32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30109</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30110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9.60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30113</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68.99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68.99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63.97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63.97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30201</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14.13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14.13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30202</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印刷费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30204</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电费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30207</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0.59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30211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1.12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30213</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30218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30226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30216</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0.24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30228</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工会经费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7.06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7.06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30231</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15.38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30239</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21.95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21.95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310</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资本性支出</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37.49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37.49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31002</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办公设备购置</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31013</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公务用车购置</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35.96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35.96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Pr>
        <w:ind w:firstLine="1606" w:firstLineChars="500"/>
        <w:jc w:val="both"/>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51.34</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35.96</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15.38</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0.31</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51.34</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35.96</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15.38</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0.31</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Pr>
        <w:ind w:firstLine="964" w:firstLineChars="300"/>
        <w:jc w:val="both"/>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hint="eastAsia"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hint="eastAsia"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阎良区机关事务服务中心</w:t>
      </w:r>
      <w:r>
        <w:rPr>
          <w:rFonts w:hint="eastAsia" w:ascii="宋体" w:hAnsi="宋体" w:eastAsia="宋体" w:cs="宋体"/>
          <w:b/>
          <w:bCs/>
          <w:sz w:val="21"/>
          <w:szCs w:val="21"/>
        </w:rPr>
        <w:t xml:space="preserve">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both"/>
        <w:rPr>
          <w:rFonts w:hint="eastAsia" w:ascii="黑体" w:hAnsi="宋体" w:eastAsia="黑体"/>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snapToGrid w:val="0"/>
        <w:ind w:firstLine="640" w:firstLineChars="200"/>
        <w:rPr>
          <w:rFonts w:hint="eastAsia" w:ascii="仿宋" w:hAnsi="仿宋" w:eastAsia="仿宋" w:cs="仿宋"/>
          <w:sz w:val="32"/>
          <w:szCs w:val="32"/>
          <w:lang w:eastAsia="zh-CN" w:bidi="ar"/>
        </w:rPr>
      </w:pPr>
      <w:r>
        <w:rPr>
          <w:rFonts w:hint="eastAsia" w:ascii="仿宋" w:hAnsi="仿宋" w:eastAsia="仿宋" w:cs="仿宋"/>
          <w:sz w:val="32"/>
          <w:szCs w:val="32"/>
          <w:lang w:val="en-US" w:eastAsia="zh-CN" w:bidi="ar"/>
        </w:rPr>
        <w:t>2020年全年总收入964.37万元。全部为一般公共服务财政拨款收入，比上年增加151%，</w:t>
      </w:r>
      <w:r>
        <w:rPr>
          <w:rFonts w:hint="eastAsia" w:ascii="仿宋" w:hAnsi="仿宋" w:eastAsia="仿宋" w:cs="仿宋"/>
          <w:sz w:val="32"/>
          <w:szCs w:val="32"/>
          <w:lang w:eastAsia="zh-CN" w:bidi="ar"/>
        </w:rPr>
        <w:t>主要原因是本单位为机改新成立单位，由于人员和业务范围不断增加，人员经费和项目经费增加。</w:t>
      </w:r>
    </w:p>
    <w:p>
      <w:pPr>
        <w:snapToGrid w:val="0"/>
        <w:ind w:firstLine="640" w:firstLineChars="200"/>
        <w:rPr>
          <w:rFonts w:hint="eastAsia" w:ascii="仿宋" w:hAnsi="仿宋" w:eastAsia="仿宋" w:cs="仿宋"/>
          <w:kern w:val="2"/>
          <w:sz w:val="32"/>
          <w:szCs w:val="32"/>
          <w:lang w:val="en-US" w:eastAsia="zh-CN" w:bidi="ar"/>
        </w:rPr>
      </w:pPr>
      <w:r>
        <w:drawing>
          <wp:inline distT="0" distB="0" distL="0" distR="0">
            <wp:extent cx="4572000" cy="2743200"/>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napToGrid w:val="0"/>
        <w:ind w:firstLine="640" w:firstLineChars="200"/>
        <w:rPr>
          <w:rFonts w:hint="eastAsia" w:ascii="仿宋" w:hAnsi="仿宋" w:eastAsia="仿宋" w:cs="仿宋"/>
          <w:sz w:val="32"/>
          <w:szCs w:val="32"/>
          <w:lang w:eastAsia="zh-CN" w:bidi="ar"/>
        </w:rPr>
      </w:pPr>
      <w:r>
        <w:rPr>
          <w:rFonts w:hint="eastAsia" w:ascii="仿宋" w:hAnsi="仿宋" w:eastAsia="仿宋" w:cs="仿宋"/>
          <w:kern w:val="2"/>
          <w:sz w:val="32"/>
          <w:szCs w:val="32"/>
          <w:lang w:val="en-US" w:eastAsia="zh-CN" w:bidi="ar"/>
        </w:rPr>
        <w:t>2020年全年支出964.37万元，</w:t>
      </w:r>
      <w:r>
        <w:rPr>
          <w:rFonts w:hint="eastAsia" w:ascii="仿宋" w:hAnsi="仿宋" w:eastAsia="仿宋" w:cs="仿宋"/>
          <w:sz w:val="32"/>
          <w:szCs w:val="32"/>
          <w:lang w:val="en-US" w:eastAsia="zh-CN" w:bidi="ar"/>
        </w:rPr>
        <w:t>比上年增加151%，</w:t>
      </w:r>
      <w:r>
        <w:rPr>
          <w:rFonts w:hint="eastAsia" w:ascii="仿宋" w:hAnsi="仿宋" w:eastAsia="仿宋" w:cs="仿宋"/>
          <w:sz w:val="32"/>
          <w:szCs w:val="32"/>
          <w:lang w:eastAsia="zh-CN" w:bidi="ar"/>
        </w:rPr>
        <w:t>主要原因是本单位为机改新成立单位，由于人员和业务范围不断增加，人员和项目支出经费增加。</w:t>
      </w:r>
    </w:p>
    <w:p>
      <w:pPr>
        <w:pStyle w:val="2"/>
        <w:rPr>
          <w:rFonts w:hint="eastAsia"/>
          <w:lang w:val="en-US" w:eastAsia="zh-CN"/>
        </w:rPr>
      </w:pPr>
      <w:r>
        <w:drawing>
          <wp:inline distT="0" distB="0" distL="0" distR="0">
            <wp:extent cx="4572000" cy="2743200"/>
            <wp:effectExtent l="0" t="0" r="0" b="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640" w:leftChars="200" w:firstLine="0" w:firstLineChars="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全部为</w:t>
      </w:r>
      <w:r>
        <w:rPr>
          <w:rFonts w:ascii="仿宋_GB2312" w:hAnsi="宋体" w:eastAsia="仿宋_GB2312" w:cs="仿宋_GB2312"/>
          <w:color w:val="000000"/>
          <w:kern w:val="0"/>
          <w:sz w:val="32"/>
          <w:szCs w:val="32"/>
          <w:lang w:bidi="ar"/>
        </w:rPr>
        <w:t>财政拨款收入</w:t>
      </w:r>
      <w:r>
        <w:rPr>
          <w:rFonts w:hint="eastAsia" w:ascii="仿宋_GB2312" w:hAnsi="宋体" w:eastAsia="仿宋_GB2312" w:cs="仿宋_GB2312"/>
          <w:color w:val="000000"/>
          <w:kern w:val="0"/>
          <w:sz w:val="32"/>
          <w:szCs w:val="32"/>
          <w:lang w:eastAsia="zh-CN" w:bidi="ar"/>
        </w:rPr>
        <w:t>。</w:t>
      </w:r>
    </w:p>
    <w:p>
      <w:pPr>
        <w:pStyle w:val="2"/>
        <w:rPr>
          <w:rFonts w:hint="eastAsia" w:ascii="仿宋_GB2312" w:hAnsi="宋体" w:eastAsia="仿宋_GB2312" w:cs="仿宋_GB2312"/>
          <w:color w:val="000000"/>
          <w:kern w:val="0"/>
          <w:sz w:val="32"/>
          <w:szCs w:val="32"/>
          <w:lang w:eastAsia="zh-CN" w:bidi="ar"/>
        </w:rPr>
      </w:pPr>
      <w:r>
        <w:drawing>
          <wp:inline distT="0" distB="0" distL="0" distR="0">
            <wp:extent cx="4600575" cy="3200400"/>
            <wp:effectExtent l="0" t="0" r="9525"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523.47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54</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440.90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46</w:t>
      </w:r>
      <w:r>
        <w:rPr>
          <w:rFonts w:ascii="仿宋_GB2312" w:hAnsi="宋体" w:eastAsia="仿宋_GB2312" w:cs="仿宋_GB2312"/>
          <w:color w:val="000000"/>
          <w:kern w:val="0"/>
          <w:sz w:val="32"/>
          <w:szCs w:val="32"/>
          <w:lang w:bidi="ar"/>
        </w:rPr>
        <w:t>%；</w:t>
      </w:r>
    </w:p>
    <w:p>
      <w:pPr>
        <w:pStyle w:val="2"/>
      </w:pPr>
      <w:r>
        <w:drawing>
          <wp:inline distT="0" distB="0" distL="0" distR="0">
            <wp:extent cx="4572000" cy="2743200"/>
            <wp:effectExtent l="0" t="0" r="0" b="0"/>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snapToGrid w:val="0"/>
        <w:ind w:firstLine="640" w:firstLineChars="200"/>
        <w:rPr>
          <w:rFonts w:hint="eastAsia" w:ascii="仿宋" w:hAnsi="仿宋" w:eastAsia="仿宋" w:cs="仿宋"/>
          <w:sz w:val="32"/>
          <w:szCs w:val="32"/>
          <w:lang w:eastAsia="zh-CN" w:bidi="ar"/>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收入总体情况</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580.43</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151%</w:t>
      </w:r>
      <w:r>
        <w:rPr>
          <w:rFonts w:hint="eastAsia" w:ascii="仿宋_GB2312" w:hAnsi="仿宋" w:eastAsia="仿宋_GB2312"/>
          <w:sz w:val="32"/>
          <w:szCs w:val="32"/>
        </w:rPr>
        <w:t>，</w:t>
      </w:r>
      <w:r>
        <w:rPr>
          <w:rFonts w:hint="eastAsia" w:ascii="仿宋" w:hAnsi="仿宋" w:eastAsia="仿宋" w:cs="仿宋"/>
          <w:sz w:val="32"/>
          <w:szCs w:val="32"/>
          <w:lang w:eastAsia="zh-CN" w:bidi="ar"/>
        </w:rPr>
        <w:t>主要原因是本单位为机改新成立单位，由于人员和业务范围不断增加，人员经费和项目经费增加。</w:t>
      </w:r>
    </w:p>
    <w:p>
      <w:pPr>
        <w:snapToGrid w:val="0"/>
        <w:ind w:firstLine="640" w:firstLineChars="200"/>
        <w:rPr>
          <w:rFonts w:hint="eastAsia" w:ascii="仿宋" w:hAnsi="仿宋" w:eastAsia="仿宋" w:cs="仿宋"/>
          <w:sz w:val="32"/>
          <w:szCs w:val="32"/>
          <w:lang w:eastAsia="zh-CN" w:bidi="ar"/>
        </w:rPr>
      </w:pPr>
      <w:r>
        <w:drawing>
          <wp:inline distT="0" distB="0" distL="0" distR="0">
            <wp:extent cx="4572000" cy="2743200"/>
            <wp:effectExtent l="0" t="0" r="0" b="0"/>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rPr>
          <w:rFonts w:hint="eastAsia"/>
          <w:lang w:eastAsia="zh-CN"/>
        </w:rPr>
      </w:pPr>
    </w:p>
    <w:p>
      <w:pPr>
        <w:snapToGrid w:val="0"/>
        <w:ind w:firstLine="640" w:firstLineChars="200"/>
        <w:rPr>
          <w:rFonts w:hint="eastAsia" w:ascii="仿宋" w:hAnsi="仿宋" w:eastAsia="仿宋" w:cs="仿宋"/>
          <w:sz w:val="32"/>
          <w:szCs w:val="32"/>
          <w:lang w:eastAsia="zh-CN" w:bidi="ar"/>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支出总体情况</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580.43</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151%</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w:t>
      </w:r>
      <w:r>
        <w:rPr>
          <w:rFonts w:hint="eastAsia" w:ascii="仿宋" w:hAnsi="仿宋" w:eastAsia="仿宋" w:cs="仿宋"/>
          <w:sz w:val="32"/>
          <w:szCs w:val="32"/>
          <w:lang w:eastAsia="zh-CN" w:bidi="ar"/>
        </w:rPr>
        <w:t>由于人员和业务范围不断增加，人员和项目支出经费增加。</w:t>
      </w:r>
    </w:p>
    <w:p>
      <w:pPr>
        <w:pStyle w:val="2"/>
        <w:rPr>
          <w:rFonts w:hint="eastAsia"/>
          <w:lang w:val="en-US" w:eastAsia="zh-CN"/>
        </w:rPr>
      </w:pPr>
      <w:r>
        <w:drawing>
          <wp:inline distT="0" distB="0" distL="0" distR="0">
            <wp:extent cx="4572000" cy="2743200"/>
            <wp:effectExtent l="0" t="0" r="0" b="0"/>
            <wp:docPr id="1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snapToGrid w:val="0"/>
        <w:ind w:firstLine="640" w:firstLineChars="200"/>
        <w:rPr>
          <w:rFonts w:hint="eastAsia" w:ascii="仿宋" w:hAnsi="仿宋" w:eastAsia="仿宋" w:cs="仿宋"/>
          <w:sz w:val="32"/>
          <w:szCs w:val="32"/>
          <w:lang w:eastAsia="zh-CN"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580.43</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151</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 w:hAnsi="仿宋" w:eastAsia="仿宋" w:cs="仿宋"/>
          <w:sz w:val="32"/>
          <w:szCs w:val="32"/>
          <w:lang w:eastAsia="zh-CN" w:bidi="ar"/>
        </w:rPr>
        <w:t>由于人员和业务范围不断增加，人员和项目支出经费增加。</w:t>
      </w:r>
    </w:p>
    <w:p>
      <w:pPr>
        <w:pStyle w:val="2"/>
        <w:rPr>
          <w:rFonts w:hint="eastAsia"/>
          <w:lang w:val="en-US" w:eastAsia="zh-CN"/>
        </w:rPr>
      </w:pPr>
      <w:r>
        <w:drawing>
          <wp:inline distT="0" distB="0" distL="0" distR="0">
            <wp:extent cx="4572000" cy="274320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964.37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 xml:space="preserve">1.一般公共服务支出（类）财政事务（款）行政运行（项）。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917.45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917.45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持平</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eastAsia="zh-CN" w:bidi="ar"/>
        </w:rPr>
        <w:t>社会保障和就业支出</w:t>
      </w:r>
      <w:r>
        <w:rPr>
          <w:rFonts w:hint="eastAsia" w:ascii="仿宋_GB2312" w:hAnsi="宋体" w:eastAsia="仿宋_GB2312" w:cs="仿宋_GB2312"/>
          <w:b/>
          <w:color w:val="000000"/>
          <w:kern w:val="0"/>
          <w:sz w:val="32"/>
          <w:szCs w:val="32"/>
          <w:lang w:bidi="ar"/>
        </w:rPr>
        <w:t>。</w:t>
      </w:r>
    </w:p>
    <w:p>
      <w:pPr>
        <w:pStyle w:val="2"/>
        <w:numPr>
          <w:ilvl w:val="0"/>
          <w:numId w:val="0"/>
        </w:numPr>
        <w:ind w:firstLine="640"/>
        <w:rPr>
          <w:rFonts w:hint="eastAsia"/>
          <w:lang w:val="en-US" w:eastAsia="zh-CN"/>
        </w:rPr>
      </w:pPr>
      <w:r>
        <w:rPr>
          <w:rFonts w:hint="eastAsia"/>
          <w:lang w:val="en-US" w:eastAsia="zh-CN"/>
        </w:rPr>
        <w:t>年初预算为37.32万元，支出 决算为37.32万元，完成年初预算的100%，决算数与预算数持平。</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卫生健康支出</w:t>
      </w:r>
    </w:p>
    <w:p>
      <w:pPr>
        <w:pStyle w:val="2"/>
        <w:numPr>
          <w:ilvl w:val="0"/>
          <w:numId w:val="0"/>
        </w:numPr>
        <w:ind w:firstLine="640"/>
        <w:rPr>
          <w:rFonts w:hint="eastAsia"/>
          <w:lang w:val="en-US" w:eastAsia="zh-CN"/>
        </w:rPr>
      </w:pPr>
      <w:r>
        <w:rPr>
          <w:rFonts w:hint="eastAsia"/>
          <w:lang w:val="en-US" w:eastAsia="zh-CN"/>
        </w:rPr>
        <w:t>年初预算为9.60万元，支出 决算为9.60万元，完成年初预算的100%，决算数与预算数持平。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2020年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523.47</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422.01</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101.46</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422.01</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基本工资</w:t>
      </w:r>
      <w:r>
        <w:rPr>
          <w:rFonts w:hint="eastAsia" w:ascii="仿宋_GB2312" w:hAnsi="宋体" w:eastAsia="仿宋_GB2312" w:cs="仿宋_GB2312"/>
          <w:color w:val="000000"/>
          <w:kern w:val="0"/>
          <w:sz w:val="32"/>
          <w:szCs w:val="32"/>
          <w:lang w:val="en-US" w:eastAsia="zh-CN" w:bidi="ar"/>
        </w:rPr>
        <w:t>149.42</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64.67万元，绩效工资92.01，机关事业单位基本养老保险缴费37.32万元，住房公积金68.99万元。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101.46</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办公费</w:t>
      </w:r>
      <w:r>
        <w:rPr>
          <w:rFonts w:hint="eastAsia" w:ascii="仿宋_GB2312" w:hAnsi="宋体" w:eastAsia="仿宋_GB2312" w:cs="仿宋_GB2312"/>
          <w:color w:val="000000"/>
          <w:kern w:val="0"/>
          <w:sz w:val="32"/>
          <w:szCs w:val="32"/>
          <w:lang w:val="en-US" w:eastAsia="zh-CN" w:bidi="ar"/>
        </w:rPr>
        <w:t>14.13</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，邮电费</w:t>
      </w:r>
      <w:r>
        <w:rPr>
          <w:rFonts w:hint="eastAsia" w:ascii="仿宋_GB2312" w:hAnsi="宋体" w:eastAsia="仿宋_GB2312" w:cs="仿宋_GB2312"/>
          <w:color w:val="000000"/>
          <w:kern w:val="0"/>
          <w:sz w:val="32"/>
          <w:szCs w:val="32"/>
          <w:lang w:val="en-US" w:eastAsia="zh-CN" w:bidi="ar"/>
        </w:rPr>
        <w:t>0.59万元，差旅费1.12万元，维修（护）费1.38万元，劳务费2.12万元，培训费0.31万元，工会经费7.06万元，公务用车运行维护费15.38万元，其他交通费21.95万元，办公设备购置1.53万元，公务用车购置35.96万元。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51.58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51.58</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决算数与预算数持平。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35.96</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70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15.38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30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万元。具体情况如下：</w:t>
      </w:r>
    </w:p>
    <w:p>
      <w:pPr>
        <w:pStyle w:val="2"/>
      </w:pPr>
      <w:r>
        <w:drawing>
          <wp:inline distT="0" distB="0" distL="0" distR="0">
            <wp:extent cx="4572000" cy="2743200"/>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lang w:eastAsia="zh-CN"/>
        </w:rPr>
        <w:t>2020年度我单位无</w:t>
      </w:r>
      <w:r>
        <w:rPr>
          <w:rFonts w:hint="eastAsia" w:ascii="仿宋_GB2312" w:hAnsi="仿宋" w:eastAsia="仿宋_GB2312"/>
          <w:sz w:val="32"/>
          <w:szCs w:val="32"/>
        </w:rPr>
        <w:t>因公出国（境）</w:t>
      </w:r>
      <w:r>
        <w:rPr>
          <w:rFonts w:hint="eastAsia" w:ascii="仿宋_GB2312" w:hAnsi="仿宋" w:eastAsia="仿宋_GB2312"/>
          <w:sz w:val="32"/>
          <w:szCs w:val="32"/>
          <w:lang w:eastAsia="zh-CN"/>
        </w:rPr>
        <w:t>业务和人员。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35.96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35.96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决算与预算数持平。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15.38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15.38</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决算与预算数持平。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lang w:eastAsia="zh-CN"/>
        </w:rPr>
        <w:t>2020年度我单位无</w:t>
      </w:r>
      <w:r>
        <w:rPr>
          <w:rFonts w:hint="eastAsia" w:ascii="仿宋_GB2312" w:hAnsi="仿宋" w:eastAsia="仿宋_GB2312"/>
          <w:sz w:val="32"/>
          <w:szCs w:val="32"/>
        </w:rPr>
        <w:t>公务接待</w:t>
      </w:r>
      <w:r>
        <w:rPr>
          <w:rFonts w:hint="eastAsia" w:ascii="仿宋_GB2312" w:hAnsi="仿宋" w:eastAsia="仿宋_GB2312"/>
          <w:sz w:val="32"/>
          <w:szCs w:val="32"/>
          <w:lang w:eastAsia="zh-CN"/>
        </w:rPr>
        <w:t>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0.31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0.31</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决算与预算数持平。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lang w:eastAsia="zh-CN"/>
        </w:rPr>
        <w:t>2020年度我单位无</w:t>
      </w:r>
      <w:r>
        <w:rPr>
          <w:rFonts w:hint="eastAsia" w:ascii="仿宋_GB2312" w:hAnsi="仿宋_GB2312" w:eastAsia="仿宋_GB2312" w:cs="仿宋_GB2312"/>
          <w:sz w:val="32"/>
          <w:szCs w:val="32"/>
        </w:rPr>
        <w:t>会议费</w:t>
      </w:r>
      <w:r>
        <w:rPr>
          <w:rFonts w:hint="eastAsia" w:ascii="仿宋_GB2312" w:hAnsi="仿宋_GB2312" w:eastAsia="仿宋_GB2312" w:cs="仿宋_GB2312"/>
          <w:sz w:val="32"/>
          <w:szCs w:val="32"/>
          <w:lang w:eastAsia="zh-CN"/>
        </w:rPr>
        <w:t>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无国有资本经营决算拨款收支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十、</w:t>
      </w:r>
      <w:r>
        <w:rPr>
          <w:rFonts w:hint="eastAsia" w:asciiTheme="minorEastAsia" w:hAnsiTheme="minorEastAsia" w:eastAsiaTheme="minorEastAsia" w:cstheme="minorEastAsia"/>
          <w:b/>
          <w:bCs/>
          <w:color w:val="000000"/>
          <w:kern w:val="0"/>
          <w:sz w:val="32"/>
          <w:szCs w:val="32"/>
          <w:lang w:eastAsia="zh-CN" w:bidi="ar"/>
        </w:rPr>
        <w:t>机关运行经费支出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lang w:eastAsia="zh-CN"/>
        </w:rPr>
        <w:t>2020年机关运行经费预算为</w:t>
      </w:r>
      <w:r>
        <w:rPr>
          <w:rFonts w:hint="eastAsia" w:ascii="仿宋_GB2312" w:hAnsi="仿宋_GB2312" w:eastAsia="仿宋_GB2312" w:cs="仿宋_GB2312"/>
          <w:sz w:val="32"/>
          <w:szCs w:val="32"/>
          <w:lang w:val="en-US" w:eastAsia="zh-CN"/>
        </w:rPr>
        <w:t>964.37万元，支出决算为964.37万元，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，决算与预算数持平。</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2020年本部门政府采购支出总额共234.9万元，其中政府采购货物类支出49.9万元、政府采购服务类支出185万元。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截至 </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末，本部门机关及所属单位实有车辆9辆，其中副部（省）级以上领导用车0辆，主要领导干部用车2辆，机要通信用车0辆，应急保障用车0辆，执法执勤用车0辆，特种专业技术用车0辆，离退休干部用车0辆，其他用车7辆。单价</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万元以上的通用设备0台（套）；单价</w:t>
      </w:r>
      <w:r>
        <w:rPr>
          <w:rFonts w:hint="default" w:ascii="仿宋_GB2312" w:hAnsi="仿宋_GB2312" w:eastAsia="仿宋_GB2312" w:cs="仿宋_GB2312"/>
          <w:sz w:val="32"/>
          <w:szCs w:val="32"/>
          <w:highlight w:val="none"/>
          <w:lang w:val="en-US" w:eastAsia="zh-CN"/>
        </w:rPr>
        <w:t xml:space="preserve"> 100</w:t>
      </w:r>
      <w:r>
        <w:rPr>
          <w:rFonts w:hint="eastAsia" w:ascii="仿宋_GB2312" w:hAnsi="仿宋_GB2312" w:eastAsia="仿宋_GB2312" w:cs="仿宋_GB2312"/>
          <w:sz w:val="32"/>
          <w:szCs w:val="32"/>
          <w:highlight w:val="none"/>
          <w:lang w:val="en-US" w:eastAsia="zh-CN"/>
        </w:rPr>
        <w:t>万元以上的专用设备0台（套）。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年当年购置车辆2辆；购置单价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440.90</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进行了绩效自评，涉及资金</w:t>
      </w:r>
      <w:r>
        <w:rPr>
          <w:rFonts w:hint="eastAsia" w:ascii="仿宋_GB2312" w:hAnsi="仿宋_GB2312" w:eastAsia="仿宋_GB2312" w:cs="仿宋_GB2312"/>
          <w:color w:val="000000"/>
          <w:kern w:val="0"/>
          <w:sz w:val="31"/>
          <w:szCs w:val="31"/>
          <w:lang w:val="en-US" w:eastAsia="zh-CN" w:bidi="ar"/>
        </w:rPr>
        <w:t>964.37</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sz w:val="32"/>
          <w:szCs w:val="32"/>
          <w:lang w:eastAsia="zh-CN"/>
        </w:rPr>
        <w:t>本部门在</w:t>
      </w:r>
      <w:r>
        <w:rPr>
          <w:rFonts w:hint="eastAsia" w:ascii="仿宋_GB2312" w:hAnsi="仿宋_GB2312" w:eastAsia="仿宋_GB2312" w:cs="仿宋_GB2312"/>
          <w:sz w:val="32"/>
          <w:szCs w:val="32"/>
          <w:lang w:val="en-US" w:eastAsia="zh-CN"/>
        </w:rPr>
        <w:t>2020年度部门决算中反映的机关大院后勤服务项目、节能、垃圾分类业务费项目，共2个一级项目绩效自评结果。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lang w:eastAsia="zh-CN" w:bidi="ar"/>
        </w:rPr>
        <w:t>机关大院后勤服务</w:t>
      </w:r>
      <w:r>
        <w:rPr>
          <w:rFonts w:ascii="仿宋_GB2312" w:hAnsi="仿宋_GB2312" w:eastAsia="仿宋_GB2312" w:cs="仿宋_GB2312"/>
          <w:color w:val="000000"/>
          <w:kern w:val="0"/>
          <w:sz w:val="31"/>
          <w:szCs w:val="31"/>
          <w:lang w:bidi="ar"/>
        </w:rPr>
        <w:t>项目绩效自评综述：根据年初设定的绩效目标，</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97</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407.90</w:t>
      </w:r>
      <w:r>
        <w:rPr>
          <w:rFonts w:ascii="仿宋_GB2312" w:hAnsi="仿宋_GB2312" w:eastAsia="仿宋_GB2312" w:cs="仿宋_GB2312"/>
          <w:color w:val="000000"/>
          <w:kern w:val="0"/>
          <w:sz w:val="31"/>
          <w:szCs w:val="31"/>
          <w:lang w:bidi="ar"/>
        </w:rPr>
        <w:t xml:space="preserve">万元，执行数 </w:t>
      </w:r>
      <w:r>
        <w:rPr>
          <w:rFonts w:hint="eastAsia" w:ascii="仿宋_GB2312" w:hAnsi="仿宋_GB2312" w:eastAsia="仿宋_GB2312" w:cs="仿宋_GB2312"/>
          <w:color w:val="000000"/>
          <w:kern w:val="0"/>
          <w:sz w:val="31"/>
          <w:szCs w:val="31"/>
          <w:lang w:val="en-US" w:eastAsia="zh-CN" w:bidi="ar"/>
        </w:rPr>
        <w:t>407.90</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snapToGrid w:val="0"/>
        <w:ind w:firstLine="620" w:firstLineChars="200"/>
        <w:rPr>
          <w:rFonts w:hint="eastAsia" w:ascii="仿宋" w:hAnsi="仿宋" w:eastAsia="仿宋" w:cs="仿宋"/>
          <w:sz w:val="32"/>
          <w:szCs w:val="32"/>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w:t>
      </w:r>
      <w:r>
        <w:rPr>
          <w:rFonts w:hint="eastAsia" w:ascii="仿宋" w:hAnsi="仿宋" w:eastAsia="仿宋" w:cs="仿宋"/>
          <w:sz w:val="32"/>
          <w:szCs w:val="32"/>
          <w:lang w:val="en-US" w:eastAsia="zh-CN" w:bidi="ar"/>
        </w:rPr>
        <w:t>机关大院后勤服务</w:t>
      </w:r>
      <w:r>
        <w:rPr>
          <w:rFonts w:hint="eastAsia" w:ascii="仿宋" w:hAnsi="仿宋" w:eastAsia="仿宋" w:cs="仿宋"/>
          <w:sz w:val="32"/>
          <w:szCs w:val="32"/>
          <w:lang w:bidi="ar"/>
        </w:rPr>
        <w:t>项目</w:t>
      </w:r>
      <w:r>
        <w:rPr>
          <w:rFonts w:hint="eastAsia" w:ascii="仿宋" w:hAnsi="仿宋" w:eastAsia="仿宋" w:cs="仿宋"/>
          <w:sz w:val="32"/>
          <w:szCs w:val="32"/>
          <w:lang w:eastAsia="zh-CN" w:bidi="ar"/>
        </w:rPr>
        <w:t>绩效目标涉及资金</w:t>
      </w:r>
      <w:r>
        <w:rPr>
          <w:rFonts w:hint="eastAsia" w:ascii="仿宋" w:hAnsi="仿宋" w:eastAsia="仿宋" w:cs="仿宋"/>
          <w:sz w:val="32"/>
          <w:szCs w:val="32"/>
          <w:lang w:val="en-US" w:eastAsia="zh-CN" w:bidi="ar"/>
        </w:rPr>
        <w:t>407.90万元，完成100%。</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无。</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lang w:eastAsia="zh-CN" w:bidi="ar"/>
        </w:rPr>
        <w:t>节能、垃圾分类业务费</w:t>
      </w:r>
      <w:r>
        <w:rPr>
          <w:rFonts w:ascii="仿宋_GB2312" w:hAnsi="仿宋_GB2312" w:eastAsia="仿宋_GB2312" w:cs="仿宋_GB2312"/>
          <w:color w:val="000000"/>
          <w:kern w:val="0"/>
          <w:sz w:val="31"/>
          <w:szCs w:val="31"/>
          <w:lang w:bidi="ar"/>
        </w:rPr>
        <w:t>项目绩效自评综述：根据年初设定的绩效目标，</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33</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33</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snapToGrid w:val="0"/>
        <w:ind w:firstLine="620" w:firstLineChars="200"/>
        <w:rPr>
          <w:rFonts w:hint="eastAsia" w:ascii="仿宋" w:hAnsi="仿宋" w:eastAsia="仿宋" w:cs="仿宋"/>
          <w:sz w:val="32"/>
          <w:szCs w:val="32"/>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节能、垃圾分类业务费</w:t>
      </w:r>
      <w:r>
        <w:rPr>
          <w:rFonts w:hint="eastAsia" w:ascii="仿宋" w:hAnsi="仿宋" w:eastAsia="仿宋" w:cs="仿宋"/>
          <w:sz w:val="32"/>
          <w:szCs w:val="32"/>
          <w:lang w:bidi="ar"/>
        </w:rPr>
        <w:t>项目</w:t>
      </w:r>
      <w:r>
        <w:rPr>
          <w:rFonts w:hint="eastAsia" w:ascii="仿宋" w:hAnsi="仿宋" w:eastAsia="仿宋" w:cs="仿宋"/>
          <w:sz w:val="32"/>
          <w:szCs w:val="32"/>
          <w:lang w:eastAsia="zh-CN" w:bidi="ar"/>
        </w:rPr>
        <w:t>绩效目标涉及资金</w:t>
      </w:r>
      <w:r>
        <w:rPr>
          <w:rFonts w:hint="eastAsia" w:ascii="仿宋" w:hAnsi="仿宋" w:eastAsia="仿宋" w:cs="仿宋"/>
          <w:sz w:val="32"/>
          <w:szCs w:val="32"/>
          <w:lang w:val="en-US" w:eastAsia="zh-CN" w:bidi="ar"/>
        </w:rPr>
        <w:t>33万元，完成100%。</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sectPr>
          <w:pgSz w:w="11900" w:h="16838"/>
          <w:pgMar w:top="1440" w:right="1800" w:bottom="1440" w:left="1800" w:header="850" w:footer="992" w:gutter="0"/>
          <w:lnNumType w:countBy="0" w:distance="360"/>
          <w:cols w:equalWidth="0" w:num="1">
            <w:col w:w="9020"/>
          </w:cols>
        </w:sect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无。</w:t>
      </w:r>
    </w:p>
    <w:p>
      <w:pPr>
        <w:widowControl/>
        <w:jc w:val="left"/>
        <w:rPr>
          <w:rFonts w:ascii="楷体_GB2312" w:hAnsi="宋体" w:eastAsia="楷体_GB2312" w:cs="楷体_GB2312"/>
          <w:b/>
          <w:color w:val="000000"/>
          <w:kern w:val="0"/>
          <w:sz w:val="32"/>
          <w:szCs w:val="32"/>
          <w:lang w:bidi="ar"/>
        </w:rPr>
      </w:pPr>
      <w:bookmarkStart w:id="0" w:name="_1662907161"/>
      <w:bookmarkEnd w:id="0"/>
      <w:bookmarkStart w:id="1" w:name="_1662907080"/>
      <w:bookmarkEnd w:id="1"/>
      <w:bookmarkStart w:id="2" w:name="_1662907596"/>
      <w:bookmarkEnd w:id="2"/>
      <w:r>
        <w:rPr>
          <w:rFonts w:hint="eastAsia" w:ascii="仿宋_GB2312" w:hAnsi="仿宋_GB2312" w:eastAsia="仿宋_GB2312" w:cs="仿宋_GB2312"/>
          <w:color w:val="000000"/>
          <w:sz w:val="31"/>
          <w:szCs w:val="31"/>
          <w:lang w:bidi="ar"/>
        </w:rPr>
        <w:object>
          <v:shape id="_x0000_i1026" o:spt="75" type="#_x0000_t75" style="height:690.65pt;width:421.2pt;" o:ole="t" filled="f" o:preferrelative="t" stroked="f" coordsize="21600,21600">
            <v:path/>
            <v:fill on="f" focussize="0,0"/>
            <v:stroke on="f"/>
            <v:imagedata r:id="rId18" o:title=""/>
            <o:lock v:ext="edit" aspectratio="f"/>
            <w10:wrap type="none"/>
            <w10:anchorlock/>
          </v:shape>
          <o:OLEObject Type="Embed" ProgID="Excel.Sheet.12" ShapeID="_x0000_i1026" DrawAspect="Content" ObjectID="_1468075727" r:id="rId17">
            <o:LockedField>false</o:LockedField>
          </o:OLEObject>
        </w:object>
      </w: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整体支出绩效2020年度整体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964.37</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964.37</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20" w:firstLineChars="200"/>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保障单位人员经费、工资福利到位；保障区委、政府、人防综合大楼机关大院正常运转。</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保障单位正常运转，各项业务开展良好</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无</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bookmarkStart w:id="4" w:name="_GoBack"/>
      <w:bookmarkStart w:id="3" w:name="_1662907696"/>
      <w:bookmarkEnd w:id="3"/>
      <w:r>
        <w:rPr>
          <w:rFonts w:hint="eastAsia" w:ascii="仿宋_GB2312" w:hAnsi="仿宋_GB2312" w:eastAsia="仿宋_GB2312" w:cs="仿宋_GB2312"/>
          <w:color w:val="000000"/>
          <w:kern w:val="0"/>
          <w:sz w:val="31"/>
          <w:szCs w:val="31"/>
          <w:lang w:bidi="ar"/>
        </w:rPr>
        <w:object>
          <v:shape id="_x0000_i1027" o:spt="75" alt="" type="#_x0000_t75" style="height:1159.45pt;width:722.4pt;" o:ole="t" filled="f" o:preferrelative="t" stroked="f" coordsize="21600,21600">
            <v:path/>
            <v:fill on="f" focussize="0,0"/>
            <v:stroke on="f"/>
            <v:imagedata r:id="rId20" o:title=""/>
            <o:lock v:ext="edit" aspectratio="f"/>
            <w10:wrap type="none"/>
            <w10:anchorlock/>
          </v:shape>
          <o:OLEObject Type="Embed" ProgID="Excel.Sheet.12" ShapeID="_x0000_i1027" DrawAspect="Content" ObjectID="_1468075728" r:id="rId19">
            <o:LockedField>false</o:LockedField>
          </o:OLEObject>
        </w:object>
      </w:r>
      <w:bookmarkEnd w:id="4"/>
    </w:p>
    <w:p>
      <w:pPr>
        <w:numPr>
          <w:ilvl w:val="0"/>
          <w:numId w:val="0"/>
        </w:numPr>
        <w:jc w:val="both"/>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D6E9B996"/>
    <w:multiLevelType w:val="singleLevel"/>
    <w:tmpl w:val="D6E9B996"/>
    <w:lvl w:ilvl="0" w:tentative="0">
      <w:start w:val="1"/>
      <w:numFmt w:val="chineseCounting"/>
      <w:suff w:val="nothing"/>
      <w:lvlText w:val="（%1）"/>
      <w:lvlJc w:val="left"/>
      <w:rPr>
        <w:rFonts w:hint="eastAsia"/>
      </w:rPr>
    </w:lvl>
  </w:abstractNum>
  <w:abstractNum w:abstractNumId="3">
    <w:nsid w:val="0F57C6B9"/>
    <w:multiLevelType w:val="singleLevel"/>
    <w:tmpl w:val="0F57C6B9"/>
    <w:lvl w:ilvl="0" w:tentative="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175B1E"/>
    <w:rsid w:val="00CA3659"/>
    <w:rsid w:val="00D44852"/>
    <w:rsid w:val="010E3361"/>
    <w:rsid w:val="01840A76"/>
    <w:rsid w:val="019001DE"/>
    <w:rsid w:val="01E73B91"/>
    <w:rsid w:val="03A7089C"/>
    <w:rsid w:val="03E960C8"/>
    <w:rsid w:val="047F1934"/>
    <w:rsid w:val="04DB464C"/>
    <w:rsid w:val="068B7849"/>
    <w:rsid w:val="069F404A"/>
    <w:rsid w:val="071413C3"/>
    <w:rsid w:val="07292B29"/>
    <w:rsid w:val="07422AC4"/>
    <w:rsid w:val="078216EC"/>
    <w:rsid w:val="07B61C44"/>
    <w:rsid w:val="080A6425"/>
    <w:rsid w:val="08134E54"/>
    <w:rsid w:val="08586301"/>
    <w:rsid w:val="086C1E64"/>
    <w:rsid w:val="093E0634"/>
    <w:rsid w:val="09F56D6B"/>
    <w:rsid w:val="0A557F81"/>
    <w:rsid w:val="0BA7522A"/>
    <w:rsid w:val="0C2C1F1F"/>
    <w:rsid w:val="0C2D7704"/>
    <w:rsid w:val="0D0C2BC4"/>
    <w:rsid w:val="0D626361"/>
    <w:rsid w:val="0D8F4D0A"/>
    <w:rsid w:val="0DB4795D"/>
    <w:rsid w:val="0DBA6E85"/>
    <w:rsid w:val="0DC72692"/>
    <w:rsid w:val="0E19191C"/>
    <w:rsid w:val="0E2B5C83"/>
    <w:rsid w:val="0EC368FB"/>
    <w:rsid w:val="0ECE423F"/>
    <w:rsid w:val="0EF5200E"/>
    <w:rsid w:val="0EF9515D"/>
    <w:rsid w:val="102B6DF1"/>
    <w:rsid w:val="10341217"/>
    <w:rsid w:val="11FF2473"/>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451D10"/>
    <w:rsid w:val="20AA1CF4"/>
    <w:rsid w:val="20B96E79"/>
    <w:rsid w:val="20E506C4"/>
    <w:rsid w:val="220031EB"/>
    <w:rsid w:val="22551999"/>
    <w:rsid w:val="2256467C"/>
    <w:rsid w:val="23610FD3"/>
    <w:rsid w:val="236267D8"/>
    <w:rsid w:val="23857D2F"/>
    <w:rsid w:val="24171B10"/>
    <w:rsid w:val="24537A42"/>
    <w:rsid w:val="245918C8"/>
    <w:rsid w:val="246B06D0"/>
    <w:rsid w:val="24861FF8"/>
    <w:rsid w:val="256264C3"/>
    <w:rsid w:val="25BC7F34"/>
    <w:rsid w:val="262C087E"/>
    <w:rsid w:val="2642696E"/>
    <w:rsid w:val="265344C3"/>
    <w:rsid w:val="2660352B"/>
    <w:rsid w:val="27345405"/>
    <w:rsid w:val="277C66A8"/>
    <w:rsid w:val="287C13F1"/>
    <w:rsid w:val="28C03F87"/>
    <w:rsid w:val="28E71CD7"/>
    <w:rsid w:val="28FB2AB2"/>
    <w:rsid w:val="295415FA"/>
    <w:rsid w:val="2A7F5B56"/>
    <w:rsid w:val="2B1E5312"/>
    <w:rsid w:val="2BB61859"/>
    <w:rsid w:val="2C1E58CB"/>
    <w:rsid w:val="2C366C63"/>
    <w:rsid w:val="2C8F7948"/>
    <w:rsid w:val="2CF051FA"/>
    <w:rsid w:val="2D1B13D6"/>
    <w:rsid w:val="2D275799"/>
    <w:rsid w:val="2D38229C"/>
    <w:rsid w:val="2D62741D"/>
    <w:rsid w:val="2DA368D1"/>
    <w:rsid w:val="2DF854D4"/>
    <w:rsid w:val="2EC53938"/>
    <w:rsid w:val="2F3F7267"/>
    <w:rsid w:val="30DF4759"/>
    <w:rsid w:val="320B2649"/>
    <w:rsid w:val="32370DD4"/>
    <w:rsid w:val="324878CF"/>
    <w:rsid w:val="32E651BA"/>
    <w:rsid w:val="3339709D"/>
    <w:rsid w:val="333C204A"/>
    <w:rsid w:val="339F628F"/>
    <w:rsid w:val="33B06F9D"/>
    <w:rsid w:val="3504022C"/>
    <w:rsid w:val="350A5D93"/>
    <w:rsid w:val="3669223E"/>
    <w:rsid w:val="366C12FC"/>
    <w:rsid w:val="37000267"/>
    <w:rsid w:val="370363F2"/>
    <w:rsid w:val="373E3750"/>
    <w:rsid w:val="380A1704"/>
    <w:rsid w:val="390A5D5B"/>
    <w:rsid w:val="39BE5AB2"/>
    <w:rsid w:val="3AFB7F86"/>
    <w:rsid w:val="3B0C2B2C"/>
    <w:rsid w:val="3BFC6DCC"/>
    <w:rsid w:val="3C067D8D"/>
    <w:rsid w:val="3C446E8B"/>
    <w:rsid w:val="3C7A6DAB"/>
    <w:rsid w:val="3CDE21AF"/>
    <w:rsid w:val="3D380F19"/>
    <w:rsid w:val="3D4E2733"/>
    <w:rsid w:val="3D904069"/>
    <w:rsid w:val="3DB01CC2"/>
    <w:rsid w:val="3E3479B1"/>
    <w:rsid w:val="3FCA23EC"/>
    <w:rsid w:val="3FF474BA"/>
    <w:rsid w:val="40871E38"/>
    <w:rsid w:val="41942E54"/>
    <w:rsid w:val="424D60E4"/>
    <w:rsid w:val="428C6044"/>
    <w:rsid w:val="42DF3ED1"/>
    <w:rsid w:val="42FA4769"/>
    <w:rsid w:val="433A1366"/>
    <w:rsid w:val="43BC1030"/>
    <w:rsid w:val="43BF7D37"/>
    <w:rsid w:val="4447106E"/>
    <w:rsid w:val="44786400"/>
    <w:rsid w:val="451845A2"/>
    <w:rsid w:val="4639062C"/>
    <w:rsid w:val="46F82343"/>
    <w:rsid w:val="473E35ED"/>
    <w:rsid w:val="47964FBE"/>
    <w:rsid w:val="47A141F9"/>
    <w:rsid w:val="482E2C6E"/>
    <w:rsid w:val="48A63E88"/>
    <w:rsid w:val="48F12D42"/>
    <w:rsid w:val="49616AEF"/>
    <w:rsid w:val="49915349"/>
    <w:rsid w:val="49DB26F6"/>
    <w:rsid w:val="49DD15D2"/>
    <w:rsid w:val="49EA6175"/>
    <w:rsid w:val="4A1752A2"/>
    <w:rsid w:val="4A583C8E"/>
    <w:rsid w:val="4AB663FF"/>
    <w:rsid w:val="4AC94221"/>
    <w:rsid w:val="4B18398F"/>
    <w:rsid w:val="4B1D404D"/>
    <w:rsid w:val="4B545E9D"/>
    <w:rsid w:val="4BCF243C"/>
    <w:rsid w:val="4C8F1C6B"/>
    <w:rsid w:val="4CD73842"/>
    <w:rsid w:val="4DAC3D0C"/>
    <w:rsid w:val="4E1826EB"/>
    <w:rsid w:val="502162E1"/>
    <w:rsid w:val="50446E39"/>
    <w:rsid w:val="509667BA"/>
    <w:rsid w:val="50C46A00"/>
    <w:rsid w:val="50C62B98"/>
    <w:rsid w:val="51AA47B2"/>
    <w:rsid w:val="51C1525F"/>
    <w:rsid w:val="52300718"/>
    <w:rsid w:val="52AC7AB3"/>
    <w:rsid w:val="532511AB"/>
    <w:rsid w:val="54207C4C"/>
    <w:rsid w:val="544A4073"/>
    <w:rsid w:val="544D3043"/>
    <w:rsid w:val="555C235D"/>
    <w:rsid w:val="55814DE7"/>
    <w:rsid w:val="561550C1"/>
    <w:rsid w:val="572016AE"/>
    <w:rsid w:val="57E3761C"/>
    <w:rsid w:val="58E26FD5"/>
    <w:rsid w:val="59477A05"/>
    <w:rsid w:val="596D661C"/>
    <w:rsid w:val="59836C48"/>
    <w:rsid w:val="59C246B5"/>
    <w:rsid w:val="5A610FED"/>
    <w:rsid w:val="5AD32C36"/>
    <w:rsid w:val="5B2716A1"/>
    <w:rsid w:val="5C252D34"/>
    <w:rsid w:val="5C8073CA"/>
    <w:rsid w:val="5C85137D"/>
    <w:rsid w:val="5DBC131F"/>
    <w:rsid w:val="5DF34FA9"/>
    <w:rsid w:val="5E7E3630"/>
    <w:rsid w:val="5F5027A5"/>
    <w:rsid w:val="600B2AA8"/>
    <w:rsid w:val="604B4D81"/>
    <w:rsid w:val="60725651"/>
    <w:rsid w:val="607903BD"/>
    <w:rsid w:val="60DC37F7"/>
    <w:rsid w:val="6151303A"/>
    <w:rsid w:val="618A6433"/>
    <w:rsid w:val="625B2DA2"/>
    <w:rsid w:val="636A5BE2"/>
    <w:rsid w:val="64CA4B4A"/>
    <w:rsid w:val="6516448E"/>
    <w:rsid w:val="65706DA4"/>
    <w:rsid w:val="664C1E33"/>
    <w:rsid w:val="671E745B"/>
    <w:rsid w:val="68777ACE"/>
    <w:rsid w:val="692B7805"/>
    <w:rsid w:val="696473D9"/>
    <w:rsid w:val="6977251D"/>
    <w:rsid w:val="697876A2"/>
    <w:rsid w:val="69A157A9"/>
    <w:rsid w:val="6AF21D88"/>
    <w:rsid w:val="6AF34B9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styleId="3">
    <w:name w:val="Body Text"/>
    <w:basedOn w:val="1"/>
    <w:qFormat/>
    <w:uiPriority w:val="0"/>
    <w:rPr>
      <w:szCs w:val="20"/>
    </w:rPr>
  </w:style>
  <w:style w:type="paragraph" w:styleId="4">
    <w:name w:val="Plain Text"/>
    <w:basedOn w:val="1"/>
    <w:qFormat/>
    <w:uiPriority w:val="0"/>
    <w:rPr>
      <w:rFonts w:ascii="宋体" w:hAns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6"/>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font11"/>
    <w:basedOn w:val="10"/>
    <w:qFormat/>
    <w:uiPriority w:val="0"/>
    <w:rPr>
      <w:rFonts w:hint="eastAsia" w:ascii="宋体" w:hAnsi="宋体" w:eastAsia="宋体" w:cs="宋体"/>
      <w:b/>
      <w:color w:val="000000"/>
      <w:sz w:val="32"/>
      <w:szCs w:val="32"/>
      <w:u w:val="none"/>
    </w:rPr>
  </w:style>
  <w:style w:type="character" w:customStyle="1" w:styleId="13">
    <w:name w:val="font91"/>
    <w:basedOn w:val="10"/>
    <w:qFormat/>
    <w:uiPriority w:val="0"/>
    <w:rPr>
      <w:rFonts w:hint="eastAsia" w:ascii="宋体" w:hAnsi="宋体" w:eastAsia="宋体" w:cs="宋体"/>
      <w:color w:val="000000"/>
      <w:sz w:val="32"/>
      <w:szCs w:val="32"/>
      <w:u w:val="none"/>
    </w:rPr>
  </w:style>
  <w:style w:type="character" w:customStyle="1" w:styleId="14">
    <w:name w:val="font51"/>
    <w:basedOn w:val="10"/>
    <w:qFormat/>
    <w:uiPriority w:val="0"/>
    <w:rPr>
      <w:rFonts w:hint="eastAsia" w:ascii="宋体" w:hAnsi="宋体" w:eastAsia="宋体" w:cs="宋体"/>
      <w:color w:val="000000"/>
      <w:sz w:val="20"/>
      <w:szCs w:val="20"/>
      <w:u w:val="none"/>
    </w:rPr>
  </w:style>
  <w:style w:type="character" w:customStyle="1" w:styleId="15">
    <w:name w:val="font101"/>
    <w:basedOn w:val="10"/>
    <w:qFormat/>
    <w:uiPriority w:val="0"/>
    <w:rPr>
      <w:rFonts w:hint="eastAsia" w:ascii="宋体" w:hAnsi="宋体" w:eastAsia="宋体" w:cs="宋体"/>
      <w:color w:val="000000"/>
      <w:sz w:val="20"/>
      <w:szCs w:val="20"/>
      <w:u w:val="none"/>
    </w:rPr>
  </w:style>
  <w:style w:type="character" w:customStyle="1" w:styleId="16">
    <w:name w:val="font21"/>
    <w:basedOn w:val="10"/>
    <w:qFormat/>
    <w:uiPriority w:val="0"/>
    <w:rPr>
      <w:rFonts w:hint="eastAsia" w:ascii="宋体" w:hAnsi="宋体" w:eastAsia="宋体" w:cs="宋体"/>
      <w:color w:val="000000"/>
      <w:sz w:val="18"/>
      <w:szCs w:val="18"/>
      <w:u w:val="none"/>
    </w:rPr>
  </w:style>
  <w:style w:type="character" w:customStyle="1" w:styleId="17">
    <w:name w:val="font112"/>
    <w:basedOn w:val="10"/>
    <w:qFormat/>
    <w:uiPriority w:val="0"/>
    <w:rPr>
      <w:rFonts w:hint="eastAsia" w:ascii="宋体" w:hAnsi="宋体" w:eastAsia="宋体" w:cs="宋体"/>
      <w:color w:val="000000"/>
      <w:sz w:val="20"/>
      <w:szCs w:val="20"/>
      <w:u w:val="none"/>
    </w:rPr>
  </w:style>
  <w:style w:type="character" w:customStyle="1" w:styleId="18">
    <w:name w:val="font6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2.emf"/><Relationship Id="rId17" Type="http://schemas.openxmlformats.org/officeDocument/2006/relationships/oleObject" Target="embeddings/oleObject3.bin"/><Relationship Id="rId16" Type="http://schemas.openxmlformats.org/officeDocument/2006/relationships/chart" Target="charts/chart8.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PC-20210318ZYAO\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Sheet11!$A$2</c:f>
              <c:strCache>
                <c:ptCount val="1"/>
                <c:pt idx="0">
                  <c:v>全年总收入</c:v>
                </c:pt>
              </c:strCache>
            </c:strRef>
          </c:tx>
          <c:invertIfNegative val="0"/>
          <c:dLbls>
            <c:dLbl>
              <c:idx val="0"/>
              <c:layout>
                <c:manualLayout>
                  <c:x val="-0.0305555555555556"/>
                  <c:y val="-0.009259259259259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Sheet11!$B$1:$C$1</c:f>
              <c:strCache>
                <c:ptCount val="2"/>
                <c:pt idx="0">
                  <c:v>金额（万元）</c:v>
                </c:pt>
                <c:pt idx="1">
                  <c:v>增加比例（%）</c:v>
                </c:pt>
              </c:strCache>
            </c:strRef>
          </c:cat>
          <c:val>
            <c:numRef>
              <c:f>Sheet11!$B$2:$C$2</c:f>
              <c:numCache>
                <c:formatCode>General</c:formatCode>
                <c:ptCount val="2"/>
                <c:pt idx="0">
                  <c:v>964.37</c:v>
                </c:pt>
                <c:pt idx="1">
                  <c:v>151</c:v>
                </c:pt>
              </c:numCache>
            </c:numRef>
          </c:val>
        </c:ser>
        <c:ser>
          <c:idx val="1"/>
          <c:order val="1"/>
          <c:tx>
            <c:strRef>
              <c:f>Sheet11!$A$3</c:f>
              <c:strCache>
                <c:ptCount val="1"/>
                <c:pt idx="0">
                  <c:v>公共服务财政拨款收入</c:v>
                </c:pt>
              </c:strCache>
            </c:strRef>
          </c:tx>
          <c:invertIfNegative val="0"/>
          <c:dLbls>
            <c:dLbl>
              <c:idx val="0"/>
              <c:layout>
                <c:manualLayout>
                  <c:x val="0.0305555555555556"/>
                  <c:y val="-0.004629629629629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Sheet11!$B$1:$C$1</c:f>
              <c:strCache>
                <c:ptCount val="2"/>
                <c:pt idx="0">
                  <c:v>金额（万元）</c:v>
                </c:pt>
                <c:pt idx="1">
                  <c:v>增加比例（%）</c:v>
                </c:pt>
              </c:strCache>
            </c:strRef>
          </c:cat>
          <c:val>
            <c:numRef>
              <c:f>Sheet11!$B$3:$C$3</c:f>
              <c:numCache>
                <c:formatCode>General</c:formatCode>
                <c:ptCount val="2"/>
                <c:pt idx="0">
                  <c:v>964.37</c:v>
                </c:pt>
                <c:pt idx="1">
                  <c:v>151</c:v>
                </c:pt>
              </c:numCache>
            </c:numRef>
          </c:val>
        </c:ser>
        <c:dLbls>
          <c:showLegendKey val="0"/>
          <c:showVal val="1"/>
          <c:showCatName val="0"/>
          <c:showSerName val="0"/>
          <c:showPercent val="0"/>
          <c:showBubbleSize val="0"/>
        </c:dLbls>
        <c:gapWidth val="150"/>
        <c:axId val="134204800"/>
        <c:axId val="173298816"/>
      </c:barChart>
      <c:catAx>
        <c:axId val="1342048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298816"/>
        <c:crosses val="autoZero"/>
        <c:auto val="1"/>
        <c:lblAlgn val="ctr"/>
        <c:lblOffset val="100"/>
        <c:noMultiLvlLbl val="0"/>
      </c:catAx>
      <c:valAx>
        <c:axId val="1732988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204800"/>
        <c:crosses val="autoZero"/>
        <c:crossBetween val="between"/>
      </c:valAx>
      <c:spPr>
        <a:ln>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Sheet7!$A$2</c:f>
              <c:strCache>
                <c:ptCount val="1"/>
                <c:pt idx="0">
                  <c:v>全年支出</c:v>
                </c:pt>
              </c:strCache>
            </c:strRef>
          </c:tx>
          <c:invertIfNegative val="0"/>
          <c:dLbls>
            <c:dLbl>
              <c:idx val="0"/>
              <c:layout>
                <c:manualLayout>
                  <c:x val="-0.027777777777777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Sheet7!$B$1:$C$1</c:f>
              <c:strCache>
                <c:ptCount val="2"/>
                <c:pt idx="0">
                  <c:v>金额（万元）</c:v>
                </c:pt>
                <c:pt idx="1">
                  <c:v>增加比例（%）</c:v>
                </c:pt>
              </c:strCache>
            </c:strRef>
          </c:cat>
          <c:val>
            <c:numRef>
              <c:f>Sheet7!$B$2:$C$2</c:f>
              <c:numCache>
                <c:formatCode>General</c:formatCode>
                <c:ptCount val="2"/>
                <c:pt idx="0">
                  <c:v>964.37</c:v>
                </c:pt>
                <c:pt idx="1">
                  <c:v>151</c:v>
                </c:pt>
              </c:numCache>
            </c:numRef>
          </c:val>
        </c:ser>
        <c:ser>
          <c:idx val="1"/>
          <c:order val="1"/>
          <c:tx>
            <c:strRef>
              <c:f>Sheet7!$A$3</c:f>
              <c:strCache>
                <c:ptCount val="1"/>
                <c:pt idx="0">
                  <c:v>公共服务财政拨款支出</c:v>
                </c:pt>
              </c:strCache>
            </c:strRef>
          </c:tx>
          <c:invertIfNegative val="0"/>
          <c:dLbls>
            <c:dLbl>
              <c:idx val="0"/>
              <c:layout>
                <c:manualLayout>
                  <c:x val="0.019444444444444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Sheet7!$B$1:$C$1</c:f>
              <c:strCache>
                <c:ptCount val="2"/>
                <c:pt idx="0">
                  <c:v>金额（万元）</c:v>
                </c:pt>
                <c:pt idx="1">
                  <c:v>增加比例（%）</c:v>
                </c:pt>
              </c:strCache>
            </c:strRef>
          </c:cat>
          <c:val>
            <c:numRef>
              <c:f>Sheet7!$B$3:$C$3</c:f>
              <c:numCache>
                <c:formatCode>General</c:formatCode>
                <c:ptCount val="2"/>
                <c:pt idx="0">
                  <c:v>964.37</c:v>
                </c:pt>
                <c:pt idx="1">
                  <c:v>151</c:v>
                </c:pt>
              </c:numCache>
            </c:numRef>
          </c:val>
        </c:ser>
        <c:dLbls>
          <c:showLegendKey val="0"/>
          <c:showVal val="1"/>
          <c:showCatName val="0"/>
          <c:showSerName val="0"/>
          <c:showPercent val="0"/>
          <c:showBubbleSize val="0"/>
        </c:dLbls>
        <c:gapWidth val="150"/>
        <c:axId val="173307776"/>
        <c:axId val="173309312"/>
      </c:barChart>
      <c:catAx>
        <c:axId val="1733077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309312"/>
        <c:crosses val="autoZero"/>
        <c:auto val="1"/>
        <c:lblAlgn val="ctr"/>
        <c:lblOffset val="100"/>
        <c:noMultiLvlLbl val="0"/>
      </c:catAx>
      <c:valAx>
        <c:axId val="1733093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3077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Sheet8!$B$1</c:f>
              <c:strCache>
                <c:ptCount val="1"/>
                <c:pt idx="0">
                  <c:v>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Sheet8!$A$2:$A$3</c:f>
              <c:strCache>
                <c:ptCount val="2"/>
                <c:pt idx="0">
                  <c:v>总收入</c:v>
                </c:pt>
                <c:pt idx="1">
                  <c:v>财政拨款收入</c:v>
                </c:pt>
              </c:strCache>
            </c:strRef>
          </c:cat>
          <c:val>
            <c:numRef>
              <c:f>Sheet8!$B$2:$B$3</c:f>
              <c:numCache>
                <c:formatCode>General</c:formatCode>
                <c:ptCount val="2"/>
                <c:pt idx="0">
                  <c:v>964.37</c:v>
                </c:pt>
                <c:pt idx="1">
                  <c:v>964.37</c:v>
                </c:pt>
              </c:numCache>
            </c:numRef>
          </c:val>
        </c:ser>
        <c:dLbls>
          <c:showLegendKey val="0"/>
          <c:showVal val="1"/>
          <c:showCatName val="0"/>
          <c:showSerName val="0"/>
          <c:showPercent val="0"/>
          <c:showBubbleSize val="0"/>
        </c:dLbls>
        <c:gapWidth val="150"/>
        <c:axId val="173325312"/>
        <c:axId val="173335296"/>
      </c:barChart>
      <c:catAx>
        <c:axId val="173325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335296"/>
        <c:crosses val="autoZero"/>
        <c:auto val="1"/>
        <c:lblAlgn val="ctr"/>
        <c:lblOffset val="100"/>
        <c:noMultiLvlLbl val="0"/>
      </c:catAx>
      <c:valAx>
        <c:axId val="173335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325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Sheet12!$B$1</c:f>
              <c:strCache>
                <c:ptCount val="1"/>
                <c:pt idx="0">
                  <c:v>金额（万元）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Sheet12!$A$2:$A$3</c:f>
              <c:strCache>
                <c:ptCount val="2"/>
                <c:pt idx="0">
                  <c:v>基本支出</c:v>
                </c:pt>
                <c:pt idx="1">
                  <c:v>项目支出</c:v>
                </c:pt>
              </c:strCache>
            </c:strRef>
          </c:cat>
          <c:val>
            <c:numRef>
              <c:f>Sheet12!$B$2:$B$3</c:f>
              <c:numCache>
                <c:formatCode>General</c:formatCode>
                <c:ptCount val="2"/>
                <c:pt idx="0">
                  <c:v>523.47</c:v>
                </c:pt>
                <c:pt idx="1">
                  <c:v>440.9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财政拨款收入（万元）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Sheet2!$A$2:$A$3</c:f>
              <c:strCache>
                <c:ptCount val="2"/>
                <c:pt idx="0">
                  <c:v>2019年</c:v>
                </c:pt>
                <c:pt idx="1">
                  <c:v>2020年</c:v>
                </c:pt>
              </c:strCache>
            </c:strRef>
          </c:cat>
          <c:val>
            <c:numRef>
              <c:f>Sheet2!$B$2:$B$3</c:f>
              <c:numCache>
                <c:formatCode>General</c:formatCode>
                <c:ptCount val="2"/>
                <c:pt idx="0">
                  <c:v>383.94</c:v>
                </c:pt>
                <c:pt idx="1">
                  <c:v>964.37</c:v>
                </c:pt>
              </c:numCache>
            </c:numRef>
          </c:val>
        </c:ser>
        <c:dLbls>
          <c:showLegendKey val="0"/>
          <c:showVal val="1"/>
          <c:showCatName val="0"/>
          <c:showSerName val="0"/>
          <c:showPercent val="0"/>
          <c:showBubbleSize val="0"/>
        </c:dLbls>
        <c:gapWidth val="150"/>
        <c:axId val="174676224"/>
        <c:axId val="174694400"/>
      </c:barChart>
      <c:catAx>
        <c:axId val="174676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694400"/>
        <c:crosses val="autoZero"/>
        <c:auto val="1"/>
        <c:lblAlgn val="ctr"/>
        <c:lblOffset val="100"/>
        <c:noMultiLvlLbl val="0"/>
      </c:catAx>
      <c:valAx>
        <c:axId val="174694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6762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Sheet9!$B$1</c:f>
              <c:strCache>
                <c:ptCount val="1"/>
                <c:pt idx="0">
                  <c:v>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Sheet9!$A$2:$A$3</c:f>
              <c:strCache>
                <c:ptCount val="2"/>
                <c:pt idx="0">
                  <c:v>2019年</c:v>
                </c:pt>
                <c:pt idx="1">
                  <c:v>2020年</c:v>
                </c:pt>
              </c:strCache>
            </c:strRef>
          </c:cat>
          <c:val>
            <c:numRef>
              <c:f>Sheet9!$B$2:$B$3</c:f>
              <c:numCache>
                <c:formatCode>General</c:formatCode>
                <c:ptCount val="2"/>
                <c:pt idx="0">
                  <c:v>383.94</c:v>
                </c:pt>
                <c:pt idx="1">
                  <c:v>964.37</c:v>
                </c:pt>
              </c:numCache>
            </c:numRef>
          </c:val>
        </c:ser>
        <c:dLbls>
          <c:showLegendKey val="0"/>
          <c:showVal val="1"/>
          <c:showCatName val="0"/>
          <c:showSerName val="0"/>
          <c:showPercent val="0"/>
          <c:showBubbleSize val="0"/>
        </c:dLbls>
        <c:gapWidth val="150"/>
        <c:axId val="174710144"/>
        <c:axId val="174720128"/>
      </c:barChart>
      <c:catAx>
        <c:axId val="1747101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720128"/>
        <c:crosses val="autoZero"/>
        <c:auto val="1"/>
        <c:lblAlgn val="ctr"/>
        <c:lblOffset val="100"/>
        <c:noMultiLvlLbl val="0"/>
      </c:catAx>
      <c:valAx>
        <c:axId val="1747201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7101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Sheet9!$B$1</c:f>
              <c:strCache>
                <c:ptCount val="1"/>
                <c:pt idx="0">
                  <c:v>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Sheet9!$A$2:$A$3</c:f>
              <c:strCache>
                <c:ptCount val="2"/>
                <c:pt idx="0">
                  <c:v>2019年</c:v>
                </c:pt>
                <c:pt idx="1">
                  <c:v>2020年</c:v>
                </c:pt>
              </c:strCache>
            </c:strRef>
          </c:cat>
          <c:val>
            <c:numRef>
              <c:f>Sheet9!$B$2:$B$3</c:f>
              <c:numCache>
                <c:formatCode>General</c:formatCode>
                <c:ptCount val="2"/>
                <c:pt idx="0">
                  <c:v>383.94</c:v>
                </c:pt>
                <c:pt idx="1">
                  <c:v>964.37</c:v>
                </c:pt>
              </c:numCache>
            </c:numRef>
          </c:val>
        </c:ser>
        <c:dLbls>
          <c:showLegendKey val="0"/>
          <c:showVal val="1"/>
          <c:showCatName val="0"/>
          <c:showSerName val="0"/>
          <c:showPercent val="0"/>
          <c:showBubbleSize val="0"/>
        </c:dLbls>
        <c:gapWidth val="150"/>
        <c:axId val="174740224"/>
        <c:axId val="174741760"/>
      </c:barChart>
      <c:catAx>
        <c:axId val="174740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741760"/>
        <c:crosses val="autoZero"/>
        <c:auto val="1"/>
        <c:lblAlgn val="ctr"/>
        <c:lblOffset val="100"/>
        <c:noMultiLvlLbl val="0"/>
      </c:catAx>
      <c:valAx>
        <c:axId val="174741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7402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公务用车购置费</c:v>
                </c:pt>
                <c:pt idx="1">
                  <c:v>公务用车运行维护费</c:v>
                </c:pt>
              </c:strCache>
            </c:strRef>
          </c:cat>
          <c:val>
            <c:numRef>
              <c:f>Sheet1!$B$2:$B$3</c:f>
              <c:numCache>
                <c:formatCode>General</c:formatCode>
                <c:ptCount val="2"/>
                <c:pt idx="0">
                  <c:v>35.96</c:v>
                </c:pt>
                <c:pt idx="1">
                  <c:v>15.38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6350"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2021-10-18T05:31:00Z</cp:lastPrinted>
  <dcterms:modified xsi:type="dcterms:W3CDTF">2021-10-29T08:48:46Z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C59B3CA2EF5540999361023A2665CAB7</vt:lpwstr>
  </property>
</Properties>
</file>