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Style w:val="10"/>
          <w:rFonts w:hint="eastAsia"/>
          <w:sz w:val="44"/>
          <w:szCs w:val="44"/>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Style w:val="10"/>
          <w:rFonts w:hint="default" w:ascii="方正小标宋简体" w:hAnsi="方正小标宋简体" w:eastAsia="方正小标宋简体" w:cs="方正小标宋简体"/>
          <w:b w:val="0"/>
          <w:bCs w:val="0"/>
          <w:sz w:val="44"/>
          <w:szCs w:val="44"/>
          <w:lang w:val="en-US"/>
        </w:rPr>
      </w:pPr>
      <w:r>
        <w:rPr>
          <w:rStyle w:val="10"/>
          <w:rFonts w:hint="eastAsia" w:ascii="方正小标宋简体" w:hAnsi="方正小标宋简体" w:eastAsia="方正小标宋简体" w:cs="方正小标宋简体"/>
          <w:sz w:val="44"/>
          <w:szCs w:val="44"/>
          <w:lang w:val="en-US" w:eastAsia="zh-CN"/>
        </w:rPr>
        <w:t>西安市</w:t>
      </w:r>
      <w:r>
        <w:rPr>
          <w:rStyle w:val="10"/>
          <w:rFonts w:hint="eastAsia" w:ascii="方正小标宋简体" w:hAnsi="方正小标宋简体" w:eastAsia="方正小标宋简体" w:cs="方正小标宋简体"/>
          <w:sz w:val="44"/>
          <w:szCs w:val="44"/>
          <w:lang w:eastAsia="zh-CN"/>
        </w:rPr>
        <w:t>阎良区</w:t>
      </w:r>
      <w:r>
        <w:rPr>
          <w:rStyle w:val="10"/>
          <w:rFonts w:hint="eastAsia" w:ascii="方正小标宋简体" w:hAnsi="方正小标宋简体" w:eastAsia="方正小标宋简体" w:cs="方正小标宋简体"/>
          <w:sz w:val="44"/>
          <w:szCs w:val="44"/>
          <w:lang w:val="en-US" w:eastAsia="zh-CN"/>
        </w:rPr>
        <w:t>体育场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Style w:val="10"/>
          <w:rFonts w:ascii="方正小标宋简体" w:hAnsi="方正小标宋简体" w:eastAsia="方正小标宋简体" w:cs="方正小标宋简体"/>
          <w:b w:val="0"/>
          <w:bCs w:val="0"/>
          <w:color w:val="000000"/>
          <w:sz w:val="44"/>
          <w:szCs w:val="44"/>
        </w:rPr>
      </w:pPr>
      <w:r>
        <w:rPr>
          <w:rStyle w:val="10"/>
          <w:rFonts w:hint="eastAsia" w:ascii="方正小标宋简体" w:hAnsi="方正小标宋简体" w:eastAsia="方正小标宋简体" w:cs="方正小标宋简体"/>
          <w:color w:val="000000"/>
          <w:sz w:val="44"/>
          <w:szCs w:val="44"/>
          <w:lang w:eastAsia="zh-CN"/>
        </w:rPr>
        <w:t>2020年</w:t>
      </w:r>
      <w:r>
        <w:rPr>
          <w:rStyle w:val="10"/>
          <w:rFonts w:hint="eastAsia" w:ascii="方正小标宋简体" w:hAnsi="方正小标宋简体" w:eastAsia="方正小标宋简体" w:cs="方正小标宋简体"/>
          <w:color w:val="000000"/>
          <w:sz w:val="44"/>
          <w:szCs w:val="44"/>
        </w:rPr>
        <w:t>部门决算</w:t>
      </w:r>
    </w:p>
    <w:p>
      <w:pPr>
        <w:pStyle w:val="6"/>
        <w:shd w:val="clear" w:color="auto" w:fill="FFFFFF"/>
        <w:spacing w:before="0" w:beforeAutospacing="0" w:after="0" w:afterAutospacing="0" w:line="520" w:lineRule="exact"/>
        <w:jc w:val="center"/>
        <w:rPr>
          <w:rStyle w:val="10"/>
          <w:rFonts w:ascii="方正小标宋简体" w:hAnsi="方正小标宋简体" w:eastAsia="方正小标宋简体" w:cs="方正小标宋简体"/>
          <w:b w:val="0"/>
          <w:bCs w:val="0"/>
          <w:color w:val="000000"/>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lang w:eastAsia="zh-CN"/>
        </w:rPr>
        <w:t>己审查</w:t>
      </w:r>
    </w:p>
    <w:p>
      <w:pPr>
        <w:spacing w:line="400" w:lineRule="exact"/>
        <w:jc w:val="center"/>
        <w:rPr>
          <w:rFonts w:hint="eastAsia" w:asciiTheme="minorEastAsia" w:hAnsiTheme="minorEastAsia" w:eastAsiaTheme="minorEastAsia" w:cstheme="minorEastAsia"/>
          <w:b/>
          <w:bCs/>
          <w:sz w:val="32"/>
          <w:szCs w:val="32"/>
          <w:highlight w:val="yellow"/>
        </w:rPr>
      </w:pPr>
    </w:p>
    <w:p>
      <w:pPr>
        <w:spacing w:line="400" w:lineRule="exact"/>
        <w:ind w:firstLine="2088" w:firstLineChars="650"/>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lang w:eastAsia="zh-CN"/>
        </w:rPr>
        <w:t>刘幼红己审签</w:t>
      </w:r>
    </w:p>
    <w:p>
      <w:pPr>
        <w:pStyle w:val="2"/>
      </w:pPr>
    </w:p>
    <w:p>
      <w:pPr>
        <w:jc w:val="both"/>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w:t>
      </w:r>
      <w:r>
        <w:rPr>
          <w:rFonts w:hint="eastAsia" w:ascii="黑体" w:hAnsi="宋体" w:eastAsia="黑体"/>
          <w:bCs/>
          <w:color w:val="000000"/>
          <w:kern w:val="0"/>
          <w:sz w:val="36"/>
          <w:szCs w:val="36"/>
          <w:lang w:val="en-US" w:eastAsia="zh-CN"/>
        </w:rPr>
        <w:t xml:space="preserve">  </w:t>
      </w:r>
      <w:r>
        <w:rPr>
          <w:rFonts w:ascii="黑体" w:hAnsi="宋体" w:eastAsia="黑体"/>
          <w:bCs/>
          <w:color w:val="000000"/>
          <w:kern w:val="0"/>
          <w:sz w:val="36"/>
          <w:szCs w:val="36"/>
        </w:rPr>
        <w:t>录</w:t>
      </w:r>
    </w:p>
    <w:p>
      <w:pPr>
        <w:jc w:val="center"/>
        <w:rPr>
          <w:rFonts w:ascii="黑体" w:hAnsi="宋体" w:eastAsia="黑体"/>
          <w:bCs/>
          <w:color w:val="000000"/>
          <w:kern w:val="0"/>
          <w:sz w:val="36"/>
          <w:szCs w:val="36"/>
        </w:rPr>
      </w:pPr>
    </w:p>
    <w:p>
      <w:pPr>
        <w:widowControl/>
        <w:spacing w:line="360" w:lineRule="auto"/>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color w:val="000000"/>
          <w:kern w:val="0"/>
          <w:sz w:val="36"/>
          <w:szCs w:val="36"/>
        </w:rPr>
        <w:t xml:space="preserve">第一部分 </w:t>
      </w:r>
      <w:r>
        <w:rPr>
          <w:rFonts w:hint="eastAsia" w:asciiTheme="majorEastAsia" w:hAnsiTheme="majorEastAsia" w:eastAsiaTheme="majorEastAsia" w:cstheme="majorEastAsia"/>
          <w:b/>
          <w:bCs/>
          <w:color w:val="000000"/>
          <w:kern w:val="0"/>
          <w:sz w:val="36"/>
          <w:szCs w:val="36"/>
          <w:lang w:val="en-US" w:eastAsia="zh-CN"/>
        </w:rPr>
        <w:t xml:space="preserve"> </w:t>
      </w:r>
      <w:r>
        <w:rPr>
          <w:rFonts w:hint="eastAsia" w:asciiTheme="majorEastAsia" w:hAnsiTheme="majorEastAsia" w:eastAsiaTheme="majorEastAsia" w:cstheme="majorEastAsia"/>
          <w:b/>
          <w:bCs/>
          <w:color w:val="000000"/>
          <w:kern w:val="0"/>
          <w:sz w:val="36"/>
          <w:szCs w:val="36"/>
        </w:rPr>
        <w:t>部门概况</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spacing w:line="360" w:lineRule="auto"/>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color w:val="000000"/>
          <w:kern w:val="0"/>
          <w:sz w:val="36"/>
          <w:szCs w:val="36"/>
        </w:rPr>
        <w:t xml:space="preserve">第二部分  </w:t>
      </w:r>
      <w:r>
        <w:rPr>
          <w:rFonts w:hint="eastAsia" w:asciiTheme="majorEastAsia" w:hAnsiTheme="majorEastAsia" w:eastAsiaTheme="majorEastAsia" w:cstheme="majorEastAsia"/>
          <w:b/>
          <w:bCs/>
          <w:color w:val="000000"/>
          <w:kern w:val="0"/>
          <w:sz w:val="36"/>
          <w:szCs w:val="36"/>
          <w:lang w:eastAsia="zh-CN"/>
        </w:rPr>
        <w:t>2020年</w:t>
      </w:r>
      <w:r>
        <w:rPr>
          <w:rFonts w:hint="eastAsia" w:asciiTheme="majorEastAsia" w:hAnsiTheme="majorEastAsia" w:eastAsiaTheme="majorEastAsia" w:cstheme="majorEastAsia"/>
          <w:b/>
          <w:bCs/>
          <w:color w:val="000000"/>
          <w:kern w:val="0"/>
          <w:sz w:val="36"/>
          <w:szCs w:val="36"/>
        </w:rPr>
        <w:t>部门决算表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九、国有资本经营预算财政拨款支出决算表</w:t>
      </w:r>
    </w:p>
    <w:p>
      <w:pPr>
        <w:widowControl/>
        <w:spacing w:line="360" w:lineRule="auto"/>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color w:val="000000"/>
          <w:kern w:val="0"/>
          <w:sz w:val="36"/>
          <w:szCs w:val="36"/>
        </w:rPr>
        <w:t xml:space="preserve">第三部分 </w:t>
      </w:r>
      <w:r>
        <w:rPr>
          <w:rFonts w:hint="eastAsia" w:asciiTheme="majorEastAsia" w:hAnsiTheme="majorEastAsia" w:eastAsiaTheme="majorEastAsia" w:cstheme="majorEastAsia"/>
          <w:b/>
          <w:bCs/>
          <w:color w:val="000000"/>
          <w:kern w:val="0"/>
          <w:sz w:val="36"/>
          <w:szCs w:val="36"/>
          <w:lang w:val="en-US" w:eastAsia="zh-CN"/>
        </w:rPr>
        <w:t xml:space="preserve"> </w:t>
      </w:r>
      <w:r>
        <w:rPr>
          <w:rFonts w:hint="eastAsia" w:asciiTheme="majorEastAsia" w:hAnsiTheme="majorEastAsia" w:eastAsiaTheme="majorEastAsia" w:cstheme="majorEastAsia"/>
          <w:b/>
          <w:bCs/>
          <w:color w:val="000000"/>
          <w:kern w:val="0"/>
          <w:sz w:val="36"/>
          <w:szCs w:val="36"/>
          <w:lang w:eastAsia="zh-CN"/>
        </w:rPr>
        <w:t>2020年</w:t>
      </w:r>
      <w:r>
        <w:rPr>
          <w:rFonts w:hint="eastAsia" w:asciiTheme="majorEastAsia" w:hAnsiTheme="majorEastAsia" w:eastAsiaTheme="majorEastAsia" w:cstheme="majorEastAsia"/>
          <w:b/>
          <w:bCs/>
          <w:color w:val="000000"/>
          <w:kern w:val="0"/>
          <w:sz w:val="36"/>
          <w:szCs w:val="36"/>
        </w:rPr>
        <w:t>部门决算情况说明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w:t>
      </w:r>
      <w:r>
        <w:rPr>
          <w:rFonts w:hint="eastAsia" w:ascii="仿宋" w:hAnsi="仿宋" w:eastAsia="仿宋" w:cs="楷体"/>
          <w:color w:val="000000"/>
          <w:kern w:val="0"/>
          <w:szCs w:val="32"/>
          <w:lang w:eastAsia="zh-CN"/>
        </w:rPr>
        <w:t>机关运行经费支出</w:t>
      </w:r>
      <w:r>
        <w:rPr>
          <w:rFonts w:hint="eastAsia" w:ascii="仿宋" w:hAnsi="仿宋" w:eastAsia="仿宋" w:cs="楷体"/>
          <w:color w:val="000000"/>
          <w:kern w:val="0"/>
          <w:szCs w:val="32"/>
        </w:rPr>
        <w:t>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十一、</w:t>
      </w:r>
      <w:r>
        <w:rPr>
          <w:rFonts w:hint="eastAsia" w:ascii="仿宋" w:hAnsi="仿宋" w:eastAsia="仿宋" w:cs="楷体"/>
          <w:color w:val="000000"/>
          <w:kern w:val="0"/>
          <w:szCs w:val="32"/>
          <w:lang w:eastAsia="zh-CN"/>
        </w:rPr>
        <w:t>政府采购支出情况</w:t>
      </w:r>
      <w:r>
        <w:rPr>
          <w:rFonts w:hint="eastAsia" w:ascii="仿宋" w:hAnsi="仿宋" w:eastAsia="仿宋" w:cs="楷体"/>
          <w:color w:val="000000"/>
          <w:kern w:val="0"/>
          <w:szCs w:val="32"/>
        </w:rPr>
        <w:t>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十二、国有资产占用及购置情况说明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十三、预算绩效情况说明</w:t>
      </w:r>
    </w:p>
    <w:p>
      <w:pPr>
        <w:spacing w:line="360" w:lineRule="auto"/>
        <w:jc w:val="center"/>
        <w:rPr>
          <w:rFonts w:hint="eastAsia"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bCs/>
          <w:color w:val="000000"/>
          <w:kern w:val="0"/>
          <w:sz w:val="36"/>
          <w:szCs w:val="36"/>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hint="eastAsia"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bCs/>
          <w:color w:val="000000"/>
          <w:kern w:val="0"/>
          <w:sz w:val="36"/>
          <w:szCs w:val="36"/>
        </w:rPr>
        <w:t>部门概况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ascii="黑体" w:hAnsi="宋体" w:eastAsia="黑体"/>
          <w:color w:val="000000"/>
          <w:kern w:val="0"/>
          <w:sz w:val="32"/>
          <w:szCs w:val="32"/>
        </w:rPr>
      </w:pPr>
    </w:p>
    <w:p>
      <w:pPr>
        <w:pStyle w:val="6"/>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outlineLvl w:val="9"/>
        <w:rPr>
          <w:rFonts w:hint="eastAsia" w:ascii="仿宋" w:hAnsi="仿宋" w:eastAsia="仿宋" w:cs="仿宋"/>
          <w:b/>
          <w:bCs w:val="0"/>
          <w:color w:val="000000"/>
          <w:kern w:val="0"/>
          <w:sz w:val="32"/>
          <w:szCs w:val="32"/>
          <w:lang w:val="en-US" w:eastAsia="zh-CN" w:bidi="ar-SA"/>
        </w:rPr>
      </w:pPr>
      <w:r>
        <w:rPr>
          <w:rFonts w:hint="eastAsia" w:ascii="仿宋" w:hAnsi="仿宋" w:eastAsia="仿宋" w:cs="仿宋"/>
          <w:b/>
          <w:bCs w:val="0"/>
          <w:color w:val="000000"/>
          <w:kern w:val="0"/>
          <w:sz w:val="32"/>
          <w:szCs w:val="32"/>
          <w:lang w:val="en-US" w:eastAsia="zh-CN" w:bidi="ar-SA"/>
        </w:rPr>
        <w:t>部门主要职责及内设机构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宋体" w:eastAsia="黑体"/>
          <w:color w:val="000000"/>
          <w:kern w:val="0"/>
          <w:szCs w:val="32"/>
        </w:rPr>
      </w:pPr>
      <w:r>
        <w:rPr>
          <w:rFonts w:hint="eastAsia" w:ascii="仿宋" w:hAnsi="仿宋" w:eastAsia="仿宋" w:cs="仿宋"/>
          <w:szCs w:val="32"/>
        </w:rPr>
        <w:t>阎良区体育场为我区差额事业单位，机构在职人员8人，退休人员7人。主要工作为指导全区各项体育运动，促进体育事业发展，优秀运动队建设，后备人才的培养，项目注册管理，群众各项体育项目竞赛的管理与组织教练员、裁判员等级的培训等。</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（一）主要职责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Cs w:val="32"/>
        </w:rPr>
      </w:pPr>
      <w:r>
        <w:rPr>
          <w:rFonts w:hint="eastAsia" w:ascii="仿宋" w:hAnsi="仿宋" w:eastAsia="仿宋" w:cs="仿宋"/>
          <w:szCs w:val="32"/>
        </w:rPr>
        <w:t>1.贯彻落实党和国家体育工作方针、政策,拟定并组织实施全区体育事业中长期发展规划,推进全区体育公共服务和体育体制改革,促进多元化体育服务体系建设。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Cs w:val="32"/>
        </w:rPr>
      </w:pPr>
      <w:r>
        <w:rPr>
          <w:rFonts w:hint="eastAsia" w:ascii="仿宋" w:hAnsi="仿宋" w:eastAsia="仿宋" w:cs="仿宋"/>
          <w:szCs w:val="32"/>
        </w:rPr>
        <w:t>2.推行《全民健身计划》,指导开展群众性体育活动,实施国家体育锻炼标准,开展国民体质监测;指导公共体育设施建设,负责公共体育设施的监督管理。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Cs w:val="32"/>
        </w:rPr>
      </w:pPr>
      <w:r>
        <w:rPr>
          <w:rFonts w:hint="eastAsia" w:ascii="仿宋" w:hAnsi="仿宋" w:eastAsia="仿宋" w:cs="仿宋"/>
          <w:szCs w:val="32"/>
        </w:rPr>
        <w:t>3.组织制定全区体育竞赛制度、计划;组织参加和承办体育竞赛,举办全区综合性体育竞赛。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Cs w:val="32"/>
        </w:rPr>
      </w:pPr>
      <w:r>
        <w:rPr>
          <w:rFonts w:hint="eastAsia" w:ascii="仿宋" w:hAnsi="仿宋" w:eastAsia="仿宋" w:cs="仿宋"/>
          <w:szCs w:val="32"/>
        </w:rPr>
        <w:t>4.指导全区业余训练和优秀运动队建设,培养体育后备人才;统筹规划全区青少年体育发展,指导和推进青少年体育工作。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Cs w:val="32"/>
        </w:rPr>
      </w:pPr>
      <w:r>
        <w:rPr>
          <w:rFonts w:hint="eastAsia" w:ascii="仿宋" w:hAnsi="仿宋" w:eastAsia="仿宋" w:cs="仿宋"/>
          <w:szCs w:val="32"/>
        </w:rPr>
        <w:t>5.负责全区体育社团的业务指导;负责体育培训机构管理工作。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Cs w:val="32"/>
        </w:rPr>
      </w:pPr>
      <w:r>
        <w:rPr>
          <w:rFonts w:hint="eastAsia" w:ascii="仿宋" w:hAnsi="仿宋" w:eastAsia="仿宋" w:cs="仿宋"/>
          <w:szCs w:val="32"/>
        </w:rPr>
        <w:t>6.承办上级管理部门交办的其他事项。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（二）内设机构</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 w:hAnsi="仿宋" w:eastAsia="仿宋" w:cs="仿宋"/>
          <w:color w:val="000000"/>
          <w:kern w:val="0"/>
          <w:szCs w:val="32"/>
        </w:rPr>
      </w:pPr>
      <w:r>
        <w:rPr>
          <w:rFonts w:hint="eastAsia" w:ascii="仿宋" w:hAnsi="仿宋" w:eastAsia="仿宋" w:cs="仿宋"/>
          <w:color w:val="000000"/>
          <w:kern w:val="0"/>
          <w:szCs w:val="32"/>
        </w:rPr>
        <w:t>根据上述职责任务，阎良区体育场设2个内设机构</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000000"/>
          <w:kern w:val="0"/>
          <w:szCs w:val="32"/>
        </w:rPr>
      </w:pPr>
      <w:r>
        <w:rPr>
          <w:rFonts w:hint="eastAsia" w:ascii="仿宋" w:hAnsi="仿宋" w:eastAsia="仿宋" w:cs="仿宋"/>
          <w:color w:val="000000"/>
          <w:kern w:val="0"/>
          <w:szCs w:val="32"/>
          <w:lang w:val="en-US" w:eastAsia="zh-CN"/>
        </w:rPr>
        <w:t>1.</w:t>
      </w:r>
      <w:r>
        <w:rPr>
          <w:rFonts w:hint="eastAsia" w:ascii="仿宋" w:hAnsi="仿宋" w:eastAsia="仿宋" w:cs="仿宋"/>
          <w:color w:val="000000"/>
          <w:kern w:val="0"/>
          <w:szCs w:val="32"/>
        </w:rPr>
        <w:t>综合科(下设办公室和财务室）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rPr>
      </w:pPr>
      <w:r>
        <w:rPr>
          <w:rFonts w:hint="eastAsia" w:ascii="仿宋" w:hAnsi="仿宋" w:eastAsia="仿宋" w:cs="仿宋"/>
          <w:color w:val="000000"/>
          <w:kern w:val="0"/>
          <w:szCs w:val="32"/>
        </w:rPr>
        <w:t>办公室职责：</w:t>
      </w:r>
      <w:r>
        <w:rPr>
          <w:rFonts w:hint="eastAsia" w:ascii="仿宋" w:hAnsi="仿宋" w:eastAsia="仿宋" w:cs="仿宋"/>
          <w:szCs w:val="32"/>
        </w:rPr>
        <w:t>1</w:t>
      </w:r>
      <w:r>
        <w:rPr>
          <w:rFonts w:hint="eastAsia" w:ascii="仿宋_GB2312" w:hAnsi="仿宋_GB2312" w:eastAsia="仿宋_GB2312" w:cs="仿宋_GB2312"/>
          <w:szCs w:val="32"/>
        </w:rPr>
        <w:t>.负责体育场业务文件接收、登记、材料起草、文件归档、工作督办、印章管理等工作；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2.负责体育场信息采编上报、批示办理等情况；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3.负责筹备会议、专题会议议题汇总、材料收集、会议记录及会场布置等；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szCs w:val="32"/>
        </w:rPr>
      </w:pPr>
      <w:r>
        <w:rPr>
          <w:rFonts w:hint="eastAsia" w:ascii="仿宋_GB2312" w:hAnsi="仿宋_GB2312" w:eastAsia="仿宋_GB2312" w:cs="仿宋_GB2312"/>
          <w:szCs w:val="32"/>
        </w:rPr>
        <w:t>4.</w:t>
      </w:r>
      <w:r>
        <w:rPr>
          <w:rFonts w:hint="eastAsia" w:ascii="仿宋_GB2312" w:hAnsi="仿宋_GB2312" w:eastAsia="仿宋_GB2312" w:cs="仿宋_GB2312"/>
          <w:bCs/>
          <w:szCs w:val="32"/>
        </w:rPr>
        <w:t>负责群众来信、来访和网上信访的分解、办理、回复工作；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5.负责起草体育场工作要点、总结，具体落实各项学习教育活动和检查、汇报等；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b/>
          <w:bCs/>
          <w:color w:val="000000"/>
          <w:kern w:val="0"/>
          <w:szCs w:val="32"/>
        </w:rPr>
      </w:pPr>
      <w:r>
        <w:rPr>
          <w:rFonts w:hint="eastAsia" w:ascii="仿宋_GB2312" w:hAnsi="仿宋_GB2312" w:eastAsia="仿宋_GB2312" w:cs="仿宋_GB2312"/>
          <w:szCs w:val="32"/>
        </w:rPr>
        <w:t>6.配合领导做好各项管理工作。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 w:hAnsi="楷体" w:eastAsia="楷体" w:cs="楷体"/>
          <w:b/>
          <w:bCs/>
          <w:color w:val="000000"/>
          <w:kern w:val="0"/>
          <w:szCs w:val="32"/>
        </w:rPr>
      </w:pPr>
      <w:r>
        <w:rPr>
          <w:rFonts w:hint="eastAsia" w:ascii="楷体" w:hAnsi="楷体" w:eastAsia="楷体" w:cs="楷体"/>
          <w:b/>
          <w:bCs/>
          <w:color w:val="000000"/>
          <w:kern w:val="0"/>
          <w:szCs w:val="32"/>
        </w:rPr>
        <w:t>财务室职责</w:t>
      </w:r>
      <w:r>
        <w:rPr>
          <w:rFonts w:hint="eastAsia" w:ascii="楷体" w:hAnsi="楷体" w:eastAsia="楷体" w:cs="楷体"/>
          <w:b w:val="0"/>
          <w:bCs w:val="0"/>
          <w:color w:val="000000"/>
          <w:kern w:val="0"/>
          <w:szCs w:val="32"/>
        </w:rPr>
        <w:t>：1.</w:t>
      </w:r>
      <w:r>
        <w:rPr>
          <w:rFonts w:hint="eastAsia" w:ascii="仿宋" w:hAnsi="仿宋" w:eastAsia="仿宋" w:cs="仿宋"/>
          <w:szCs w:val="32"/>
        </w:rPr>
        <w:t>按期完成个月记账、结账和账务处理，以及各类会计档案进行了分类、装订、归档，及时准确的填报各类月度、季度、年终财务报表，并及时向各个部门报送；2.认真做好年度部门决算工作，并按照要求及时报送本部门的预决算和三公经费等各类报表；及时办理单位各个职工的工资、养老、医疗和公积金等业务的审批和申报工作，保障职工的切身利益，解决职工的后顾之忧。</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ascii="楷体" w:hAnsi="楷体" w:eastAsia="楷体" w:cs="楷体"/>
          <w:b/>
          <w:bCs/>
          <w:color w:val="000000"/>
          <w:kern w:val="0"/>
          <w:szCs w:val="32"/>
        </w:rPr>
      </w:pPr>
      <w:r>
        <w:rPr>
          <w:rFonts w:hint="eastAsia" w:ascii="楷体" w:hAnsi="楷体" w:eastAsia="楷体" w:cs="楷体"/>
          <w:b/>
          <w:bCs/>
          <w:color w:val="000000"/>
          <w:kern w:val="0"/>
          <w:szCs w:val="32"/>
        </w:rPr>
        <w:t>业务科职责：</w:t>
      </w:r>
      <w:r>
        <w:rPr>
          <w:rFonts w:hint="eastAsia" w:ascii="仿宋" w:hAnsi="仿宋" w:eastAsia="仿宋" w:cs="仿宋"/>
          <w:szCs w:val="32"/>
        </w:rPr>
        <w:t>群众体育赛事和竞技比赛组织与管理，教练员、裁判员等级培训，全区青少年运动员项目注册与管理，体育场馆日常管理等。</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 w:hAnsi="仿宋" w:eastAsia="仿宋" w:cs="仿宋"/>
          <w:b/>
          <w:bCs/>
          <w:highlight w:val="none"/>
        </w:rPr>
      </w:pPr>
      <w:r>
        <w:rPr>
          <w:rFonts w:hint="eastAsia" w:ascii="仿宋" w:hAnsi="仿宋" w:eastAsia="仿宋" w:cs="仿宋"/>
          <w:b/>
          <w:bCs/>
          <w:color w:val="000000"/>
          <w:kern w:val="0"/>
          <w:sz w:val="32"/>
          <w:szCs w:val="32"/>
          <w:highlight w:val="none"/>
          <w:lang w:bidi="ar"/>
        </w:rPr>
        <w:t>二、部门决算单位构成</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纳入</w:t>
      </w:r>
      <w:r>
        <w:rPr>
          <w:rFonts w:hint="eastAsia" w:ascii="仿宋_GB2312" w:hAnsi="仿宋_GB2312" w:eastAsia="仿宋_GB2312" w:cs="仿宋_GB2312"/>
          <w:sz w:val="32"/>
          <w:szCs w:val="32"/>
          <w:highlight w:val="none"/>
          <w:lang w:eastAsia="zh-CN"/>
        </w:rPr>
        <w:t>2020年度</w:t>
      </w:r>
      <w:r>
        <w:rPr>
          <w:rFonts w:hint="eastAsia" w:ascii="仿宋_GB2312" w:hAnsi="仿宋_GB2312" w:eastAsia="仿宋_GB2312" w:cs="仿宋_GB2312"/>
          <w:sz w:val="32"/>
          <w:szCs w:val="32"/>
          <w:highlight w:val="none"/>
        </w:rPr>
        <w:t>本部门决算编制范围的单位共</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个，包括本级及所属</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w:t>
      </w:r>
      <w:r>
        <w:rPr>
          <w:rFonts w:ascii="仿宋_GB2312" w:hAnsi="仿宋_GB2312" w:eastAsia="仿宋_GB2312" w:cs="仿宋_GB2312"/>
          <w:color w:val="000000"/>
          <w:kern w:val="0"/>
          <w:sz w:val="31"/>
          <w:szCs w:val="31"/>
          <w:highlight w:val="none"/>
          <w:lang w:bidi="ar"/>
        </w:rPr>
        <w:t>二级预算</w:t>
      </w:r>
      <w:r>
        <w:rPr>
          <w:rFonts w:hint="eastAsia" w:ascii="仿宋_GB2312" w:hAnsi="仿宋_GB2312" w:eastAsia="仿宋_GB2312" w:cs="仿宋_GB2312"/>
          <w:sz w:val="32"/>
          <w:szCs w:val="32"/>
          <w:highlight w:val="none"/>
        </w:rPr>
        <w:t>单位：</w:t>
      </w:r>
    </w:p>
    <w:tbl>
      <w:tblPr>
        <w:tblStyle w:val="8"/>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6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681" w:type="dxa"/>
            <w:vAlign w:val="center"/>
          </w:tcPr>
          <w:p>
            <w:pPr>
              <w:jc w:val="center"/>
              <w:rPr>
                <w:rFonts w:ascii="黑体" w:hAnsi="黑体" w:eastAsia="黑体"/>
                <w:sz w:val="32"/>
                <w:szCs w:val="32"/>
                <w:highlight w:val="none"/>
              </w:rPr>
            </w:pPr>
            <w:r>
              <w:rPr>
                <w:rFonts w:hint="eastAsia" w:ascii="黑体" w:hAnsi="黑体" w:eastAsia="黑体"/>
                <w:sz w:val="32"/>
                <w:szCs w:val="32"/>
                <w:highlight w:val="none"/>
              </w:rPr>
              <w:t>序号</w:t>
            </w:r>
          </w:p>
        </w:tc>
        <w:tc>
          <w:tcPr>
            <w:tcW w:w="6860" w:type="dxa"/>
            <w:vAlign w:val="center"/>
          </w:tcPr>
          <w:p>
            <w:pPr>
              <w:jc w:val="center"/>
              <w:rPr>
                <w:rFonts w:ascii="黑体" w:hAnsi="黑体" w:eastAsia="黑体"/>
                <w:sz w:val="32"/>
                <w:szCs w:val="32"/>
                <w:highlight w:val="none"/>
              </w:rPr>
            </w:pPr>
            <w:r>
              <w:rPr>
                <w:rFonts w:hint="eastAsia" w:ascii="黑体" w:hAnsi="黑体" w:eastAsia="黑体"/>
                <w:sz w:val="32"/>
                <w:szCs w:val="32"/>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81"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6860" w:type="dxa"/>
            <w:vAlign w:val="center"/>
          </w:tcPr>
          <w:p>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西安市阎良区体育场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81"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p>
        </w:tc>
        <w:tc>
          <w:tcPr>
            <w:tcW w:w="6860"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681"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p>
        </w:tc>
        <w:tc>
          <w:tcPr>
            <w:tcW w:w="6860"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81"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c>
          <w:tcPr>
            <w:tcW w:w="6860"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r>
    </w:tbl>
    <w:p>
      <w:pPr>
        <w:ind w:firstLine="640"/>
        <w:rPr>
          <w:rFonts w:hint="eastAsia" w:ascii="仿宋" w:hAnsi="仿宋" w:eastAsia="仿宋" w:cs="仿宋"/>
          <w:b/>
          <w:bCs/>
          <w:sz w:val="32"/>
          <w:szCs w:val="32"/>
        </w:rPr>
      </w:pPr>
      <w:r>
        <w:rPr>
          <w:rFonts w:hint="eastAsia" w:ascii="仿宋" w:hAnsi="仿宋" w:eastAsia="仿宋" w:cs="仿宋"/>
          <w:b/>
          <w:bCs/>
          <w:sz w:val="32"/>
          <w:szCs w:val="32"/>
        </w:rPr>
        <w:t>三、部门人员情况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eastAsia="zh-CN"/>
        </w:rPr>
        <w:t>2020年</w:t>
      </w:r>
      <w:r>
        <w:rPr>
          <w:rFonts w:hint="eastAsia" w:ascii="仿宋_GB2312" w:hAnsi="仿宋_GB2312" w:eastAsia="仿宋_GB2312" w:cs="仿宋_GB2312"/>
          <w:sz w:val="32"/>
          <w:szCs w:val="32"/>
        </w:rPr>
        <w:t>底，本部门人员编制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人、事业编制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人；实有人员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人，其中行政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人、事业</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人。单位管理的离退休人员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Cs w:val="32"/>
        </w:rPr>
        <w:drawing>
          <wp:inline distT="0" distB="0" distL="114300" distR="114300">
            <wp:extent cx="5430520" cy="2361565"/>
            <wp:effectExtent l="5080" t="4445" r="12700" b="1524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jc w:val="center"/>
        <w:rPr>
          <w:rFonts w:hint="eastAsia" w:asciiTheme="majorEastAsia" w:hAnsiTheme="majorEastAsia" w:eastAsiaTheme="majorEastAsia" w:cstheme="majorEastAsia"/>
          <w:b/>
          <w:bCs/>
          <w:color w:val="000000"/>
          <w:kern w:val="0"/>
          <w:sz w:val="36"/>
          <w:szCs w:val="36"/>
        </w:rPr>
      </w:pPr>
    </w:p>
    <w:p>
      <w:pPr>
        <w:widowControl/>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color w:val="000000"/>
          <w:kern w:val="0"/>
          <w:sz w:val="36"/>
          <w:szCs w:val="36"/>
        </w:rPr>
        <w:t xml:space="preserve">第二部分 </w:t>
      </w:r>
      <w:r>
        <w:rPr>
          <w:rFonts w:hint="eastAsia" w:asciiTheme="majorEastAsia" w:hAnsiTheme="majorEastAsia" w:eastAsiaTheme="majorEastAsia" w:cstheme="majorEastAsia"/>
          <w:b/>
          <w:bCs/>
          <w:color w:val="000000"/>
          <w:kern w:val="0"/>
          <w:sz w:val="36"/>
          <w:szCs w:val="36"/>
          <w:lang w:eastAsia="zh-CN"/>
        </w:rPr>
        <w:t>2020年</w:t>
      </w:r>
      <w:r>
        <w:rPr>
          <w:rFonts w:hint="eastAsia" w:asciiTheme="majorEastAsia" w:hAnsiTheme="majorEastAsia" w:eastAsiaTheme="majorEastAsia" w:cstheme="majorEastAsia"/>
          <w:b/>
          <w:bCs/>
          <w:color w:val="000000"/>
          <w:kern w:val="0"/>
          <w:sz w:val="36"/>
          <w:szCs w:val="36"/>
        </w:rPr>
        <w:t>部门决算表</w:t>
      </w:r>
    </w:p>
    <w:tbl>
      <w:tblPr>
        <w:tblStyle w:val="7"/>
        <w:tblpPr w:leftFromText="180" w:rightFromText="180" w:vertAnchor="text" w:horzAnchor="page" w:tblpX="1508" w:tblpY="1123"/>
        <w:tblOverlap w:val="never"/>
        <w:tblW w:w="8741" w:type="dxa"/>
        <w:tblInd w:w="0" w:type="dxa"/>
        <w:tblLayout w:type="fixed"/>
        <w:tblCellMar>
          <w:top w:w="0" w:type="dxa"/>
          <w:left w:w="0" w:type="dxa"/>
          <w:bottom w:w="0" w:type="dxa"/>
          <w:right w:w="0" w:type="dxa"/>
        </w:tblCellMar>
      </w:tblPr>
      <w:tblGrid>
        <w:gridCol w:w="570"/>
        <w:gridCol w:w="5516"/>
        <w:gridCol w:w="945"/>
        <w:gridCol w:w="171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5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492"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5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否</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492"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5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否</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22"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5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否</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0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5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否</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9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5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否</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3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5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否</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551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9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是</w:t>
            </w:r>
          </w:p>
        </w:tc>
        <w:tc>
          <w:tcPr>
            <w:tcW w:w="17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宋体" w:hAnsi="宋体" w:eastAsia="方正仿宋简体" w:cs="宋体"/>
                <w:color w:val="000000"/>
                <w:sz w:val="24"/>
                <w:lang w:val="en-US" w:eastAsia="zh-CN"/>
              </w:rPr>
            </w:pPr>
            <w:r>
              <w:rPr>
                <w:rFonts w:hint="eastAsia" w:ascii="宋体" w:hAnsi="宋体" w:cs="宋体"/>
                <w:color w:val="000000"/>
                <w:sz w:val="24"/>
                <w:lang w:val="en-US" w:eastAsia="zh-CN"/>
              </w:rPr>
              <w:t>无三公经费支出</w:t>
            </w:r>
          </w:p>
        </w:tc>
      </w:tr>
      <w:tr>
        <w:tblPrEx>
          <w:tblCellMar>
            <w:top w:w="0" w:type="dxa"/>
            <w:left w:w="0" w:type="dxa"/>
            <w:bottom w:w="0" w:type="dxa"/>
            <w:right w:w="0" w:type="dxa"/>
          </w:tblCellMar>
        </w:tblPrEx>
        <w:trPr>
          <w:trHeight w:val="55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5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rPr>
              <w:t>政府性基金预算财政拨款收入支出</w:t>
            </w:r>
            <w:r>
              <w:rPr>
                <w:rFonts w:hint="eastAsia" w:ascii="宋体" w:hAnsi="宋体" w:cs="宋体"/>
                <w:color w:val="000000"/>
                <w:kern w:val="0"/>
                <w:sz w:val="21"/>
                <w:szCs w:val="21"/>
                <w:lang w:eastAsia="zh-CN"/>
              </w:rPr>
              <w:t>决算表</w:t>
            </w:r>
          </w:p>
          <w:p>
            <w:pPr>
              <w:widowControl/>
              <w:jc w:val="left"/>
              <w:rPr>
                <w:rFonts w:ascii="宋体" w:hAnsi="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方正仿宋简体" w:cs="宋体"/>
                <w:color w:val="000000"/>
                <w:sz w:val="24"/>
                <w:lang w:val="en-US" w:eastAsia="zh-CN"/>
              </w:rPr>
            </w:pPr>
            <w:r>
              <w:rPr>
                <w:rFonts w:hint="eastAsia" w:ascii="宋体" w:hAnsi="宋体" w:cs="宋体"/>
                <w:color w:val="000000"/>
                <w:sz w:val="24"/>
                <w:lang w:val="en-US" w:eastAsia="zh-CN"/>
              </w:rPr>
              <w:t>是</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方正仿宋简体" w:cs="宋体"/>
                <w:color w:val="000000"/>
                <w:sz w:val="24"/>
                <w:lang w:val="en-US" w:eastAsia="zh-CN"/>
              </w:rPr>
            </w:pPr>
            <w:r>
              <w:rPr>
                <w:rFonts w:hint="eastAsia" w:ascii="宋体" w:hAnsi="宋体" w:cs="宋体"/>
                <w:color w:val="000000"/>
                <w:sz w:val="24"/>
                <w:lang w:val="en-US" w:eastAsia="zh-CN"/>
              </w:rPr>
              <w:t>无政府性基金</w:t>
            </w:r>
          </w:p>
        </w:tc>
      </w:tr>
      <w:tr>
        <w:tblPrEx>
          <w:tblCellMar>
            <w:top w:w="0" w:type="dxa"/>
            <w:left w:w="0" w:type="dxa"/>
            <w:bottom w:w="0" w:type="dxa"/>
            <w:right w:w="0" w:type="dxa"/>
          </w:tblCellMar>
        </w:tblPrEx>
        <w:trPr>
          <w:trHeight w:val="57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方正仿宋简体" w:cs="宋体"/>
                <w:color w:val="000000"/>
                <w:kern w:val="0"/>
                <w:sz w:val="21"/>
                <w:szCs w:val="21"/>
                <w:lang w:val="en-US" w:eastAsia="zh-CN"/>
              </w:rPr>
            </w:pPr>
            <w:r>
              <w:rPr>
                <w:rFonts w:hint="eastAsia" w:ascii="宋体" w:hAnsi="宋体" w:cs="宋体"/>
                <w:color w:val="000000"/>
                <w:kern w:val="0"/>
                <w:sz w:val="21"/>
                <w:szCs w:val="21"/>
                <w:lang w:eastAsia="zh-CN"/>
              </w:rPr>
              <w:t>表</w:t>
            </w:r>
            <w:r>
              <w:rPr>
                <w:rFonts w:hint="eastAsia" w:ascii="宋体" w:hAnsi="宋体" w:cs="宋体"/>
                <w:color w:val="000000"/>
                <w:kern w:val="0"/>
                <w:sz w:val="21"/>
                <w:szCs w:val="21"/>
                <w:lang w:val="en-US" w:eastAsia="zh-CN"/>
              </w:rPr>
              <w:t>9</w:t>
            </w:r>
          </w:p>
        </w:tc>
        <w:tc>
          <w:tcPr>
            <w:tcW w:w="5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方正仿宋简体" w:cs="宋体"/>
                <w:color w:val="000000"/>
                <w:kern w:val="0"/>
                <w:sz w:val="21"/>
                <w:szCs w:val="21"/>
                <w:lang w:eastAsia="zh-CN"/>
              </w:rPr>
            </w:pPr>
            <w:r>
              <w:rPr>
                <w:rFonts w:hint="eastAsia" w:ascii="宋体" w:hAnsi="宋体" w:cs="宋体"/>
                <w:color w:val="000000"/>
                <w:kern w:val="0"/>
                <w:sz w:val="21"/>
                <w:szCs w:val="21"/>
                <w:lang w:eastAsia="zh-CN"/>
              </w:rPr>
              <w:t>国有资本经营预算财政拨款支出决算表</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是</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方正仿宋简体" w:cs="宋体"/>
                <w:color w:val="000000"/>
                <w:sz w:val="24"/>
                <w:lang w:val="en-US" w:eastAsia="zh-CN"/>
              </w:rPr>
            </w:pPr>
            <w:r>
              <w:rPr>
                <w:rFonts w:hint="eastAsia" w:ascii="宋体" w:hAnsi="宋体" w:cs="宋体"/>
                <w:color w:val="000000"/>
                <w:sz w:val="24"/>
                <w:lang w:val="en-US" w:eastAsia="zh-CN"/>
              </w:rPr>
              <w:t>无国有资本经营</w:t>
            </w:r>
          </w:p>
        </w:tc>
      </w:tr>
    </w:tbl>
    <w:p>
      <w:pPr>
        <w:widowControl/>
        <w:rPr>
          <w:rFonts w:ascii="黑体" w:hAnsi="宋体" w:eastAsia="黑体"/>
          <w:color w:val="000000"/>
          <w:kern w:val="0"/>
          <w:sz w:val="44"/>
          <w:szCs w:val="44"/>
        </w:rPr>
      </w:pPr>
    </w:p>
    <w:p>
      <w:pPr>
        <w:widowControl/>
        <w:jc w:val="both"/>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568" w:type="dxa"/>
        <w:tblInd w:w="0" w:type="dxa"/>
        <w:tblLayout w:type="fixed"/>
        <w:tblCellMar>
          <w:top w:w="15" w:type="dxa"/>
          <w:left w:w="15" w:type="dxa"/>
          <w:bottom w:w="15" w:type="dxa"/>
          <w:right w:w="15" w:type="dxa"/>
        </w:tblCellMar>
      </w:tblPr>
      <w:tblGrid>
        <w:gridCol w:w="3388"/>
        <w:gridCol w:w="1080"/>
        <w:gridCol w:w="2930"/>
        <w:gridCol w:w="1170"/>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1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127.13</w:t>
            </w: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123.67</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20、粮油物资储备支出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highlight w:val="none"/>
              </w:rPr>
              <w:t xml:space="preserve"> 2</w:t>
            </w: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国有资本经营预算支出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127.13</w:t>
            </w:r>
          </w:p>
        </w:tc>
        <w:tc>
          <w:tcPr>
            <w:tcW w:w="293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170" w:type="dxa"/>
            <w:tcBorders>
              <w:top w:val="single" w:color="000000" w:sz="4" w:space="0"/>
              <w:left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127.13</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Cs/>
                <w:color w:val="000000"/>
                <w:sz w:val="21"/>
                <w:szCs w:val="21"/>
                <w:lang w:eastAsia="zh-CN"/>
              </w:rPr>
            </w:pPr>
            <w:r>
              <w:rPr>
                <w:rFonts w:hint="eastAsia" w:ascii="宋体" w:hAnsi="宋体" w:eastAsia="宋体" w:cs="宋体"/>
                <w:bCs/>
                <w:color w:val="000000"/>
                <w:kern w:val="0"/>
                <w:sz w:val="21"/>
                <w:szCs w:val="21"/>
                <w:highlight w:val="none"/>
                <w:lang w:eastAsia="zh-CN"/>
              </w:rPr>
              <w:t>使</w:t>
            </w:r>
            <w:r>
              <w:rPr>
                <w:rFonts w:hint="eastAsia" w:ascii="宋体" w:hAnsi="宋体" w:eastAsia="宋体" w:cs="宋体"/>
                <w:bCs/>
                <w:color w:val="000000"/>
                <w:kern w:val="0"/>
                <w:sz w:val="21"/>
                <w:szCs w:val="21"/>
                <w:highlight w:val="none"/>
              </w:rPr>
              <w:t>用</w:t>
            </w:r>
            <w:r>
              <w:rPr>
                <w:rFonts w:hint="eastAsia" w:ascii="宋体" w:hAnsi="宋体" w:eastAsia="宋体" w:cs="宋体"/>
                <w:bCs/>
                <w:color w:val="000000"/>
                <w:kern w:val="0"/>
                <w:sz w:val="21"/>
                <w:szCs w:val="21"/>
                <w:highlight w:val="none"/>
                <w:lang w:eastAsia="zh-CN"/>
              </w:rPr>
              <w:t>非财政拨款结余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17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127.13</w:t>
            </w:r>
          </w:p>
        </w:tc>
        <w:tc>
          <w:tcPr>
            <w:tcW w:w="2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170"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127.13</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
    <w:p/>
    <w:p>
      <w:pPr>
        <w:jc w:val="center"/>
        <w:rPr>
          <w:rFonts w:ascii="宋体" w:hAnsi="宋体" w:eastAsia="宋体" w:cs="宋体"/>
          <w:b/>
          <w:bCs/>
          <w:szCs w:val="32"/>
        </w:rPr>
      </w:pPr>
      <w:r>
        <w:rPr>
          <w:rFonts w:hint="eastAsia" w:ascii="宋体" w:hAnsi="宋体" w:eastAsia="宋体" w:cs="宋体"/>
          <w:b/>
          <w:bCs/>
          <w:szCs w:val="32"/>
        </w:rPr>
        <w:t>收入决算表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7"/>
        <w:tblW w:w="8463" w:type="dxa"/>
        <w:tblInd w:w="0" w:type="dxa"/>
        <w:tblLayout w:type="fixed"/>
        <w:tblCellMar>
          <w:top w:w="15" w:type="dxa"/>
          <w:left w:w="15" w:type="dxa"/>
          <w:bottom w:w="15" w:type="dxa"/>
          <w:right w:w="15" w:type="dxa"/>
        </w:tblCellMar>
      </w:tblPr>
      <w:tblGrid>
        <w:gridCol w:w="927"/>
        <w:gridCol w:w="755"/>
        <w:gridCol w:w="855"/>
        <w:gridCol w:w="870"/>
        <w:gridCol w:w="720"/>
        <w:gridCol w:w="631"/>
        <w:gridCol w:w="1335"/>
        <w:gridCol w:w="750"/>
        <w:gridCol w:w="960"/>
        <w:gridCol w:w="660"/>
      </w:tblGrid>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9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75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127.13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127.13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文化旅游体育与传媒支出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123.67</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123.67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20703</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体育</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123.67</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123.67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2070307</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体育场馆</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123.67</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123.67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卫生健康支出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行政事业单位医疗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2101102</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事业单位医疗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公开03表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7"/>
        <w:tblW w:w="8478" w:type="dxa"/>
        <w:tblInd w:w="0" w:type="dxa"/>
        <w:tblLayout w:type="fixed"/>
        <w:tblCellMar>
          <w:top w:w="15" w:type="dxa"/>
          <w:left w:w="15" w:type="dxa"/>
          <w:bottom w:w="15" w:type="dxa"/>
          <w:right w:w="15" w:type="dxa"/>
        </w:tblCellMar>
      </w:tblPr>
      <w:tblGrid>
        <w:gridCol w:w="914"/>
        <w:gridCol w:w="83"/>
        <w:gridCol w:w="1219"/>
        <w:gridCol w:w="1255"/>
        <w:gridCol w:w="882"/>
        <w:gridCol w:w="990"/>
        <w:gridCol w:w="1005"/>
        <w:gridCol w:w="915"/>
        <w:gridCol w:w="121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8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2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127.13</w:t>
            </w: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127.13</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207</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文化旅游体育与传媒支出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123.67</w:t>
            </w: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123.67</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20703</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体育</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123.67</w:t>
            </w: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123.67</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2070307</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体育场馆</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123.67</w:t>
            </w: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123.67</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2101102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508" w:type="dxa"/>
        <w:tblInd w:w="0" w:type="dxa"/>
        <w:tblLayout w:type="fixed"/>
        <w:tblCellMar>
          <w:top w:w="15" w:type="dxa"/>
          <w:left w:w="15" w:type="dxa"/>
          <w:bottom w:w="15" w:type="dxa"/>
          <w:right w:w="15" w:type="dxa"/>
        </w:tblCellMar>
      </w:tblPr>
      <w:tblGrid>
        <w:gridCol w:w="1383"/>
        <w:gridCol w:w="795"/>
        <w:gridCol w:w="2670"/>
        <w:gridCol w:w="705"/>
        <w:gridCol w:w="990"/>
        <w:gridCol w:w="990"/>
        <w:gridCol w:w="975"/>
      </w:tblGrid>
      <w:tr>
        <w:tblPrEx>
          <w:tblCellMar>
            <w:top w:w="15" w:type="dxa"/>
            <w:left w:w="15" w:type="dxa"/>
            <w:bottom w:w="15" w:type="dxa"/>
            <w:right w:w="15" w:type="dxa"/>
          </w:tblCellMar>
        </w:tblPrEx>
        <w:trPr>
          <w:trHeight w:val="419" w:hRule="atLeast"/>
        </w:trPr>
        <w:tc>
          <w:tcPr>
            <w:tcW w:w="21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633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164"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trHeight w:val="756"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127.13</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56"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56"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38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123.67</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123.67</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02"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02"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21、国有资本经营预算支出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02"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1"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705"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0"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975"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41"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24</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债务还本支出</w:t>
            </w:r>
          </w:p>
        </w:tc>
        <w:tc>
          <w:tcPr>
            <w:tcW w:w="705"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0"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975"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41"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债务付息支出</w:t>
            </w:r>
          </w:p>
        </w:tc>
        <w:tc>
          <w:tcPr>
            <w:tcW w:w="705"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0"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975"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41"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26</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抗疫特别国债安排支出</w:t>
            </w:r>
          </w:p>
        </w:tc>
        <w:tc>
          <w:tcPr>
            <w:tcW w:w="705"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0"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975"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426" w:type="dxa"/>
        <w:tblInd w:w="0" w:type="dxa"/>
        <w:tblLayout w:type="fixed"/>
        <w:tblCellMar>
          <w:top w:w="15" w:type="dxa"/>
          <w:left w:w="15" w:type="dxa"/>
          <w:bottom w:w="15" w:type="dxa"/>
          <w:right w:w="15" w:type="dxa"/>
        </w:tblCellMar>
      </w:tblPr>
      <w:tblGrid>
        <w:gridCol w:w="1681"/>
        <w:gridCol w:w="1304"/>
        <w:gridCol w:w="1523"/>
        <w:gridCol w:w="1032"/>
        <w:gridCol w:w="890"/>
        <w:gridCol w:w="1005"/>
        <w:gridCol w:w="990"/>
        <w:gridCol w:w="1"/>
      </w:tblGrid>
      <w:tr>
        <w:tblPrEx>
          <w:tblCellMar>
            <w:top w:w="15" w:type="dxa"/>
            <w:left w:w="15" w:type="dxa"/>
            <w:bottom w:w="15" w:type="dxa"/>
            <w:right w:w="15" w:type="dxa"/>
          </w:tblCellMar>
        </w:tblPrEx>
        <w:trPr>
          <w:trHeight w:val="578" w:hRule="atLeast"/>
        </w:trPr>
        <w:tc>
          <w:tcPr>
            <w:tcW w:w="29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441"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gridAfter w:val="1"/>
          <w:wAfter w:w="1" w:type="dxa"/>
          <w:trHeight w:val="999"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127.13</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127.13</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127.13</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一般公共预算财政拨款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政府性基金预算财政拨款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val="0"/>
                <w:bCs/>
                <w:color w:val="000000"/>
                <w:kern w:val="0"/>
                <w:sz w:val="21"/>
                <w:szCs w:val="21"/>
                <w:lang w:eastAsia="zh-CN"/>
              </w:rPr>
              <w:t>国有资本经营财政拨款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127.13</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127.13</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127.13</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Pr>
        <w:jc w:val="center"/>
        <w:rPr>
          <w:rFonts w:ascii="宋体" w:hAnsi="宋体" w:eastAsia="宋体" w:cs="宋体"/>
          <w:b/>
          <w:bCs/>
          <w:szCs w:val="32"/>
          <w:highlight w:val="yellow"/>
        </w:rPr>
      </w:pPr>
      <w:r>
        <w:rPr>
          <w:rFonts w:hint="eastAsia" w:ascii="宋体" w:hAnsi="宋体" w:eastAsia="宋体" w:cs="宋体"/>
          <w:b/>
          <w:bCs/>
          <w:szCs w:val="32"/>
          <w:highlight w:val="none"/>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283" w:type="dxa"/>
        <w:tblInd w:w="0" w:type="dxa"/>
        <w:tblLayout w:type="fixed"/>
        <w:tblCellMar>
          <w:top w:w="15" w:type="dxa"/>
          <w:left w:w="15" w:type="dxa"/>
          <w:bottom w:w="15" w:type="dxa"/>
          <w:right w:w="15" w:type="dxa"/>
        </w:tblCellMar>
      </w:tblPr>
      <w:tblGrid>
        <w:gridCol w:w="1170"/>
        <w:gridCol w:w="1537"/>
        <w:gridCol w:w="896"/>
        <w:gridCol w:w="825"/>
        <w:gridCol w:w="930"/>
        <w:gridCol w:w="1020"/>
        <w:gridCol w:w="1020"/>
        <w:gridCol w:w="885"/>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8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775"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127.13</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127.13</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114.17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12.96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207</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文化旅游体育与传媒支出</w:t>
            </w: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123.67</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123.67</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110.71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12.96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20703</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体育</w:t>
            </w: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123.67</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123.67</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110.71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12.96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2070307</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体育场馆</w:t>
            </w: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123.67</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123.67</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110.71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12.96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卫生健康支出</w:t>
            </w: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3.46</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3.46</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行政事业单位医疗</w:t>
            </w: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3.46</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3.46</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事业单位医疗</w:t>
            </w: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3.46</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3.46</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9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jc w:val="right"/>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403" w:type="dxa"/>
        <w:tblInd w:w="0" w:type="dxa"/>
        <w:tblLayout w:type="fixed"/>
        <w:tblCellMar>
          <w:top w:w="15" w:type="dxa"/>
          <w:left w:w="15" w:type="dxa"/>
          <w:bottom w:w="15" w:type="dxa"/>
          <w:right w:w="15" w:type="dxa"/>
        </w:tblCellMar>
      </w:tblPr>
      <w:tblGrid>
        <w:gridCol w:w="1157"/>
        <w:gridCol w:w="2046"/>
        <w:gridCol w:w="1435"/>
        <w:gridCol w:w="1380"/>
        <w:gridCol w:w="1290"/>
        <w:gridCol w:w="109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4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2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4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435"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127.13</w:t>
            </w:r>
          </w:p>
        </w:tc>
        <w:tc>
          <w:tcPr>
            <w:tcW w:w="1380"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114.17</w:t>
            </w:r>
          </w:p>
        </w:tc>
        <w:tc>
          <w:tcPr>
            <w:tcW w:w="1290"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12.95</w:t>
            </w:r>
          </w:p>
        </w:tc>
        <w:tc>
          <w:tcPr>
            <w:tcW w:w="109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工资福利支出 </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93.75</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93.75</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29.72</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29.72</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6.38</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6.38</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绩效工资</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34.37</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34.37</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30108</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机关事业单位基本养老保险缴费</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7.49</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7.49</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 xml:space="preserve">  30</w:t>
            </w:r>
            <w:r>
              <w:rPr>
                <w:rFonts w:hint="eastAsia" w:ascii="宋体" w:hAnsi="宋体" w:eastAsia="宋体" w:cs="宋体"/>
                <w:color w:val="000000"/>
                <w:kern w:val="0"/>
                <w:sz w:val="21"/>
                <w:szCs w:val="21"/>
                <w:lang w:val="en-US" w:eastAsia="zh-CN"/>
              </w:rPr>
              <w:t>109</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职业年金</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0.64</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0.64</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 xml:space="preserve">  30</w:t>
            </w:r>
            <w:r>
              <w:rPr>
                <w:rFonts w:hint="eastAsia" w:ascii="宋体" w:hAnsi="宋体" w:eastAsia="宋体" w:cs="宋体"/>
                <w:color w:val="000000"/>
                <w:kern w:val="0"/>
                <w:sz w:val="21"/>
                <w:szCs w:val="21"/>
                <w:lang w:val="en-US" w:eastAsia="zh-CN"/>
              </w:rPr>
              <w:t>110</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职工基本医疗保险缴费</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3.46</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30113</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住房公积金</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11.69</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11.69</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商品和服务支出</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12.95</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12.95</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1.48</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1.48</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 xml:space="preserve">  302</w:t>
            </w:r>
            <w:r>
              <w:rPr>
                <w:rFonts w:hint="eastAsia" w:ascii="宋体" w:hAnsi="宋体" w:eastAsia="宋体" w:cs="宋体"/>
                <w:color w:val="000000"/>
                <w:kern w:val="0"/>
                <w:sz w:val="21"/>
                <w:szCs w:val="21"/>
                <w:lang w:val="en-US" w:eastAsia="zh-CN"/>
              </w:rPr>
              <w:t>11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差旅费</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0.15</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0.15</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30213</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维修（护）费</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11.32</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11.32</w:t>
            </w: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310</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其他资本性支出</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31002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房屋建筑物购建</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31003</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办公设备购置</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对个人和家庭的补助</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20.42</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20.42</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30302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退休费</w:t>
            </w: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20.42</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20.42</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pStyle w:val="2"/>
      </w:pPr>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448" w:type="dxa"/>
        <w:tblInd w:w="0" w:type="dxa"/>
        <w:tblLayout w:type="fixed"/>
        <w:tblCellMar>
          <w:top w:w="15" w:type="dxa"/>
          <w:left w:w="15" w:type="dxa"/>
          <w:bottom w:w="15" w:type="dxa"/>
          <w:right w:w="15" w:type="dxa"/>
        </w:tblCellMar>
      </w:tblPr>
      <w:tblGrid>
        <w:gridCol w:w="978"/>
        <w:gridCol w:w="885"/>
        <w:gridCol w:w="975"/>
        <w:gridCol w:w="855"/>
        <w:gridCol w:w="855"/>
        <w:gridCol w:w="960"/>
        <w:gridCol w:w="1185"/>
        <w:gridCol w:w="840"/>
        <w:gridCol w:w="915"/>
      </w:tblGrid>
      <w:tr>
        <w:tblPrEx>
          <w:tblCellMar>
            <w:top w:w="15" w:type="dxa"/>
            <w:left w:w="15" w:type="dxa"/>
            <w:bottom w:w="15" w:type="dxa"/>
            <w:right w:w="15" w:type="dxa"/>
          </w:tblCellMar>
        </w:tblPrEx>
        <w:trPr>
          <w:trHeight w:val="726" w:hRule="atLeast"/>
        </w:trPr>
        <w:tc>
          <w:tcPr>
            <w:tcW w:w="9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571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9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9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w:t>
      </w:r>
      <w:r>
        <w:rPr>
          <w:rFonts w:hint="eastAsia" w:ascii="宋体" w:hAnsi="宋体" w:eastAsia="宋体" w:cs="宋体"/>
          <w:sz w:val="21"/>
          <w:szCs w:val="21"/>
          <w:lang w:eastAsia="zh-CN"/>
        </w:rPr>
        <w:t>支出</w:t>
      </w:r>
      <w:r>
        <w:rPr>
          <w:rFonts w:hint="eastAsia" w:ascii="宋体" w:hAnsi="宋体" w:eastAsia="宋体" w:cs="宋体"/>
          <w:sz w:val="21"/>
          <w:szCs w:val="21"/>
        </w:rPr>
        <w:t>预</w:t>
      </w:r>
      <w:r>
        <w:rPr>
          <w:rFonts w:hint="eastAsia" w:ascii="宋体" w:hAnsi="宋体" w:eastAsia="宋体" w:cs="宋体"/>
          <w:sz w:val="21"/>
          <w:szCs w:val="21"/>
          <w:lang w:eastAsia="zh-CN"/>
        </w:rPr>
        <w:t>决</w:t>
      </w:r>
      <w:r>
        <w:rPr>
          <w:rFonts w:hint="eastAsia" w:ascii="宋体" w:hAnsi="宋体" w:eastAsia="宋体" w:cs="宋体"/>
          <w:sz w:val="21"/>
          <w:szCs w:val="21"/>
        </w:rPr>
        <w:t>算</w:t>
      </w:r>
      <w:r>
        <w:rPr>
          <w:rFonts w:hint="eastAsia" w:ascii="宋体" w:hAnsi="宋体" w:eastAsia="宋体" w:cs="宋体"/>
          <w:sz w:val="21"/>
          <w:szCs w:val="21"/>
          <w:lang w:eastAsia="zh-CN"/>
        </w:rPr>
        <w:t>情况</w:t>
      </w:r>
      <w:r>
        <w:rPr>
          <w:rFonts w:hint="eastAsia" w:ascii="宋体" w:hAnsi="宋体" w:eastAsia="宋体" w:cs="宋体"/>
          <w:sz w:val="21"/>
          <w:szCs w:val="21"/>
        </w:rPr>
        <w:t>。</w:t>
      </w:r>
      <w:r>
        <w:rPr>
          <w:rFonts w:hint="eastAsia" w:ascii="宋体" w:hAnsi="宋体" w:eastAsia="宋体" w:cs="宋体"/>
          <w:sz w:val="21"/>
          <w:szCs w:val="21"/>
          <w:lang w:eastAsia="zh-CN"/>
        </w:rPr>
        <w:t>其中，</w:t>
      </w:r>
      <w:r>
        <w:rPr>
          <w:rFonts w:hint="eastAsia" w:ascii="宋体" w:hAnsi="宋体" w:eastAsia="宋体" w:cs="宋体"/>
          <w:sz w:val="21"/>
          <w:szCs w:val="21"/>
        </w:rPr>
        <w:t>预算数为</w:t>
      </w:r>
      <w:r>
        <w:rPr>
          <w:rFonts w:hint="eastAsia" w:ascii="宋体" w:hAnsi="宋体" w:eastAsia="宋体" w:cs="宋体"/>
          <w:sz w:val="21"/>
          <w:szCs w:val="21"/>
          <w:lang w:eastAsia="zh-CN"/>
        </w:rPr>
        <w:t>全年</w:t>
      </w:r>
      <w:r>
        <w:rPr>
          <w:rFonts w:hint="eastAsia" w:ascii="宋体" w:hAnsi="宋体" w:eastAsia="宋体" w:cs="宋体"/>
          <w:sz w:val="21"/>
          <w:szCs w:val="21"/>
        </w:rPr>
        <w:t>预算数</w:t>
      </w:r>
      <w:r>
        <w:rPr>
          <w:rFonts w:hint="eastAsia" w:ascii="宋体" w:hAnsi="宋体" w:eastAsia="宋体" w:cs="宋体"/>
          <w:sz w:val="21"/>
          <w:szCs w:val="21"/>
          <w:lang w:eastAsia="zh-CN"/>
        </w:rPr>
        <w:t>，反映按规定程序调整后的预算数；决算数是包括当年一般公共预算财政拨款和以前年度结转资金安排的实际支出</w:t>
      </w:r>
      <w:r>
        <w:rPr>
          <w:rFonts w:hint="eastAsia" w:ascii="宋体" w:hAnsi="宋体" w:eastAsia="宋体" w:cs="宋体"/>
          <w:sz w:val="21"/>
          <w:szCs w:val="21"/>
        </w:rPr>
        <w:t>。</w:t>
      </w:r>
      <w:r>
        <w:rPr>
          <w:rFonts w:hint="eastAsia" w:ascii="宋体" w:hAnsi="宋体" w:eastAsia="宋体" w:cs="宋体"/>
          <w:color w:val="000000"/>
          <w:kern w:val="0"/>
          <w:sz w:val="21"/>
          <w:szCs w:val="21"/>
        </w:rPr>
        <w:t>本表金额转换为万元时，因四舍五入可能存在尾差。</w:t>
      </w:r>
    </w:p>
    <w:p/>
    <w:p/>
    <w:p/>
    <w:p/>
    <w:p/>
    <w:p/>
    <w:p/>
    <w:p/>
    <w:p/>
    <w:p/>
    <w:p/>
    <w:p/>
    <w:p/>
    <w:p/>
    <w:p/>
    <w:p/>
    <w:p>
      <w:pPr>
        <w:pStyle w:val="2"/>
      </w:pPr>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343" w:type="dxa"/>
        <w:tblInd w:w="0" w:type="dxa"/>
        <w:tblLayout w:type="fixed"/>
        <w:tblCellMar>
          <w:top w:w="15" w:type="dxa"/>
          <w:left w:w="15" w:type="dxa"/>
          <w:bottom w:w="15" w:type="dxa"/>
          <w:right w:w="15" w:type="dxa"/>
        </w:tblCellMar>
      </w:tblPr>
      <w:tblGrid>
        <w:gridCol w:w="1023"/>
        <w:gridCol w:w="1155"/>
        <w:gridCol w:w="1110"/>
        <w:gridCol w:w="1115"/>
        <w:gridCol w:w="930"/>
        <w:gridCol w:w="1049"/>
        <w:gridCol w:w="1024"/>
        <w:gridCol w:w="937"/>
      </w:tblGrid>
      <w:tr>
        <w:tblPrEx>
          <w:tblCellMar>
            <w:top w:w="15" w:type="dxa"/>
            <w:left w:w="15" w:type="dxa"/>
            <w:bottom w:w="15" w:type="dxa"/>
            <w:right w:w="15" w:type="dxa"/>
          </w:tblCellMar>
        </w:tblPrEx>
        <w:trPr>
          <w:trHeight w:val="491" w:hRule="atLeast"/>
        </w:trPr>
        <w:tc>
          <w:tcPr>
            <w:tcW w:w="21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9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9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1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110"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w:t>
      </w:r>
      <w:r>
        <w:rPr>
          <w:rFonts w:hint="eastAsia" w:ascii="宋体" w:hAnsi="宋体" w:eastAsia="宋体" w:cs="宋体"/>
          <w:sz w:val="21"/>
          <w:szCs w:val="21"/>
          <w:lang w:eastAsia="zh-CN"/>
        </w:rPr>
        <w:t>、</w:t>
      </w:r>
      <w:r>
        <w:rPr>
          <w:rFonts w:hint="eastAsia" w:ascii="宋体" w:hAnsi="宋体" w:eastAsia="宋体" w:cs="宋体"/>
          <w:sz w:val="21"/>
          <w:szCs w:val="21"/>
        </w:rPr>
        <w:t>支出及结转和结余情况。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
    <w:p/>
    <w:p/>
    <w:p>
      <w:pPr>
        <w:jc w:val="center"/>
        <w:rPr>
          <w:rFonts w:ascii="宋体" w:hAnsi="宋体" w:eastAsia="宋体" w:cs="宋体"/>
          <w:b/>
          <w:bCs/>
          <w:szCs w:val="32"/>
        </w:rPr>
      </w:pPr>
      <w:r>
        <w:rPr>
          <w:rFonts w:hint="eastAsia" w:ascii="宋体" w:hAnsi="宋体" w:eastAsia="宋体" w:cs="宋体"/>
          <w:b/>
          <w:bCs/>
          <w:szCs w:val="32"/>
          <w:lang w:eastAsia="zh-CN"/>
        </w:rPr>
        <w:t>国有资本经营</w:t>
      </w:r>
      <w:r>
        <w:rPr>
          <w:rFonts w:hint="eastAsia" w:ascii="宋体" w:hAnsi="宋体" w:eastAsia="宋体" w:cs="宋体"/>
          <w:b/>
          <w:bCs/>
          <w:szCs w:val="32"/>
        </w:rPr>
        <w:t>预算财政拨款支出决算表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318" w:type="dxa"/>
        <w:tblInd w:w="0" w:type="dxa"/>
        <w:tblLayout w:type="fixed"/>
        <w:tblCellMar>
          <w:top w:w="15" w:type="dxa"/>
          <w:left w:w="15" w:type="dxa"/>
          <w:bottom w:w="15" w:type="dxa"/>
          <w:right w:w="15" w:type="dxa"/>
        </w:tblCellMar>
      </w:tblPr>
      <w:tblGrid>
        <w:gridCol w:w="1935"/>
        <w:gridCol w:w="2100"/>
        <w:gridCol w:w="1183"/>
        <w:gridCol w:w="1534"/>
        <w:gridCol w:w="1566"/>
      </w:tblGrid>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428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r>
      <w:tr>
        <w:tblPrEx>
          <w:tblCellMar>
            <w:top w:w="15" w:type="dxa"/>
            <w:left w:w="15" w:type="dxa"/>
            <w:bottom w:w="15" w:type="dxa"/>
            <w:right w:w="15" w:type="dxa"/>
          </w:tblCellMar>
        </w:tblPrEx>
        <w:trPr>
          <w:trHeight w:val="889"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功能分类</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科目编码</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r>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1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w:t>
      </w:r>
      <w:r>
        <w:rPr>
          <w:rFonts w:hint="eastAsia" w:ascii="宋体" w:hAnsi="宋体" w:eastAsia="宋体" w:cs="宋体"/>
          <w:sz w:val="21"/>
          <w:szCs w:val="21"/>
          <w:lang w:eastAsia="zh-CN"/>
        </w:rPr>
        <w:t>国有资本经营</w:t>
      </w:r>
      <w:r>
        <w:rPr>
          <w:rFonts w:hint="eastAsia" w:ascii="宋体" w:hAnsi="宋体" w:eastAsia="宋体" w:cs="宋体"/>
          <w:sz w:val="21"/>
          <w:szCs w:val="21"/>
        </w:rPr>
        <w:t>预算财政拨款支出情况。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Pr>
        <w:jc w:val="center"/>
        <w:rPr>
          <w:rFonts w:hint="eastAsia" w:ascii="黑体" w:hAnsi="宋体" w:eastAsia="黑体"/>
          <w:color w:val="000000"/>
          <w:kern w:val="0"/>
          <w:sz w:val="44"/>
          <w:szCs w:val="44"/>
        </w:rPr>
      </w:pPr>
    </w:p>
    <w:p>
      <w:pPr>
        <w:jc w:val="center"/>
        <w:rPr>
          <w:rFonts w:hint="eastAsia" w:ascii="黑体" w:hAnsi="宋体" w:eastAsia="黑体"/>
          <w:color w:val="000000"/>
          <w:kern w:val="0"/>
          <w:sz w:val="44"/>
          <w:szCs w:val="44"/>
        </w:rPr>
      </w:pPr>
    </w:p>
    <w:p>
      <w:pPr>
        <w:pStyle w:val="2"/>
        <w:rPr>
          <w:rFonts w:hint="eastAsia"/>
        </w:rPr>
      </w:pPr>
    </w:p>
    <w:p>
      <w:pPr>
        <w:jc w:val="center"/>
        <w:rPr>
          <w:rFonts w:hint="eastAsia"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bCs/>
          <w:color w:val="000000"/>
          <w:kern w:val="0"/>
          <w:sz w:val="36"/>
          <w:szCs w:val="36"/>
        </w:rPr>
        <w:t xml:space="preserve">第三部分 </w:t>
      </w:r>
      <w:r>
        <w:rPr>
          <w:rFonts w:hint="eastAsia" w:asciiTheme="majorEastAsia" w:hAnsiTheme="majorEastAsia" w:eastAsiaTheme="majorEastAsia" w:cstheme="majorEastAsia"/>
          <w:b/>
          <w:bCs/>
          <w:color w:val="000000"/>
          <w:kern w:val="0"/>
          <w:sz w:val="36"/>
          <w:szCs w:val="36"/>
          <w:lang w:eastAsia="zh-CN"/>
        </w:rPr>
        <w:t>2020年</w:t>
      </w:r>
      <w:r>
        <w:rPr>
          <w:rFonts w:hint="eastAsia" w:asciiTheme="majorEastAsia" w:hAnsiTheme="majorEastAsia" w:eastAsiaTheme="majorEastAsia" w:cstheme="majorEastAsia"/>
          <w:b/>
          <w:bCs/>
          <w:color w:val="000000"/>
          <w:kern w:val="0"/>
          <w:sz w:val="36"/>
          <w:szCs w:val="36"/>
        </w:rPr>
        <w:t>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36"/>
          <w:szCs w:val="36"/>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仿宋_GB2312" w:eastAsia="仿宋_GB2312" w:cs="仿宋_GB2312"/>
          <w:sz w:val="32"/>
          <w:szCs w:val="32"/>
          <w:highlight w:val="red"/>
        </w:rPr>
      </w:pPr>
      <w:r>
        <w:rPr>
          <w:rFonts w:hint="eastAsia" w:asciiTheme="minorEastAsia" w:hAnsiTheme="minorEastAsia" w:eastAsiaTheme="minorEastAsia" w:cstheme="minorEastAsia"/>
          <w:b/>
          <w:bCs/>
          <w:color w:val="000000"/>
          <w:kern w:val="0"/>
          <w:sz w:val="32"/>
          <w:szCs w:val="32"/>
          <w:lang w:bidi="ar"/>
        </w:rPr>
        <w:t>一、收入支出决算总体情况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lang w:eastAsia="zh-CN"/>
        </w:rPr>
        <w:t>2020年度</w:t>
      </w:r>
      <w:r>
        <w:rPr>
          <w:rFonts w:hint="eastAsia" w:ascii="仿宋_GB2312" w:hAnsi="仿宋" w:eastAsia="仿宋_GB2312"/>
          <w:sz w:val="32"/>
          <w:szCs w:val="32"/>
        </w:rPr>
        <w:t>收入总体情况及比上年减少</w:t>
      </w:r>
      <w:r>
        <w:rPr>
          <w:rFonts w:hint="eastAsia" w:ascii="仿宋_GB2312" w:hAnsi="仿宋" w:eastAsia="仿宋_GB2312"/>
          <w:sz w:val="32"/>
          <w:szCs w:val="32"/>
          <w:lang w:val="en-US" w:eastAsia="zh-CN"/>
        </w:rPr>
        <w:t>24.39万元</w:t>
      </w:r>
      <w:r>
        <w:rPr>
          <w:rFonts w:hint="eastAsia" w:ascii="仿宋_GB2312" w:hAnsi="仿宋" w:eastAsia="仿宋_GB2312"/>
          <w:sz w:val="32"/>
          <w:szCs w:val="32"/>
        </w:rPr>
        <w:t>，</w:t>
      </w:r>
      <w:r>
        <w:rPr>
          <w:rFonts w:hint="eastAsia" w:ascii="仿宋_GB2312" w:hAnsi="仿宋" w:eastAsia="仿宋_GB2312"/>
          <w:sz w:val="32"/>
          <w:szCs w:val="32"/>
          <w:lang w:val="en-US" w:eastAsia="zh-CN"/>
        </w:rPr>
        <w:t>减少</w:t>
      </w:r>
      <w:r>
        <w:rPr>
          <w:rFonts w:hint="eastAsia" w:ascii="仿宋_GB2312" w:hAnsi="仿宋" w:eastAsia="仿宋_GB2312"/>
          <w:sz w:val="32"/>
          <w:szCs w:val="32"/>
        </w:rPr>
        <w:t>主要原因</w:t>
      </w:r>
      <w:r>
        <w:rPr>
          <w:rFonts w:hint="eastAsia" w:ascii="仿宋_GB2312" w:hAnsi="仿宋" w:eastAsia="仿宋_GB2312"/>
          <w:sz w:val="32"/>
          <w:szCs w:val="32"/>
          <w:lang w:val="en-US" w:eastAsia="zh-CN"/>
        </w:rPr>
        <w:t>是调走1人</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pStyle w:val="2"/>
        <w:ind w:left="0" w:leftChars="0" w:firstLine="0" w:firstLineChars="0"/>
        <w:rPr>
          <w:rFonts w:hint="eastAsia" w:ascii="仿宋_GB2312" w:hAnsi="仿宋" w:eastAsia="仿宋_GB2312"/>
          <w:szCs w:val="32"/>
        </w:rPr>
      </w:pPr>
      <w:r>
        <w:rPr>
          <w:rFonts w:hint="eastAsia" w:ascii="仿宋_GB2312" w:hAnsi="仿宋" w:eastAsia="仿宋_GB2312"/>
          <w:szCs w:val="32"/>
        </w:rPr>
        <w:drawing>
          <wp:inline distT="0" distB="0" distL="114300" distR="114300">
            <wp:extent cx="5365750" cy="2600960"/>
            <wp:effectExtent l="4445" t="4445" r="20955" b="234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rPr>
          <w:rFonts w:hint="eastAsia" w:ascii="仿宋_GB2312" w:hAnsi="仿宋" w:eastAsia="仿宋_GB231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lang w:eastAsia="zh-CN"/>
        </w:rPr>
        <w:t>2020年度</w:t>
      </w:r>
      <w:r>
        <w:rPr>
          <w:rFonts w:hint="eastAsia" w:ascii="仿宋_GB2312" w:hAnsi="仿宋" w:eastAsia="仿宋_GB2312"/>
          <w:sz w:val="32"/>
          <w:szCs w:val="32"/>
          <w:lang w:val="en-US" w:eastAsia="zh-CN"/>
        </w:rPr>
        <w:t>支出</w:t>
      </w:r>
      <w:r>
        <w:rPr>
          <w:rFonts w:hint="eastAsia" w:ascii="仿宋_GB2312" w:hAnsi="仿宋" w:eastAsia="仿宋_GB2312"/>
          <w:sz w:val="32"/>
          <w:szCs w:val="32"/>
        </w:rPr>
        <w:t>总体情况及比上年减少</w:t>
      </w:r>
      <w:r>
        <w:rPr>
          <w:rFonts w:hint="eastAsia" w:ascii="仿宋_GB2312" w:hAnsi="仿宋" w:eastAsia="仿宋_GB2312"/>
          <w:sz w:val="32"/>
          <w:szCs w:val="32"/>
          <w:lang w:val="en-US" w:eastAsia="zh-CN"/>
        </w:rPr>
        <w:t>24.39万元</w:t>
      </w:r>
      <w:r>
        <w:rPr>
          <w:rFonts w:hint="eastAsia" w:ascii="仿宋_GB2312" w:hAnsi="仿宋" w:eastAsia="仿宋_GB2312"/>
          <w:sz w:val="32"/>
          <w:szCs w:val="32"/>
        </w:rPr>
        <w:t>，</w:t>
      </w:r>
      <w:r>
        <w:rPr>
          <w:rFonts w:hint="eastAsia" w:ascii="仿宋_GB2312" w:hAnsi="仿宋" w:eastAsia="仿宋_GB2312"/>
          <w:sz w:val="32"/>
          <w:szCs w:val="32"/>
          <w:lang w:val="en-US" w:eastAsia="zh-CN"/>
        </w:rPr>
        <w:t>减少</w:t>
      </w:r>
      <w:r>
        <w:rPr>
          <w:rFonts w:hint="eastAsia" w:ascii="仿宋_GB2312" w:hAnsi="仿宋" w:eastAsia="仿宋_GB2312"/>
          <w:sz w:val="32"/>
          <w:szCs w:val="32"/>
        </w:rPr>
        <w:t>主要原因</w:t>
      </w:r>
      <w:r>
        <w:rPr>
          <w:rFonts w:hint="eastAsia" w:ascii="仿宋_GB2312" w:hAnsi="仿宋" w:eastAsia="仿宋_GB2312"/>
          <w:sz w:val="32"/>
          <w:szCs w:val="32"/>
          <w:lang w:val="en-US" w:eastAsia="zh-CN"/>
        </w:rPr>
        <w:t>是调走1人</w:t>
      </w:r>
      <w:r>
        <w:rPr>
          <w:rFonts w:hint="eastAsia" w:ascii="仿宋_GB2312" w:hAnsi="仿宋" w:eastAsia="仿宋_GB2312"/>
          <w:sz w:val="32"/>
          <w:szCs w:val="32"/>
        </w:rPr>
        <w:t>。</w:t>
      </w:r>
    </w:p>
    <w:p>
      <w:pPr>
        <w:pStyle w:val="2"/>
        <w:rPr>
          <w:rFonts w:hint="default" w:ascii="仿宋_GB2312" w:hAnsi="仿宋" w:eastAsia="仿宋_GB2312"/>
          <w:szCs w:val="32"/>
          <w:lang w:val="en-US" w:eastAsia="zh-CN"/>
        </w:rPr>
      </w:pPr>
    </w:p>
    <w:p>
      <w:pPr>
        <w:pStyle w:val="2"/>
        <w:ind w:left="0" w:leftChars="0" w:firstLine="0" w:firstLineChars="0"/>
        <w:rPr>
          <w:rFonts w:hint="eastAsia" w:ascii="仿宋_GB2312" w:hAnsi="仿宋" w:eastAsia="仿宋_GB2312"/>
          <w:szCs w:val="32"/>
        </w:rPr>
      </w:pPr>
      <w:r>
        <w:rPr>
          <w:rFonts w:hint="eastAsia" w:ascii="仿宋_GB2312" w:hAnsi="仿宋" w:eastAsia="仿宋_GB2312"/>
          <w:szCs w:val="32"/>
        </w:rPr>
        <w:drawing>
          <wp:inline distT="0" distB="0" distL="114300" distR="114300">
            <wp:extent cx="5403215" cy="2592070"/>
            <wp:effectExtent l="4445" t="4445" r="21590" b="1333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rPr>
          <w:rFonts w:hint="eastAsia" w:ascii="仿宋_GB2312" w:hAnsi="仿宋" w:eastAsia="仿宋_GB231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highlight w:val="red"/>
        </w:rPr>
      </w:pPr>
      <w:r>
        <w:rPr>
          <w:rFonts w:hint="eastAsia" w:ascii="黑体" w:hAnsi="黑体" w:eastAsia="黑体"/>
          <w:color w:val="000000"/>
          <w:kern w:val="0"/>
          <w:sz w:val="32"/>
          <w:szCs w:val="32"/>
          <w:lang w:bidi="ar"/>
        </w:rPr>
        <w:t>二</w:t>
      </w:r>
      <w:r>
        <w:rPr>
          <w:rFonts w:hint="eastAsia" w:asciiTheme="minorEastAsia" w:hAnsiTheme="minorEastAsia" w:eastAsiaTheme="minorEastAsia" w:cstheme="minorEastAsia"/>
          <w:b/>
          <w:bCs/>
          <w:color w:val="000000"/>
          <w:kern w:val="0"/>
          <w:sz w:val="32"/>
          <w:szCs w:val="32"/>
          <w:lang w:bidi="ar"/>
        </w:rPr>
        <w:t>、收入决算情况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宋体" w:eastAsia="仿宋_GB2312" w:cs="仿宋_GB2312"/>
          <w:color w:val="000000"/>
          <w:kern w:val="0"/>
          <w:sz w:val="32"/>
          <w:szCs w:val="32"/>
          <w:lang w:val="en-US" w:eastAsia="zh-CN" w:bidi="ar"/>
        </w:rPr>
        <w:t>127.13</w:t>
      </w:r>
      <w:r>
        <w:rPr>
          <w:rFonts w:ascii="仿宋_GB2312" w:hAnsi="宋体" w:eastAsia="仿宋_GB2312" w:cs="仿宋_GB2312"/>
          <w:color w:val="000000"/>
          <w:kern w:val="0"/>
          <w:sz w:val="32"/>
          <w:szCs w:val="32"/>
          <w:lang w:bidi="ar"/>
        </w:rPr>
        <w:t>万元，其中：财政拨款收入</w:t>
      </w:r>
      <w:r>
        <w:rPr>
          <w:rFonts w:hint="eastAsia" w:ascii="仿宋_GB2312" w:hAnsi="宋体" w:eastAsia="仿宋_GB2312" w:cs="仿宋_GB2312"/>
          <w:color w:val="000000"/>
          <w:kern w:val="0"/>
          <w:sz w:val="32"/>
          <w:szCs w:val="32"/>
          <w:lang w:val="en-US" w:eastAsia="zh-CN" w:bidi="ar"/>
        </w:rPr>
        <w:t>127.13</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%；事业收入</w:t>
      </w:r>
      <w:r>
        <w:rPr>
          <w:rFonts w:hint="eastAsia" w:ascii="仿宋_GB2312" w:hAnsi="宋体" w:eastAsia="仿宋_GB2312" w:cs="仿宋_GB2312"/>
          <w:color w:val="000000"/>
          <w:kern w:val="0"/>
          <w:sz w:val="32"/>
          <w:szCs w:val="32"/>
          <w:lang w:val="en-US" w:eastAsia="zh-CN" w:bidi="ar"/>
        </w:rPr>
        <w:t>127.13</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val="en-US" w:eastAsia="zh-CN" w:bidi="ar"/>
        </w:rPr>
        <w:t>.</w:t>
      </w:r>
    </w:p>
    <w:p>
      <w:pPr>
        <w:pStyle w:val="2"/>
        <w:rPr>
          <w:rFonts w:hint="eastAsia" w:ascii="仿宋_GB2312" w:hAnsi="宋体" w:eastAsia="仿宋_GB2312" w:cs="仿宋_GB2312"/>
          <w:color w:val="000000"/>
          <w:kern w:val="0"/>
          <w:szCs w:val="32"/>
        </w:rPr>
      </w:pPr>
    </w:p>
    <w:p>
      <w:pPr>
        <w:pStyle w:val="2"/>
        <w:ind w:left="0" w:leftChars="0" w:firstLine="0" w:firstLineChars="0"/>
        <w:rPr>
          <w:rFonts w:hint="eastAsia" w:ascii="仿宋_GB2312" w:hAnsi="宋体" w:eastAsia="仿宋_GB2312" w:cs="仿宋_GB2312"/>
          <w:color w:val="000000"/>
          <w:kern w:val="0"/>
          <w:szCs w:val="32"/>
        </w:rPr>
      </w:pPr>
      <w:r>
        <w:rPr>
          <w:rFonts w:hint="eastAsia" w:ascii="仿宋_GB2312" w:hAnsi="宋体" w:eastAsia="仿宋_GB2312" w:cs="仿宋_GB2312"/>
          <w:color w:val="000000"/>
          <w:kern w:val="0"/>
          <w:szCs w:val="32"/>
        </w:rPr>
        <w:drawing>
          <wp:inline distT="0" distB="0" distL="114300" distR="114300">
            <wp:extent cx="5365115" cy="2553335"/>
            <wp:effectExtent l="4445" t="4445" r="21590" b="1397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highlight w:val="red"/>
        </w:rPr>
      </w:pPr>
      <w:r>
        <w:rPr>
          <w:rFonts w:hint="eastAsia" w:ascii="黑体" w:hAnsi="黑体" w:eastAsia="黑体"/>
          <w:color w:val="000000"/>
          <w:kern w:val="0"/>
          <w:sz w:val="32"/>
          <w:szCs w:val="32"/>
          <w:lang w:bidi="ar"/>
        </w:rPr>
        <w:t>三、</w:t>
      </w:r>
      <w:r>
        <w:rPr>
          <w:rFonts w:hint="eastAsia" w:asciiTheme="minorEastAsia" w:hAnsiTheme="minorEastAsia" w:eastAsiaTheme="minorEastAsia" w:cstheme="minorEastAsia"/>
          <w:b/>
          <w:bCs/>
          <w:color w:val="000000"/>
          <w:kern w:val="0"/>
          <w:sz w:val="32"/>
          <w:szCs w:val="32"/>
          <w:lang w:bidi="ar"/>
        </w:rPr>
        <w:t>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bidi="ar"/>
        </w:rPr>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宋体" w:eastAsia="仿宋_GB2312" w:cs="仿宋_GB2312"/>
          <w:color w:val="000000"/>
          <w:kern w:val="0"/>
          <w:sz w:val="32"/>
          <w:szCs w:val="32"/>
          <w:lang w:val="en-US" w:eastAsia="zh-CN" w:bidi="ar"/>
        </w:rPr>
        <w:t>127.13</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127.13</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p>
    <w:p>
      <w:pPr>
        <w:pStyle w:val="2"/>
        <w:ind w:left="0" w:leftChars="0" w:firstLine="0" w:firstLineChars="0"/>
      </w:pPr>
      <w:r>
        <w:rPr>
          <w:rFonts w:hint="eastAsia" w:ascii="仿宋_GB2312" w:hAnsi="宋体" w:eastAsia="仿宋_GB2312" w:cs="仿宋_GB2312"/>
          <w:color w:val="000000"/>
          <w:kern w:val="0"/>
          <w:szCs w:val="32"/>
        </w:rPr>
        <w:drawing>
          <wp:inline distT="0" distB="0" distL="114300" distR="114300">
            <wp:extent cx="5365115" cy="2553335"/>
            <wp:effectExtent l="4445" t="4445" r="21590" b="1397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highlight w:val="red"/>
        </w:rPr>
      </w:pPr>
      <w:r>
        <w:rPr>
          <w:rFonts w:hint="eastAsia" w:ascii="黑体" w:hAnsi="黑体" w:eastAsia="黑体"/>
          <w:color w:val="000000"/>
          <w:kern w:val="0"/>
          <w:sz w:val="32"/>
          <w:szCs w:val="32"/>
          <w:lang w:bidi="ar"/>
        </w:rPr>
        <w:t>四</w:t>
      </w:r>
      <w:r>
        <w:rPr>
          <w:rFonts w:hint="eastAsia" w:asciiTheme="minorEastAsia" w:hAnsiTheme="minorEastAsia" w:eastAsiaTheme="minorEastAsia" w:cstheme="minorEastAsia"/>
          <w:b/>
          <w:bCs/>
          <w:color w:val="000000"/>
          <w:kern w:val="0"/>
          <w:sz w:val="32"/>
          <w:szCs w:val="32"/>
          <w:lang w:bidi="ar"/>
        </w:rPr>
        <w:t>、财政拨款收入支出决算总体情况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lang w:eastAsia="zh-CN"/>
        </w:rPr>
        <w:t>2020年度</w:t>
      </w:r>
      <w:r>
        <w:rPr>
          <w:rFonts w:hint="eastAsia" w:ascii="仿宋_GB2312" w:hAnsi="仿宋" w:eastAsia="仿宋_GB2312"/>
          <w:sz w:val="32"/>
          <w:szCs w:val="32"/>
        </w:rPr>
        <w:t>收入总体情况及比上年减少</w:t>
      </w:r>
      <w:r>
        <w:rPr>
          <w:rFonts w:hint="eastAsia" w:ascii="仿宋_GB2312" w:hAnsi="仿宋" w:eastAsia="仿宋_GB2312"/>
          <w:sz w:val="32"/>
          <w:szCs w:val="32"/>
          <w:lang w:val="en-US" w:eastAsia="zh-CN"/>
        </w:rPr>
        <w:t>24.39万元</w:t>
      </w:r>
      <w:r>
        <w:rPr>
          <w:rFonts w:hint="eastAsia" w:ascii="仿宋_GB2312" w:hAnsi="仿宋" w:eastAsia="仿宋_GB2312"/>
          <w:sz w:val="32"/>
          <w:szCs w:val="32"/>
        </w:rPr>
        <w:t>，</w:t>
      </w:r>
      <w:r>
        <w:rPr>
          <w:rFonts w:hint="eastAsia" w:ascii="仿宋_GB2312" w:hAnsi="仿宋" w:eastAsia="仿宋_GB2312"/>
          <w:sz w:val="32"/>
          <w:szCs w:val="32"/>
          <w:lang w:val="en-US" w:eastAsia="zh-CN"/>
        </w:rPr>
        <w:t>减少</w:t>
      </w:r>
      <w:r>
        <w:rPr>
          <w:rFonts w:hint="eastAsia" w:ascii="仿宋_GB2312" w:hAnsi="仿宋" w:eastAsia="仿宋_GB2312"/>
          <w:sz w:val="32"/>
          <w:szCs w:val="32"/>
        </w:rPr>
        <w:t>主要原因</w:t>
      </w:r>
      <w:r>
        <w:rPr>
          <w:rFonts w:hint="eastAsia" w:ascii="仿宋_GB2312" w:hAnsi="仿宋" w:eastAsia="仿宋_GB2312"/>
          <w:sz w:val="32"/>
          <w:szCs w:val="32"/>
          <w:lang w:val="en-US" w:eastAsia="zh-CN"/>
        </w:rPr>
        <w:t>是调走1人</w:t>
      </w:r>
      <w:r>
        <w:rPr>
          <w:rFonts w:hint="eastAsia" w:ascii="仿宋_GB2312" w:hAnsi="仿宋" w:eastAsia="仿宋_GB2312"/>
          <w:sz w:val="32"/>
          <w:szCs w:val="32"/>
        </w:rPr>
        <w:t>。</w:t>
      </w:r>
    </w:p>
    <w:p>
      <w:pPr>
        <w:pStyle w:val="2"/>
        <w:ind w:left="0" w:leftChars="0" w:firstLine="0" w:firstLineChars="0"/>
      </w:pPr>
      <w:r>
        <w:rPr>
          <w:rFonts w:hint="eastAsia" w:ascii="仿宋_GB2312" w:hAnsi="仿宋" w:eastAsia="仿宋_GB2312"/>
          <w:szCs w:val="32"/>
        </w:rPr>
        <w:drawing>
          <wp:inline distT="0" distB="0" distL="114300" distR="114300">
            <wp:extent cx="5298440" cy="3276600"/>
            <wp:effectExtent l="4445" t="4445" r="12065" b="146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lang w:eastAsia="zh-CN"/>
        </w:rPr>
        <w:t>2020年度</w:t>
      </w:r>
      <w:r>
        <w:rPr>
          <w:rFonts w:hint="eastAsia" w:ascii="仿宋_GB2312" w:hAnsi="仿宋" w:eastAsia="仿宋_GB2312"/>
          <w:sz w:val="32"/>
          <w:szCs w:val="32"/>
          <w:lang w:val="en-US" w:eastAsia="zh-CN"/>
        </w:rPr>
        <w:t>支出</w:t>
      </w:r>
      <w:r>
        <w:rPr>
          <w:rFonts w:hint="eastAsia" w:ascii="仿宋_GB2312" w:hAnsi="仿宋" w:eastAsia="仿宋_GB2312"/>
          <w:sz w:val="32"/>
          <w:szCs w:val="32"/>
        </w:rPr>
        <w:t>总体情况及比上年减少</w:t>
      </w:r>
      <w:r>
        <w:rPr>
          <w:rFonts w:hint="eastAsia" w:ascii="仿宋_GB2312" w:hAnsi="仿宋" w:eastAsia="仿宋_GB2312"/>
          <w:sz w:val="32"/>
          <w:szCs w:val="32"/>
          <w:lang w:val="en-US" w:eastAsia="zh-CN"/>
        </w:rPr>
        <w:t>24.39万元</w:t>
      </w:r>
      <w:r>
        <w:rPr>
          <w:rFonts w:hint="eastAsia" w:ascii="仿宋_GB2312" w:hAnsi="仿宋" w:eastAsia="仿宋_GB2312"/>
          <w:sz w:val="32"/>
          <w:szCs w:val="32"/>
        </w:rPr>
        <w:t>，</w:t>
      </w:r>
      <w:r>
        <w:rPr>
          <w:rFonts w:hint="eastAsia" w:ascii="仿宋_GB2312" w:hAnsi="仿宋" w:eastAsia="仿宋_GB2312"/>
          <w:sz w:val="32"/>
          <w:szCs w:val="32"/>
          <w:lang w:val="en-US" w:eastAsia="zh-CN"/>
        </w:rPr>
        <w:t>减少</w:t>
      </w:r>
      <w:r>
        <w:rPr>
          <w:rFonts w:hint="eastAsia" w:ascii="仿宋_GB2312" w:hAnsi="仿宋" w:eastAsia="仿宋_GB2312"/>
          <w:sz w:val="32"/>
          <w:szCs w:val="32"/>
        </w:rPr>
        <w:t>主要原因</w:t>
      </w:r>
      <w:r>
        <w:rPr>
          <w:rFonts w:hint="eastAsia" w:ascii="仿宋_GB2312" w:hAnsi="仿宋" w:eastAsia="仿宋_GB2312"/>
          <w:sz w:val="32"/>
          <w:szCs w:val="32"/>
          <w:lang w:val="en-US" w:eastAsia="zh-CN"/>
        </w:rPr>
        <w:t>是调走1人</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pStyle w:val="2"/>
        <w:ind w:left="0" w:leftChars="0" w:firstLine="0" w:firstLineChars="0"/>
      </w:pPr>
      <w:r>
        <w:rPr>
          <w:rFonts w:hint="eastAsia" w:ascii="仿宋_GB2312" w:hAnsi="仿宋" w:eastAsia="仿宋_GB2312"/>
          <w:szCs w:val="32"/>
        </w:rPr>
        <w:drawing>
          <wp:inline distT="0" distB="0" distL="114300" distR="114300">
            <wp:extent cx="5184775" cy="2895600"/>
            <wp:effectExtent l="4445" t="4445" r="11430" b="1460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五、一般公共预算财政拨款支出决算情况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仿宋_GB2312" w:eastAsia="仿宋_GB2312" w:cs="仿宋_GB2312"/>
          <w:sz w:val="32"/>
          <w:szCs w:val="32"/>
          <w:highlight w:val="red"/>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127.13</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24.39</w:t>
      </w:r>
      <w:r>
        <w:rPr>
          <w:rFonts w:ascii="仿宋_GB2312" w:hAnsi="宋体" w:eastAsia="仿宋_GB2312" w:cs="仿宋_GB2312"/>
          <w:color w:val="000000"/>
          <w:kern w:val="0"/>
          <w:sz w:val="32"/>
          <w:szCs w:val="32"/>
          <w:lang w:bidi="ar"/>
        </w:rPr>
        <w:t>万元，主要</w:t>
      </w:r>
      <w:r>
        <w:rPr>
          <w:rFonts w:hint="eastAsia" w:ascii="仿宋_GB2312" w:hAnsi="宋体" w:eastAsia="仿宋_GB2312" w:cs="仿宋_GB2312"/>
          <w:color w:val="000000"/>
          <w:kern w:val="0"/>
          <w:sz w:val="32"/>
          <w:szCs w:val="32"/>
          <w:lang w:bidi="ar"/>
        </w:rPr>
        <w:t>原因是</w:t>
      </w:r>
      <w:r>
        <w:rPr>
          <w:rFonts w:hint="eastAsia" w:ascii="仿宋_GB2312" w:hAnsi="宋体" w:eastAsia="仿宋_GB2312" w:cs="仿宋_GB2312"/>
          <w:color w:val="000000"/>
          <w:kern w:val="0"/>
          <w:sz w:val="32"/>
          <w:szCs w:val="32"/>
          <w:lang w:val="en-US" w:eastAsia="zh-CN" w:bidi="ar"/>
        </w:rPr>
        <w:t>调走1人</w:t>
      </w:r>
      <w:r>
        <w:rPr>
          <w:rFonts w:hint="eastAsia" w:ascii="仿宋_GB2312" w:hAnsi="宋体" w:eastAsia="仿宋_GB2312" w:cs="仿宋_GB2312"/>
          <w:color w:val="000000"/>
          <w:kern w:val="0"/>
          <w:sz w:val="32"/>
          <w:szCs w:val="32"/>
          <w:lang w:bidi="ar"/>
        </w:rPr>
        <w:t>。</w:t>
      </w:r>
    </w:p>
    <w:p>
      <w:pPr>
        <w:pStyle w:val="2"/>
        <w:ind w:left="0" w:leftChars="0" w:firstLine="0" w:firstLineChars="0"/>
      </w:pPr>
      <w:r>
        <w:rPr>
          <w:rFonts w:hint="eastAsia" w:ascii="仿宋_GB2312" w:hAnsi="宋体" w:eastAsia="仿宋_GB2312" w:cs="仿宋_GB2312"/>
          <w:color w:val="000000"/>
          <w:kern w:val="0"/>
          <w:szCs w:val="32"/>
        </w:rPr>
        <w:drawing>
          <wp:inline distT="0" distB="0" distL="114300" distR="114300">
            <wp:extent cx="5318760" cy="3067685"/>
            <wp:effectExtent l="4445" t="5080" r="10795" b="1333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lang w:val="en-US" w:eastAsia="zh-CN" w:bidi="ar"/>
        </w:rPr>
        <w:t>127.13</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127.13</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rPr>
        <w:t>120.49</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151.52</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w:t>
      </w:r>
      <w:r>
        <w:rPr>
          <w:rFonts w:ascii="仿宋_GB2312" w:hAnsi="宋体" w:eastAsia="仿宋_GB2312" w:cs="仿宋_GB2312"/>
          <w:color w:val="000000"/>
          <w:kern w:val="0"/>
          <w:szCs w:val="32"/>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eastAsia="仿宋_GB2312"/>
        </w:rPr>
      </w:pPr>
      <w:r>
        <w:rPr>
          <w:rFonts w:ascii="仿宋_GB2312" w:hAnsi="宋体" w:eastAsia="仿宋_GB2312" w:cs="仿宋_GB2312"/>
          <w:b/>
          <w:color w:val="000000"/>
          <w:kern w:val="0"/>
          <w:szCs w:val="32"/>
        </w:rPr>
        <w:t xml:space="preserve">1. </w:t>
      </w:r>
      <w:r>
        <w:rPr>
          <w:rFonts w:hint="eastAsia" w:ascii="仿宋_GB2312" w:hAnsi="宋体" w:eastAsia="仿宋_GB2312" w:cs="仿宋_GB2312"/>
          <w:b/>
          <w:color w:val="000000"/>
          <w:kern w:val="0"/>
          <w:szCs w:val="32"/>
        </w:rPr>
        <w:t>体育场馆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lang w:val="en-US" w:eastAsia="zh-CN"/>
        </w:rPr>
      </w:pP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10</w:t>
      </w:r>
      <w:r>
        <w:rPr>
          <w:rFonts w:hint="eastAsia" w:ascii="仿宋_GB2312" w:hAnsi="宋体" w:eastAsia="仿宋_GB2312" w:cs="仿宋_GB2312"/>
          <w:color w:val="000000"/>
          <w:kern w:val="0"/>
          <w:szCs w:val="32"/>
          <w:lang w:val="en-US" w:eastAsia="zh-CN"/>
        </w:rPr>
        <w:t>7.5</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12</w:t>
      </w:r>
      <w:r>
        <w:rPr>
          <w:rFonts w:hint="eastAsia" w:ascii="仿宋_GB2312" w:hAnsi="宋体" w:eastAsia="仿宋_GB2312" w:cs="仿宋_GB2312"/>
          <w:color w:val="000000"/>
          <w:kern w:val="0"/>
          <w:szCs w:val="32"/>
          <w:lang w:val="en-US" w:eastAsia="zh-CN"/>
        </w:rPr>
        <w:t>7.13</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。其中包含人员经费、公用经费，年初人员经费预算为</w:t>
      </w:r>
      <w:r>
        <w:rPr>
          <w:rFonts w:hint="eastAsia" w:ascii="仿宋_GB2312" w:hAnsi="宋体" w:eastAsia="仿宋_GB2312" w:cs="仿宋_GB2312"/>
          <w:color w:val="000000"/>
          <w:kern w:val="0"/>
          <w:szCs w:val="32"/>
          <w:lang w:val="en-US" w:eastAsia="zh-CN"/>
        </w:rPr>
        <w:t>91</w:t>
      </w:r>
      <w:r>
        <w:rPr>
          <w:rFonts w:hint="eastAsia" w:ascii="仿宋_GB2312" w:hAnsi="宋体" w:eastAsia="仿宋_GB2312" w:cs="仿宋_GB2312"/>
          <w:color w:val="000000"/>
          <w:kern w:val="0"/>
          <w:szCs w:val="32"/>
        </w:rPr>
        <w:t>万元，人员经费支出决赛为</w:t>
      </w:r>
      <w:r>
        <w:rPr>
          <w:rFonts w:hint="eastAsia" w:ascii="仿宋_GB2312" w:hAnsi="宋体" w:eastAsia="仿宋_GB2312" w:cs="仿宋_GB2312"/>
          <w:color w:val="000000"/>
          <w:kern w:val="0"/>
          <w:szCs w:val="32"/>
          <w:lang w:val="en-US" w:eastAsia="zh-CN"/>
        </w:rPr>
        <w:t>114.17</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大于预算的主要原因是</w:t>
      </w:r>
      <w:r>
        <w:rPr>
          <w:rFonts w:hint="eastAsia" w:ascii="仿宋_GB2312" w:hAnsi="宋体" w:eastAsia="仿宋_GB2312" w:cs="仿宋_GB2312"/>
          <w:color w:val="000000"/>
          <w:kern w:val="0"/>
          <w:szCs w:val="32"/>
        </w:rPr>
        <w:t>调资</w:t>
      </w:r>
      <w:r>
        <w:rPr>
          <w:rFonts w:hint="eastAsia" w:ascii="仿宋_GB2312" w:hAnsi="宋体" w:eastAsia="仿宋_GB2312" w:cs="仿宋_GB2312"/>
          <w:color w:val="000000"/>
          <w:kern w:val="0"/>
          <w:szCs w:val="32"/>
          <w:lang w:eastAsia="zh-CN"/>
        </w:rPr>
        <w:t>、</w:t>
      </w:r>
      <w:r>
        <w:rPr>
          <w:rFonts w:hint="eastAsia" w:ascii="仿宋_GB2312" w:hAnsi="宋体" w:eastAsia="仿宋_GB2312" w:cs="仿宋_GB2312"/>
          <w:color w:val="000000"/>
          <w:kern w:val="0"/>
          <w:szCs w:val="32"/>
          <w:lang w:val="en-US" w:eastAsia="zh-CN"/>
        </w:rPr>
        <w:t>公积金基数调整和发放2019年绩效</w:t>
      </w:r>
      <w:r>
        <w:rPr>
          <w:rFonts w:hint="eastAsia" w:ascii="仿宋_GB2312" w:hAnsi="宋体" w:eastAsia="仿宋_GB2312" w:cs="仿宋_GB2312"/>
          <w:color w:val="000000"/>
          <w:kern w:val="0"/>
          <w:szCs w:val="32"/>
        </w:rPr>
        <w:t>。公用经费年初预算数为4.09万元，预算公用经费决算数为</w:t>
      </w:r>
      <w:r>
        <w:rPr>
          <w:rFonts w:hint="eastAsia" w:ascii="仿宋_GB2312" w:hAnsi="宋体" w:eastAsia="仿宋_GB2312" w:cs="仿宋_GB2312"/>
          <w:color w:val="000000"/>
          <w:kern w:val="0"/>
          <w:szCs w:val="32"/>
          <w:lang w:val="en-US" w:eastAsia="zh-CN"/>
        </w:rPr>
        <w:t>12.95</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w:t>
      </w:r>
      <w:r>
        <w:rPr>
          <w:rFonts w:hint="eastAsia" w:ascii="仿宋_GB2312" w:hAnsi="宋体" w:eastAsia="仿宋_GB2312" w:cs="仿宋_GB2312"/>
          <w:color w:val="000000"/>
          <w:kern w:val="0"/>
          <w:szCs w:val="32"/>
        </w:rPr>
        <w:t>大于预算的主要原因是20</w:t>
      </w:r>
      <w:r>
        <w:rPr>
          <w:rFonts w:hint="eastAsia" w:ascii="仿宋_GB2312" w:hAnsi="宋体" w:eastAsia="仿宋_GB2312" w:cs="仿宋_GB2312"/>
          <w:color w:val="000000"/>
          <w:kern w:val="0"/>
          <w:szCs w:val="32"/>
          <w:lang w:val="en-US" w:eastAsia="zh-CN"/>
        </w:rPr>
        <w:t>20</w:t>
      </w:r>
      <w:r>
        <w:rPr>
          <w:rFonts w:hint="eastAsia" w:ascii="仿宋_GB2312" w:hAnsi="宋体" w:eastAsia="仿宋_GB2312" w:cs="仿宋_GB2312"/>
          <w:color w:val="000000"/>
          <w:kern w:val="0"/>
          <w:szCs w:val="32"/>
        </w:rPr>
        <w:t>年体育馆维护</w:t>
      </w:r>
      <w:r>
        <w:rPr>
          <w:rFonts w:hint="eastAsia" w:ascii="仿宋_GB2312" w:hAnsi="宋体" w:eastAsia="仿宋_GB2312" w:cs="仿宋_GB2312"/>
          <w:color w:val="000000"/>
          <w:kern w:val="0"/>
          <w:szCs w:val="32"/>
          <w:lang w:val="en-US" w:eastAsia="zh-CN"/>
        </w:rPr>
        <w:t>维</w:t>
      </w:r>
      <w:r>
        <w:rPr>
          <w:rFonts w:hint="eastAsia" w:ascii="仿宋_GB2312" w:hAnsi="宋体" w:eastAsia="仿宋_GB2312" w:cs="仿宋_GB2312"/>
          <w:color w:val="000000"/>
          <w:kern w:val="0"/>
          <w:szCs w:val="32"/>
        </w:rPr>
        <w:t>修</w:t>
      </w:r>
      <w:r>
        <w:rPr>
          <w:rFonts w:hint="eastAsia" w:ascii="仿宋_GB2312" w:hAnsi="宋体" w:eastAsia="仿宋_GB2312" w:cs="仿宋_GB2312"/>
          <w:color w:val="000000"/>
          <w:kern w:val="0"/>
          <w:szCs w:val="32"/>
          <w:lang w:eastAsia="zh-CN"/>
        </w:rPr>
        <w:t>。</w:t>
      </w:r>
    </w:p>
    <w:p>
      <w:pPr>
        <w:keepNext w:val="0"/>
        <w:keepLines w:val="0"/>
        <w:pageBreakBefore w:val="0"/>
        <w:numPr>
          <w:ilvl w:val="0"/>
          <w:numId w:val="3"/>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lang w:val="en-US" w:eastAsia="zh-CN"/>
        </w:rPr>
      </w:pPr>
      <w:r>
        <w:rPr>
          <w:rFonts w:hint="eastAsia" w:ascii="仿宋" w:hAnsi="仿宋" w:eastAsia="仿宋" w:cs="仿宋"/>
          <w:b/>
          <w:bCs/>
          <w:lang w:val="en-US" w:eastAsia="zh-CN"/>
        </w:rPr>
        <w:t>卫生健康支出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年初预算数在体育场馆人员经费包含，决算数为3.4万万元。原因：功能分类科目调整，医疗费调整过来。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color w:val="000000"/>
          <w:kern w:val="0"/>
          <w:sz w:val="32"/>
          <w:szCs w:val="32"/>
          <w:lang w:bidi="ar"/>
        </w:rPr>
        <w:t>六、一般公共预算财政拨款基本支出决算情况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20" w:firstLineChars="200"/>
        <w:textAlignment w:val="auto"/>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w:t>
      </w:r>
      <w:r>
        <w:rPr>
          <w:rFonts w:hint="eastAsia" w:ascii="仿宋_GB2312" w:hAnsi="仿宋_GB2312" w:eastAsia="仿宋_GB2312" w:cs="仿宋_GB2312"/>
          <w:color w:val="000000"/>
          <w:kern w:val="0"/>
          <w:sz w:val="31"/>
          <w:szCs w:val="31"/>
          <w:lang w:val="en-US" w:eastAsia="zh-CN"/>
        </w:rPr>
        <w:t>20</w:t>
      </w:r>
      <w:r>
        <w:rPr>
          <w:rFonts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lang w:val="en-US" w:eastAsia="zh-CN"/>
        </w:rPr>
        <w:t>127.13</w:t>
      </w:r>
      <w:r>
        <w:rPr>
          <w:rFonts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lang w:val="en-US" w:eastAsia="zh-CN"/>
        </w:rPr>
        <w:t>114.17</w:t>
      </w:r>
      <w:r>
        <w:rPr>
          <w:rFonts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lang w:val="en-US" w:eastAsia="zh-CN"/>
        </w:rPr>
        <w:t>12.95</w:t>
      </w:r>
      <w:r>
        <w:rPr>
          <w:rFonts w:ascii="仿宋_GB2312" w:hAnsi="仿宋_GB2312" w:eastAsia="仿宋_GB2312" w:cs="仿宋_GB2312"/>
          <w:color w:val="000000"/>
          <w:kern w:val="0"/>
          <w:sz w:val="31"/>
          <w:szCs w:val="31"/>
        </w:rPr>
        <w:t>万元。</w:t>
      </w:r>
    </w:p>
    <w:p>
      <w:pPr>
        <w:widowControl/>
        <w:spacing w:line="560" w:lineRule="exact"/>
        <w:ind w:firstLine="643" w:firstLineChars="200"/>
        <w:jc w:val="left"/>
        <w:rPr>
          <w:rFonts w:ascii="仿宋_GB2312" w:hAnsi="宋体" w:eastAsia="仿宋_GB2312" w:cs="仿宋_GB2312"/>
          <w:color w:val="000000"/>
          <w:kern w:val="0"/>
          <w:szCs w:val="32"/>
        </w:rPr>
      </w:pPr>
      <w:r>
        <w:rPr>
          <w:rFonts w:ascii="仿宋_GB2312" w:hAnsi="宋体" w:eastAsia="仿宋_GB2312" w:cs="仿宋_GB2312"/>
          <w:b/>
          <w:bCs/>
          <w:color w:val="000000"/>
          <w:kern w:val="0"/>
          <w:szCs w:val="32"/>
        </w:rPr>
        <w:t>人员经费</w:t>
      </w:r>
      <w:r>
        <w:rPr>
          <w:rFonts w:hint="eastAsia" w:ascii="仿宋_GB2312" w:hAnsi="宋体" w:eastAsia="仿宋_GB2312" w:cs="仿宋_GB2312"/>
          <w:b/>
          <w:bCs/>
          <w:color w:val="000000"/>
          <w:kern w:val="0"/>
          <w:szCs w:val="32"/>
        </w:rPr>
        <w:t>1</w:t>
      </w:r>
      <w:r>
        <w:rPr>
          <w:rFonts w:hint="eastAsia" w:ascii="仿宋_GB2312" w:hAnsi="宋体" w:eastAsia="仿宋_GB2312" w:cs="仿宋_GB2312"/>
          <w:b/>
          <w:bCs/>
          <w:color w:val="000000"/>
          <w:kern w:val="0"/>
          <w:szCs w:val="32"/>
          <w:lang w:val="en-US" w:eastAsia="zh-CN"/>
        </w:rPr>
        <w:t>14.17</w:t>
      </w:r>
      <w:r>
        <w:rPr>
          <w:rFonts w:ascii="仿宋_GB2312" w:hAnsi="宋体" w:eastAsia="仿宋_GB2312" w:cs="仿宋_GB2312"/>
          <w:color w:val="000000"/>
          <w:kern w:val="0"/>
          <w:szCs w:val="32"/>
        </w:rPr>
        <w:t>万元，主要包括</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基本工资</w:t>
      </w:r>
      <w:r>
        <w:rPr>
          <w:rFonts w:hint="eastAsia" w:ascii="仿宋_GB2312" w:hAnsi="宋体" w:eastAsia="仿宋_GB2312" w:cs="仿宋_GB2312"/>
          <w:color w:val="000000"/>
          <w:kern w:val="0"/>
          <w:szCs w:val="32"/>
          <w:lang w:val="en-US" w:eastAsia="zh-CN"/>
        </w:rPr>
        <w:t>29.72</w:t>
      </w:r>
      <w:r>
        <w:rPr>
          <w:rFonts w:hint="eastAsia" w:ascii="仿宋_GB2312" w:hAnsi="宋体" w:eastAsia="仿宋_GB2312" w:cs="仿宋_GB2312"/>
          <w:color w:val="000000"/>
          <w:kern w:val="0"/>
          <w:szCs w:val="32"/>
        </w:rPr>
        <w:t>万元，津贴补贴</w:t>
      </w:r>
      <w:r>
        <w:rPr>
          <w:rFonts w:hint="eastAsia" w:ascii="仿宋_GB2312" w:hAnsi="宋体" w:eastAsia="仿宋_GB2312" w:cs="仿宋_GB2312"/>
          <w:color w:val="000000"/>
          <w:kern w:val="0"/>
          <w:szCs w:val="32"/>
          <w:lang w:val="en-US" w:eastAsia="zh-CN"/>
        </w:rPr>
        <w:t>6.38</w:t>
      </w:r>
      <w:r>
        <w:rPr>
          <w:rFonts w:hint="eastAsia" w:ascii="仿宋_GB2312" w:hAnsi="宋体" w:eastAsia="仿宋_GB2312" w:cs="仿宋_GB2312"/>
          <w:color w:val="000000"/>
          <w:kern w:val="0"/>
          <w:szCs w:val="32"/>
        </w:rPr>
        <w:t>万元，绩效工资</w:t>
      </w:r>
      <w:r>
        <w:rPr>
          <w:rFonts w:hint="eastAsia" w:ascii="仿宋_GB2312" w:hAnsi="宋体" w:eastAsia="仿宋_GB2312" w:cs="仿宋_GB2312"/>
          <w:color w:val="000000"/>
          <w:kern w:val="0"/>
          <w:szCs w:val="32"/>
          <w:lang w:val="en-US" w:eastAsia="zh-CN"/>
        </w:rPr>
        <w:t>34.37</w:t>
      </w:r>
      <w:r>
        <w:rPr>
          <w:rFonts w:hint="eastAsia" w:ascii="仿宋_GB2312" w:hAnsi="宋体" w:eastAsia="仿宋_GB2312" w:cs="仿宋_GB2312"/>
          <w:color w:val="000000"/>
          <w:kern w:val="0"/>
          <w:szCs w:val="32"/>
        </w:rPr>
        <w:t>万元，机关事业单位基本养老保险费</w:t>
      </w:r>
      <w:r>
        <w:rPr>
          <w:rFonts w:hint="eastAsia" w:ascii="仿宋_GB2312" w:hAnsi="宋体" w:eastAsia="仿宋_GB2312" w:cs="仿宋_GB2312"/>
          <w:color w:val="000000"/>
          <w:kern w:val="0"/>
          <w:szCs w:val="32"/>
          <w:lang w:val="en-US" w:eastAsia="zh-CN"/>
        </w:rPr>
        <w:t>7.49</w:t>
      </w:r>
      <w:r>
        <w:rPr>
          <w:rFonts w:hint="eastAsia" w:ascii="仿宋_GB2312" w:hAnsi="宋体" w:eastAsia="仿宋_GB2312" w:cs="仿宋_GB2312"/>
          <w:color w:val="000000"/>
          <w:kern w:val="0"/>
          <w:szCs w:val="32"/>
        </w:rPr>
        <w:t>万元，住房公积金</w:t>
      </w:r>
      <w:r>
        <w:rPr>
          <w:rFonts w:hint="eastAsia" w:ascii="仿宋_GB2312" w:hAnsi="宋体" w:eastAsia="仿宋_GB2312" w:cs="仿宋_GB2312"/>
          <w:color w:val="000000"/>
          <w:kern w:val="0"/>
          <w:szCs w:val="32"/>
          <w:lang w:val="en-US" w:eastAsia="zh-CN"/>
        </w:rPr>
        <w:t>11.69</w:t>
      </w:r>
      <w:r>
        <w:rPr>
          <w:rFonts w:hint="eastAsia" w:ascii="仿宋_GB2312" w:hAnsi="宋体" w:eastAsia="仿宋_GB2312" w:cs="仿宋_GB2312"/>
          <w:color w:val="000000"/>
          <w:kern w:val="0"/>
          <w:szCs w:val="32"/>
        </w:rPr>
        <w:t>万元，职工基本医疗保险费</w:t>
      </w:r>
      <w:r>
        <w:rPr>
          <w:rFonts w:hint="eastAsia" w:ascii="仿宋_GB2312" w:hAnsi="宋体" w:eastAsia="仿宋_GB2312" w:cs="仿宋_GB2312"/>
          <w:color w:val="000000"/>
          <w:kern w:val="0"/>
          <w:szCs w:val="32"/>
          <w:lang w:val="en-US" w:eastAsia="zh-CN"/>
        </w:rPr>
        <w:t>3.46</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val="en-US" w:eastAsia="zh-CN"/>
        </w:rPr>
        <w:t>职业年金0.64</w:t>
      </w:r>
      <w:r>
        <w:rPr>
          <w:rFonts w:hint="eastAsia" w:ascii="仿宋_GB2312" w:hAnsi="宋体" w:eastAsia="仿宋_GB2312" w:cs="仿宋_GB2312"/>
          <w:color w:val="000000"/>
          <w:kern w:val="0"/>
          <w:szCs w:val="32"/>
        </w:rPr>
        <w:t>万元，其他对个人和家庭的补助</w:t>
      </w:r>
      <w:r>
        <w:rPr>
          <w:rFonts w:hint="eastAsia" w:ascii="仿宋_GB2312" w:hAnsi="宋体" w:eastAsia="仿宋_GB2312" w:cs="仿宋_GB2312"/>
          <w:color w:val="000000"/>
          <w:kern w:val="0"/>
          <w:szCs w:val="32"/>
          <w:lang w:val="en-US" w:eastAsia="zh-CN"/>
        </w:rPr>
        <w:t>20.42</w:t>
      </w:r>
      <w:r>
        <w:rPr>
          <w:rFonts w:hint="eastAsia" w:ascii="仿宋_GB2312" w:hAnsi="宋体" w:eastAsia="仿宋_GB2312" w:cs="仿宋_GB2312"/>
          <w:color w:val="000000"/>
          <w:kern w:val="0"/>
          <w:szCs w:val="32"/>
        </w:rPr>
        <w:t>万元。</w:t>
      </w:r>
    </w:p>
    <w:p>
      <w:pPr>
        <w:widowControl/>
        <w:spacing w:line="560" w:lineRule="exact"/>
        <w:ind w:firstLine="643" w:firstLineChars="200"/>
        <w:jc w:val="left"/>
      </w:pPr>
      <w:r>
        <w:rPr>
          <w:rFonts w:ascii="仿宋_GB2312" w:hAnsi="宋体" w:eastAsia="仿宋_GB2312" w:cs="仿宋_GB2312"/>
          <w:b/>
          <w:bCs/>
          <w:color w:val="000000"/>
          <w:kern w:val="0"/>
          <w:szCs w:val="32"/>
        </w:rPr>
        <w:t>公用经费</w:t>
      </w:r>
      <w:r>
        <w:rPr>
          <w:rFonts w:hint="eastAsia" w:ascii="仿宋_GB2312" w:hAnsi="宋体" w:eastAsia="仿宋_GB2312" w:cs="仿宋_GB2312"/>
          <w:b/>
          <w:bCs/>
          <w:color w:val="000000"/>
          <w:kern w:val="0"/>
          <w:szCs w:val="32"/>
          <w:lang w:val="en-US" w:eastAsia="zh-CN"/>
        </w:rPr>
        <w:t>12.95</w:t>
      </w:r>
      <w:r>
        <w:rPr>
          <w:rFonts w:ascii="仿宋_GB2312" w:hAnsi="宋体" w:eastAsia="仿宋_GB2312" w:cs="仿宋_GB2312"/>
          <w:color w:val="000000"/>
          <w:kern w:val="0"/>
          <w:szCs w:val="32"/>
        </w:rPr>
        <w:t>万元，主要包括</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办公费</w:t>
      </w:r>
      <w:r>
        <w:rPr>
          <w:rFonts w:hint="eastAsia" w:ascii="仿宋_GB2312" w:hAnsi="宋体" w:eastAsia="仿宋_GB2312" w:cs="仿宋_GB2312"/>
          <w:color w:val="000000"/>
          <w:kern w:val="0"/>
          <w:szCs w:val="32"/>
          <w:lang w:val="en-US" w:eastAsia="zh-CN"/>
        </w:rPr>
        <w:t>1.48</w:t>
      </w:r>
      <w:r>
        <w:rPr>
          <w:rFonts w:hint="eastAsia" w:ascii="仿宋_GB2312" w:hAnsi="宋体" w:eastAsia="仿宋_GB2312" w:cs="仿宋_GB2312"/>
          <w:color w:val="000000"/>
          <w:kern w:val="0"/>
          <w:szCs w:val="32"/>
        </w:rPr>
        <w:t>万元，差旅费0.</w:t>
      </w:r>
      <w:r>
        <w:rPr>
          <w:rFonts w:hint="eastAsia" w:ascii="仿宋_GB2312" w:hAnsi="宋体" w:eastAsia="仿宋_GB2312" w:cs="仿宋_GB2312"/>
          <w:color w:val="000000"/>
          <w:kern w:val="0"/>
          <w:szCs w:val="32"/>
          <w:lang w:val="en-US" w:eastAsia="zh-CN"/>
        </w:rPr>
        <w:t>0.15</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w:t>
      </w:r>
      <w:r>
        <w:rPr>
          <w:rFonts w:hint="eastAsia" w:ascii="仿宋_GB2312" w:hAnsi="宋体" w:eastAsia="仿宋_GB2312" w:cs="仿宋_GB2312"/>
          <w:color w:val="000000"/>
          <w:kern w:val="0"/>
          <w:szCs w:val="32"/>
          <w:lang w:val="en-US" w:eastAsia="zh-CN"/>
        </w:rPr>
        <w:t>维护（维修）费11.32万元。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七、一般公共预算财政拨款“三公”经费及会议费、培训费支出决算情况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我单位无三公经费</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outlineLvl w:val="9"/>
        <w:rPr>
          <w:rFonts w:hint="eastAsia" w:ascii="仿宋_GB2312" w:hAnsi="宋体" w:eastAsia="仿宋_GB2312" w:cs="仿宋_GB2312"/>
          <w:color w:val="000000"/>
          <w:kern w:val="0"/>
          <w:szCs w:val="32"/>
          <w:lang w:val="en-US" w:eastAsia="zh-CN"/>
        </w:rPr>
      </w:pPr>
      <w:r>
        <w:rPr>
          <w:rFonts w:hint="eastAsia"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我单位无三公经费支出</w:t>
      </w:r>
      <w:r>
        <w:rPr>
          <w:rFonts w:hint="eastAsia" w:ascii="仿宋_GB2312" w:hAnsi="宋体" w:eastAsia="仿宋_GB2312" w:cs="仿宋_GB2312"/>
          <w:color w:val="000000"/>
          <w:kern w:val="0"/>
          <w:szCs w:val="32"/>
          <w:lang w:val="en-US" w:eastAsia="zh-CN"/>
        </w:rPr>
        <w:t>.</w:t>
      </w:r>
    </w:p>
    <w:p>
      <w:pPr>
        <w:widowControl/>
        <w:spacing w:line="560" w:lineRule="exact"/>
        <w:ind w:firstLine="2249" w:firstLineChars="700"/>
        <w:jc w:val="left"/>
        <w:rPr>
          <w:rFonts w:ascii="仿宋_GB2312" w:hAnsi="宋体" w:eastAsia="仿宋_GB2312" w:cs="仿宋_GB2312"/>
          <w:b/>
          <w:bCs/>
          <w:color w:val="000000"/>
          <w:kern w:val="0"/>
          <w:szCs w:val="32"/>
        </w:rPr>
      </w:pPr>
      <w:r>
        <w:rPr>
          <w:rFonts w:hint="eastAsia" w:ascii="仿宋_GB2312" w:hAnsi="宋体" w:eastAsia="仿宋_GB2312" w:cs="仿宋_GB2312"/>
          <w:b/>
          <w:bCs/>
          <w:color w:val="000000"/>
          <w:kern w:val="0"/>
          <w:szCs w:val="32"/>
        </w:rPr>
        <w:t>20</w:t>
      </w:r>
      <w:r>
        <w:rPr>
          <w:rFonts w:hint="eastAsia" w:ascii="仿宋_GB2312" w:hAnsi="宋体" w:eastAsia="仿宋_GB2312" w:cs="仿宋_GB2312"/>
          <w:b/>
          <w:bCs/>
          <w:color w:val="000000"/>
          <w:kern w:val="0"/>
          <w:szCs w:val="32"/>
          <w:lang w:val="en-US" w:eastAsia="zh-CN"/>
        </w:rPr>
        <w:t>20年三公经费</w:t>
      </w:r>
      <w:r>
        <w:rPr>
          <w:rFonts w:hint="eastAsia" w:ascii="仿宋_GB2312" w:hAnsi="宋体" w:eastAsia="仿宋_GB2312" w:cs="仿宋_GB2312"/>
          <w:b/>
          <w:bCs/>
          <w:color w:val="000000"/>
          <w:kern w:val="0"/>
          <w:szCs w:val="32"/>
        </w:rPr>
        <w:t>支出情况表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20" w:firstLineChars="2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年度</w:t>
            </w:r>
          </w:p>
        </w:tc>
        <w:tc>
          <w:tcPr>
            <w:tcW w:w="1419" w:type="dxa"/>
          </w:tcPr>
          <w:p>
            <w:pPr>
              <w:widowControl/>
              <w:spacing w:line="560" w:lineRule="exact"/>
              <w:ind w:firstLine="210" w:firstLineChars="1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支出预算</w:t>
            </w:r>
          </w:p>
        </w:tc>
        <w:tc>
          <w:tcPr>
            <w:tcW w:w="1420" w:type="dxa"/>
          </w:tcPr>
          <w:p>
            <w:pPr>
              <w:widowControl/>
              <w:spacing w:line="560" w:lineRule="exact"/>
              <w:ind w:firstLine="210" w:firstLineChars="1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支出决算</w:t>
            </w:r>
          </w:p>
        </w:tc>
        <w:tc>
          <w:tcPr>
            <w:tcW w:w="1420" w:type="dxa"/>
          </w:tcPr>
          <w:p>
            <w:pPr>
              <w:widowControl/>
              <w:spacing w:line="560" w:lineRule="exact"/>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 xml:space="preserve">   人数</w:t>
            </w:r>
          </w:p>
        </w:tc>
        <w:tc>
          <w:tcPr>
            <w:tcW w:w="1420" w:type="dxa"/>
          </w:tcPr>
          <w:p>
            <w:pPr>
              <w:widowControl/>
              <w:spacing w:line="560" w:lineRule="exact"/>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完成预算%</w:t>
            </w:r>
          </w:p>
        </w:tc>
        <w:tc>
          <w:tcPr>
            <w:tcW w:w="1420" w:type="dxa"/>
          </w:tcPr>
          <w:p>
            <w:pPr>
              <w:widowControl/>
              <w:spacing w:line="560" w:lineRule="exact"/>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决算较预算减少(增加）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20" w:firstLineChars="2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20</w:t>
            </w:r>
            <w:r>
              <w:rPr>
                <w:rFonts w:hint="eastAsia" w:ascii="仿宋_GB2312" w:hAnsi="宋体" w:eastAsia="仿宋_GB2312" w:cs="仿宋_GB2312"/>
                <w:color w:val="000000"/>
                <w:kern w:val="0"/>
                <w:sz w:val="21"/>
                <w:szCs w:val="21"/>
                <w:lang w:val="en-US" w:eastAsia="zh-CN"/>
              </w:rPr>
              <w:t>20</w:t>
            </w:r>
            <w:r>
              <w:rPr>
                <w:rFonts w:hint="eastAsia" w:ascii="仿宋_GB2312" w:hAnsi="宋体" w:eastAsia="仿宋_GB2312" w:cs="仿宋_GB2312"/>
                <w:color w:val="000000"/>
                <w:kern w:val="0"/>
                <w:sz w:val="21"/>
                <w:szCs w:val="21"/>
              </w:rPr>
              <w:t>年</w:t>
            </w:r>
          </w:p>
        </w:tc>
        <w:tc>
          <w:tcPr>
            <w:tcW w:w="1419" w:type="dxa"/>
          </w:tcPr>
          <w:p>
            <w:pPr>
              <w:widowControl/>
              <w:spacing w:line="560" w:lineRule="exact"/>
              <w:ind w:firstLine="630" w:firstLineChars="3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 xml:space="preserve">0 </w:t>
            </w:r>
          </w:p>
        </w:tc>
        <w:tc>
          <w:tcPr>
            <w:tcW w:w="1420" w:type="dxa"/>
          </w:tcPr>
          <w:p>
            <w:pPr>
              <w:widowControl/>
              <w:spacing w:line="560" w:lineRule="exact"/>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 xml:space="preserve">     0</w:t>
            </w:r>
          </w:p>
        </w:tc>
        <w:tc>
          <w:tcPr>
            <w:tcW w:w="1420" w:type="dxa"/>
          </w:tcPr>
          <w:p>
            <w:pPr>
              <w:widowControl/>
              <w:spacing w:line="560" w:lineRule="exact"/>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 xml:space="preserve">    0</w:t>
            </w:r>
          </w:p>
        </w:tc>
        <w:tc>
          <w:tcPr>
            <w:tcW w:w="1420" w:type="dxa"/>
          </w:tcPr>
          <w:p>
            <w:pPr>
              <w:widowControl/>
              <w:spacing w:line="560" w:lineRule="exact"/>
              <w:ind w:firstLine="630" w:firstLineChars="3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0</w:t>
            </w:r>
          </w:p>
        </w:tc>
        <w:tc>
          <w:tcPr>
            <w:tcW w:w="1420" w:type="dxa"/>
          </w:tcPr>
          <w:p>
            <w:pPr>
              <w:widowControl/>
              <w:spacing w:line="560" w:lineRule="exact"/>
              <w:ind w:firstLine="630" w:firstLineChars="3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0</w:t>
            </w: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 w:eastAsia="仿宋_GB2312"/>
          <w:sz w:val="32"/>
          <w:szCs w:val="32"/>
        </w:rPr>
        <w:t>因公出国（境）团组</w:t>
      </w:r>
      <w:r>
        <w:rPr>
          <w:rFonts w:hint="eastAsia" w:ascii="仿宋_GB2312" w:hAnsi="仿宋" w:eastAsia="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我单位无因公出国（境）</w:t>
      </w:r>
      <w:r>
        <w:rPr>
          <w:rFonts w:hint="eastAsia" w:ascii="仿宋_GB2312" w:hAnsi="宋体" w:eastAsia="仿宋_GB2312" w:cs="仿宋_GB2312"/>
          <w:color w:val="000000"/>
          <w:kern w:val="0"/>
          <w:sz w:val="32"/>
          <w:szCs w:val="32"/>
          <w:lang w:bidi="ar"/>
        </w:rPr>
        <w:t>。</w:t>
      </w:r>
    </w:p>
    <w:p>
      <w:pPr>
        <w:widowControl/>
        <w:spacing w:line="560" w:lineRule="exact"/>
        <w:ind w:firstLine="1606" w:firstLineChars="500"/>
        <w:jc w:val="left"/>
        <w:rPr>
          <w:rFonts w:ascii="仿宋_GB2312" w:hAnsi="宋体" w:eastAsia="仿宋_GB2312" w:cs="仿宋_GB2312"/>
          <w:b/>
          <w:bCs/>
          <w:color w:val="000000"/>
          <w:kern w:val="0"/>
          <w:szCs w:val="32"/>
        </w:rPr>
      </w:pPr>
      <w:r>
        <w:rPr>
          <w:rFonts w:hint="eastAsia" w:ascii="仿宋_GB2312" w:hAnsi="宋体" w:eastAsia="仿宋_GB2312" w:cs="仿宋_GB2312"/>
          <w:b/>
          <w:bCs/>
          <w:color w:val="000000"/>
          <w:kern w:val="0"/>
          <w:szCs w:val="32"/>
        </w:rPr>
        <w:t>20</w:t>
      </w:r>
      <w:r>
        <w:rPr>
          <w:rFonts w:hint="eastAsia" w:ascii="仿宋_GB2312" w:hAnsi="宋体" w:eastAsia="仿宋_GB2312" w:cs="仿宋_GB2312"/>
          <w:b/>
          <w:bCs/>
          <w:color w:val="000000"/>
          <w:kern w:val="0"/>
          <w:szCs w:val="32"/>
          <w:lang w:val="en-US" w:eastAsia="zh-CN"/>
        </w:rPr>
        <w:t>20</w:t>
      </w:r>
      <w:r>
        <w:rPr>
          <w:rFonts w:hint="eastAsia" w:ascii="仿宋_GB2312" w:hAnsi="宋体" w:eastAsia="仿宋_GB2312" w:cs="仿宋_GB2312"/>
          <w:b/>
          <w:bCs/>
          <w:color w:val="000000"/>
          <w:kern w:val="0"/>
          <w:szCs w:val="32"/>
        </w:rPr>
        <w:t>因公出国（境）支出情况表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20" w:firstLineChars="2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年度</w:t>
            </w:r>
          </w:p>
        </w:tc>
        <w:tc>
          <w:tcPr>
            <w:tcW w:w="1419" w:type="dxa"/>
          </w:tcPr>
          <w:p>
            <w:pPr>
              <w:widowControl/>
              <w:spacing w:line="560" w:lineRule="exact"/>
              <w:ind w:firstLine="210" w:firstLineChars="1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支出预算</w:t>
            </w:r>
          </w:p>
        </w:tc>
        <w:tc>
          <w:tcPr>
            <w:tcW w:w="1420" w:type="dxa"/>
          </w:tcPr>
          <w:p>
            <w:pPr>
              <w:widowControl/>
              <w:spacing w:line="560" w:lineRule="exact"/>
              <w:ind w:firstLine="210" w:firstLineChars="1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支出决算</w:t>
            </w:r>
          </w:p>
        </w:tc>
        <w:tc>
          <w:tcPr>
            <w:tcW w:w="1420" w:type="dxa"/>
          </w:tcPr>
          <w:p>
            <w:pPr>
              <w:widowControl/>
              <w:spacing w:line="560" w:lineRule="exact"/>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 xml:space="preserve">   人数</w:t>
            </w:r>
          </w:p>
        </w:tc>
        <w:tc>
          <w:tcPr>
            <w:tcW w:w="1420" w:type="dxa"/>
          </w:tcPr>
          <w:p>
            <w:pPr>
              <w:widowControl/>
              <w:spacing w:line="560" w:lineRule="exact"/>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完成预算%</w:t>
            </w:r>
          </w:p>
        </w:tc>
        <w:tc>
          <w:tcPr>
            <w:tcW w:w="1420" w:type="dxa"/>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决算较预算减少(增加）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20" w:firstLineChars="2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20</w:t>
            </w:r>
            <w:r>
              <w:rPr>
                <w:rFonts w:hint="eastAsia" w:ascii="仿宋_GB2312" w:hAnsi="宋体" w:eastAsia="仿宋_GB2312" w:cs="仿宋_GB2312"/>
                <w:color w:val="000000"/>
                <w:kern w:val="0"/>
                <w:sz w:val="21"/>
                <w:szCs w:val="21"/>
                <w:lang w:val="en-US" w:eastAsia="zh-CN"/>
              </w:rPr>
              <w:t>20</w:t>
            </w:r>
            <w:r>
              <w:rPr>
                <w:rFonts w:hint="eastAsia" w:ascii="仿宋_GB2312" w:hAnsi="宋体" w:eastAsia="仿宋_GB2312" w:cs="仿宋_GB2312"/>
                <w:color w:val="000000"/>
                <w:kern w:val="0"/>
                <w:sz w:val="21"/>
                <w:szCs w:val="21"/>
              </w:rPr>
              <w:t>年</w:t>
            </w:r>
          </w:p>
        </w:tc>
        <w:tc>
          <w:tcPr>
            <w:tcW w:w="1419" w:type="dxa"/>
          </w:tcPr>
          <w:p>
            <w:pPr>
              <w:widowControl/>
              <w:spacing w:line="560" w:lineRule="exact"/>
              <w:ind w:firstLine="630" w:firstLineChars="3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 xml:space="preserve">0 </w:t>
            </w:r>
          </w:p>
        </w:tc>
        <w:tc>
          <w:tcPr>
            <w:tcW w:w="1420" w:type="dxa"/>
          </w:tcPr>
          <w:p>
            <w:pPr>
              <w:widowControl/>
              <w:spacing w:line="560" w:lineRule="exact"/>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 xml:space="preserve">     0</w:t>
            </w:r>
          </w:p>
        </w:tc>
        <w:tc>
          <w:tcPr>
            <w:tcW w:w="1420" w:type="dxa"/>
          </w:tcPr>
          <w:p>
            <w:pPr>
              <w:widowControl/>
              <w:spacing w:line="560" w:lineRule="exact"/>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 xml:space="preserve">    0</w:t>
            </w:r>
          </w:p>
        </w:tc>
        <w:tc>
          <w:tcPr>
            <w:tcW w:w="1420" w:type="dxa"/>
          </w:tcPr>
          <w:p>
            <w:pPr>
              <w:widowControl/>
              <w:spacing w:line="560" w:lineRule="exact"/>
              <w:ind w:firstLine="630" w:firstLineChars="3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0</w:t>
            </w:r>
          </w:p>
        </w:tc>
        <w:tc>
          <w:tcPr>
            <w:tcW w:w="1420" w:type="dxa"/>
          </w:tcPr>
          <w:p>
            <w:pPr>
              <w:widowControl/>
              <w:spacing w:line="560" w:lineRule="exact"/>
              <w:ind w:firstLine="630" w:firstLineChars="3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0</w:t>
            </w:r>
          </w:p>
        </w:tc>
      </w:tr>
    </w:tbl>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 w:eastAsia="仿宋_GB2312"/>
          <w:sz w:val="32"/>
          <w:szCs w:val="32"/>
        </w:rPr>
        <w:t>购置车辆</w:t>
      </w:r>
      <w:r>
        <w:rPr>
          <w:rFonts w:hint="eastAsia" w:ascii="仿宋_GB2312" w:hAnsi="仿宋" w:eastAsia="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没有购置车辆</w:t>
      </w:r>
      <w:r>
        <w:rPr>
          <w:rFonts w:hint="eastAsia" w:ascii="仿宋_GB2312" w:hAnsi="宋体" w:eastAsia="仿宋_GB2312" w:cs="仿宋_GB2312"/>
          <w:color w:val="000000"/>
          <w:kern w:val="0"/>
          <w:sz w:val="32"/>
          <w:szCs w:val="32"/>
          <w:lang w:bidi="ar"/>
        </w:rPr>
        <w:t>。</w:t>
      </w:r>
    </w:p>
    <w:p>
      <w:pPr>
        <w:widowControl/>
        <w:spacing w:line="560" w:lineRule="exact"/>
        <w:ind w:firstLine="2560" w:firstLineChars="8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hint="eastAsia" w:ascii="仿宋_GB2312" w:hAnsi="宋体" w:eastAsia="仿宋_GB2312" w:cs="仿宋_GB2312"/>
          <w:color w:val="000000"/>
          <w:kern w:val="0"/>
          <w:szCs w:val="32"/>
        </w:rPr>
        <w:t>年度购置车辆情况表</w:t>
      </w:r>
    </w:p>
    <w:tbl>
      <w:tblPr>
        <w:tblStyle w:val="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9"/>
        <w:gridCol w:w="1420"/>
        <w:gridCol w:w="1420"/>
        <w:gridCol w:w="1273"/>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年度</w:t>
            </w:r>
          </w:p>
        </w:tc>
        <w:tc>
          <w:tcPr>
            <w:tcW w:w="1419"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支出预算</w:t>
            </w:r>
          </w:p>
        </w:tc>
        <w:tc>
          <w:tcPr>
            <w:tcW w:w="1420"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支出决算</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   车辆数</w:t>
            </w:r>
          </w:p>
        </w:tc>
        <w:tc>
          <w:tcPr>
            <w:tcW w:w="1273"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完成预算%</w:t>
            </w:r>
          </w:p>
        </w:tc>
        <w:tc>
          <w:tcPr>
            <w:tcW w:w="1567"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决算较预算减少(增加）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20</w:t>
            </w:r>
            <w:r>
              <w:rPr>
                <w:rFonts w:hint="eastAsia" w:ascii="仿宋_GB2312" w:hAnsi="宋体" w:eastAsia="仿宋_GB2312" w:cs="仿宋_GB2312"/>
                <w:color w:val="000000"/>
                <w:kern w:val="0"/>
                <w:sz w:val="20"/>
                <w:lang w:val="en-US" w:eastAsia="zh-CN"/>
              </w:rPr>
              <w:t>20</w:t>
            </w:r>
            <w:r>
              <w:rPr>
                <w:rFonts w:hint="eastAsia" w:ascii="仿宋_GB2312" w:hAnsi="宋体" w:eastAsia="仿宋_GB2312" w:cs="仿宋_GB2312"/>
                <w:color w:val="000000"/>
                <w:kern w:val="0"/>
                <w:sz w:val="20"/>
              </w:rPr>
              <w:t>年</w:t>
            </w:r>
          </w:p>
        </w:tc>
        <w:tc>
          <w:tcPr>
            <w:tcW w:w="1419"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0 </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     0</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    0</w:t>
            </w:r>
          </w:p>
        </w:tc>
        <w:tc>
          <w:tcPr>
            <w:tcW w:w="1273"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c>
          <w:tcPr>
            <w:tcW w:w="1567"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r>
    </w:tbl>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没有公务用车</w:t>
      </w:r>
      <w:r>
        <w:rPr>
          <w:rFonts w:hint="eastAsia" w:ascii="仿宋_GB2312" w:hAnsi="宋体" w:eastAsia="仿宋_GB2312" w:cs="仿宋_GB2312"/>
          <w:color w:val="000000"/>
          <w:kern w:val="0"/>
          <w:sz w:val="32"/>
          <w:szCs w:val="32"/>
          <w:lang w:bidi="ar"/>
        </w:rPr>
        <w:t>。</w:t>
      </w:r>
    </w:p>
    <w:p>
      <w:pPr>
        <w:widowControl/>
        <w:spacing w:line="560" w:lineRule="exact"/>
        <w:ind w:firstLine="1280" w:firstLineChars="4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hint="eastAsia" w:ascii="仿宋_GB2312" w:hAnsi="宋体" w:eastAsia="仿宋_GB2312" w:cs="仿宋_GB2312"/>
          <w:color w:val="000000"/>
          <w:kern w:val="0"/>
          <w:szCs w:val="32"/>
        </w:rPr>
        <w:t>年度公务用车运行维护费情况表</w:t>
      </w:r>
    </w:p>
    <w:tbl>
      <w:tblPr>
        <w:tblStyle w:val="8"/>
        <w:tblW w:w="8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年度</w:t>
            </w:r>
          </w:p>
        </w:tc>
        <w:tc>
          <w:tcPr>
            <w:tcW w:w="1419"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支出预算</w:t>
            </w:r>
          </w:p>
        </w:tc>
        <w:tc>
          <w:tcPr>
            <w:tcW w:w="1420"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支出决算</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完成预算%</w:t>
            </w:r>
          </w:p>
        </w:tc>
        <w:tc>
          <w:tcPr>
            <w:tcW w:w="2776"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决算较预算减少(增加）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20</w:t>
            </w:r>
            <w:r>
              <w:rPr>
                <w:rFonts w:hint="eastAsia" w:ascii="仿宋_GB2312" w:hAnsi="宋体" w:eastAsia="仿宋_GB2312" w:cs="仿宋_GB2312"/>
                <w:color w:val="000000"/>
                <w:kern w:val="0"/>
                <w:sz w:val="20"/>
                <w:lang w:val="en-US" w:eastAsia="zh-CN"/>
              </w:rPr>
              <w:t>20</w:t>
            </w:r>
            <w:r>
              <w:rPr>
                <w:rFonts w:hint="eastAsia" w:ascii="仿宋_GB2312" w:hAnsi="宋体" w:eastAsia="仿宋_GB2312" w:cs="仿宋_GB2312"/>
                <w:color w:val="000000"/>
                <w:kern w:val="0"/>
                <w:sz w:val="20"/>
              </w:rPr>
              <w:t>年</w:t>
            </w:r>
          </w:p>
        </w:tc>
        <w:tc>
          <w:tcPr>
            <w:tcW w:w="1419"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0 </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     0</w:t>
            </w:r>
          </w:p>
        </w:tc>
        <w:tc>
          <w:tcPr>
            <w:tcW w:w="1420"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c>
          <w:tcPr>
            <w:tcW w:w="2776"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lang w:val="en-US" w:eastAsia="zh-CN"/>
        </w:rPr>
        <w:t>4.</w:t>
      </w: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 w:eastAsia="仿宋_GB2312"/>
          <w:sz w:val="32"/>
          <w:szCs w:val="32"/>
        </w:rPr>
        <w:t>公务接待</w:t>
      </w:r>
      <w:r>
        <w:rPr>
          <w:rFonts w:hint="eastAsia" w:ascii="仿宋_GB2312" w:hAnsi="仿宋" w:eastAsia="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没有公务接待</w:t>
      </w:r>
      <w:r>
        <w:rPr>
          <w:rFonts w:hint="eastAsia" w:ascii="仿宋_GB2312" w:hAnsi="宋体" w:eastAsia="仿宋_GB2312" w:cs="仿宋_GB2312"/>
          <w:color w:val="000000"/>
          <w:kern w:val="0"/>
          <w:sz w:val="32"/>
          <w:szCs w:val="32"/>
          <w:lang w:bidi="ar"/>
        </w:rPr>
        <w:t>。</w:t>
      </w:r>
    </w:p>
    <w:p>
      <w:pPr>
        <w:widowControl/>
        <w:spacing w:line="560" w:lineRule="exact"/>
        <w:ind w:firstLine="1920" w:firstLineChars="6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hint="eastAsia" w:ascii="仿宋_GB2312" w:hAnsi="宋体" w:eastAsia="仿宋_GB2312" w:cs="仿宋_GB2312"/>
          <w:color w:val="000000"/>
          <w:kern w:val="0"/>
          <w:szCs w:val="32"/>
        </w:rPr>
        <w:t>年度公务接待费支出情况表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年度</w:t>
            </w:r>
          </w:p>
        </w:tc>
        <w:tc>
          <w:tcPr>
            <w:tcW w:w="1419"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支出预算</w:t>
            </w:r>
          </w:p>
        </w:tc>
        <w:tc>
          <w:tcPr>
            <w:tcW w:w="1420"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支出决算</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完成预算%</w:t>
            </w:r>
          </w:p>
        </w:tc>
        <w:tc>
          <w:tcPr>
            <w:tcW w:w="2746"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决算较预算减少(增加）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20</w:t>
            </w:r>
            <w:r>
              <w:rPr>
                <w:rFonts w:hint="eastAsia" w:ascii="仿宋_GB2312" w:hAnsi="宋体" w:eastAsia="仿宋_GB2312" w:cs="仿宋_GB2312"/>
                <w:color w:val="000000"/>
                <w:kern w:val="0"/>
                <w:sz w:val="20"/>
                <w:lang w:val="en-US" w:eastAsia="zh-CN"/>
              </w:rPr>
              <w:t>20</w:t>
            </w:r>
            <w:r>
              <w:rPr>
                <w:rFonts w:hint="eastAsia" w:ascii="仿宋_GB2312" w:hAnsi="宋体" w:eastAsia="仿宋_GB2312" w:cs="仿宋_GB2312"/>
                <w:color w:val="000000"/>
                <w:kern w:val="0"/>
                <w:sz w:val="20"/>
              </w:rPr>
              <w:t>年</w:t>
            </w:r>
          </w:p>
        </w:tc>
        <w:tc>
          <w:tcPr>
            <w:tcW w:w="1419"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0 </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     0</w:t>
            </w:r>
          </w:p>
        </w:tc>
        <w:tc>
          <w:tcPr>
            <w:tcW w:w="1420"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c>
          <w:tcPr>
            <w:tcW w:w="2746"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r>
    </w:tbl>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没有培训</w:t>
      </w:r>
      <w:r>
        <w:rPr>
          <w:rFonts w:hint="eastAsia" w:ascii="仿宋_GB2312" w:hAnsi="宋体" w:eastAsia="仿宋_GB2312" w:cs="仿宋_GB2312"/>
          <w:color w:val="000000"/>
          <w:kern w:val="0"/>
          <w:sz w:val="32"/>
          <w:szCs w:val="32"/>
          <w:lang w:bidi="ar"/>
        </w:rPr>
        <w:t>。</w:t>
      </w:r>
    </w:p>
    <w:p>
      <w:pPr>
        <w:widowControl/>
        <w:spacing w:line="560" w:lineRule="exact"/>
        <w:ind w:firstLine="2240" w:firstLineChars="7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hint="eastAsia" w:ascii="仿宋_GB2312" w:hAnsi="宋体" w:eastAsia="仿宋_GB2312" w:cs="仿宋_GB2312"/>
          <w:color w:val="000000"/>
          <w:kern w:val="0"/>
          <w:szCs w:val="32"/>
        </w:rPr>
        <w:t>年度培训费支出情况表</w:t>
      </w:r>
    </w:p>
    <w:tbl>
      <w:tblPr>
        <w:tblStyle w:val="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年度</w:t>
            </w:r>
          </w:p>
        </w:tc>
        <w:tc>
          <w:tcPr>
            <w:tcW w:w="1419"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支出预算</w:t>
            </w:r>
          </w:p>
        </w:tc>
        <w:tc>
          <w:tcPr>
            <w:tcW w:w="1420"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支出决算</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完成预算%</w:t>
            </w:r>
          </w:p>
        </w:tc>
        <w:tc>
          <w:tcPr>
            <w:tcW w:w="2851"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决算较预算减少(增加）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20</w:t>
            </w:r>
            <w:r>
              <w:rPr>
                <w:rFonts w:hint="eastAsia" w:ascii="仿宋_GB2312" w:hAnsi="宋体" w:eastAsia="仿宋_GB2312" w:cs="仿宋_GB2312"/>
                <w:color w:val="000000"/>
                <w:kern w:val="0"/>
                <w:sz w:val="20"/>
                <w:lang w:val="en-US" w:eastAsia="zh-CN"/>
              </w:rPr>
              <w:t>20</w:t>
            </w:r>
            <w:r>
              <w:rPr>
                <w:rFonts w:hint="eastAsia" w:ascii="仿宋_GB2312" w:hAnsi="宋体" w:eastAsia="仿宋_GB2312" w:cs="仿宋_GB2312"/>
                <w:color w:val="000000"/>
                <w:kern w:val="0"/>
                <w:sz w:val="20"/>
              </w:rPr>
              <w:t>年</w:t>
            </w:r>
          </w:p>
        </w:tc>
        <w:tc>
          <w:tcPr>
            <w:tcW w:w="1419"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0 </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     0</w:t>
            </w:r>
          </w:p>
        </w:tc>
        <w:tc>
          <w:tcPr>
            <w:tcW w:w="1420"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c>
          <w:tcPr>
            <w:tcW w:w="2851"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r>
    </w:tbl>
    <w:p>
      <w:pPr>
        <w:keepNext w:val="0"/>
        <w:keepLines w:val="0"/>
        <w:pageBreakBefore w:val="0"/>
        <w:numPr>
          <w:ilvl w:val="0"/>
          <w:numId w:val="4"/>
        </w:numP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没有会议费</w:t>
      </w:r>
      <w:r>
        <w:rPr>
          <w:rFonts w:hint="eastAsia" w:ascii="仿宋_GB2312" w:hAnsi="宋体" w:eastAsia="仿宋_GB2312" w:cs="仿宋_GB2312"/>
          <w:color w:val="000000"/>
          <w:kern w:val="0"/>
          <w:sz w:val="32"/>
          <w:szCs w:val="32"/>
          <w:lang w:bidi="ar"/>
        </w:rPr>
        <w:t>。</w:t>
      </w:r>
    </w:p>
    <w:p>
      <w:pPr>
        <w:widowControl/>
        <w:spacing w:line="560" w:lineRule="exact"/>
        <w:ind w:firstLine="2249" w:firstLineChars="700"/>
        <w:jc w:val="left"/>
        <w:rPr>
          <w:rFonts w:ascii="仿宋_GB2312" w:hAnsi="宋体" w:eastAsia="仿宋_GB2312" w:cs="仿宋_GB2312"/>
          <w:color w:val="000000"/>
          <w:kern w:val="0"/>
          <w:szCs w:val="32"/>
        </w:rPr>
      </w:pPr>
      <w:r>
        <w:rPr>
          <w:rFonts w:hint="eastAsia" w:ascii="仿宋_GB2312" w:hAnsi="宋体" w:eastAsia="仿宋_GB2312" w:cs="仿宋_GB2312"/>
          <w:b/>
          <w:bCs/>
          <w:color w:val="000000"/>
          <w:kern w:val="0"/>
          <w:szCs w:val="32"/>
        </w:rPr>
        <w:t>20</w:t>
      </w:r>
      <w:r>
        <w:rPr>
          <w:rFonts w:hint="eastAsia" w:ascii="仿宋_GB2312" w:hAnsi="宋体" w:eastAsia="仿宋_GB2312" w:cs="仿宋_GB2312"/>
          <w:b/>
          <w:bCs/>
          <w:color w:val="000000"/>
          <w:kern w:val="0"/>
          <w:szCs w:val="32"/>
          <w:lang w:val="en-US" w:eastAsia="zh-CN"/>
        </w:rPr>
        <w:t>20</w:t>
      </w:r>
      <w:r>
        <w:rPr>
          <w:rFonts w:hint="eastAsia" w:ascii="仿宋_GB2312" w:hAnsi="宋体" w:eastAsia="仿宋_GB2312" w:cs="仿宋_GB2312"/>
          <w:b/>
          <w:bCs/>
          <w:color w:val="000000"/>
          <w:kern w:val="0"/>
          <w:szCs w:val="32"/>
        </w:rPr>
        <w:t>年度会议费支出情况表</w:t>
      </w:r>
    </w:p>
    <w:tbl>
      <w:tblPr>
        <w:tblStyle w:val="8"/>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2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年度</w:t>
            </w:r>
          </w:p>
        </w:tc>
        <w:tc>
          <w:tcPr>
            <w:tcW w:w="1419"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支出预算</w:t>
            </w:r>
          </w:p>
        </w:tc>
        <w:tc>
          <w:tcPr>
            <w:tcW w:w="1420"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支出决算</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完成预算%</w:t>
            </w:r>
          </w:p>
        </w:tc>
        <w:tc>
          <w:tcPr>
            <w:tcW w:w="2866"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决算较预算减少(增加）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20</w:t>
            </w:r>
            <w:r>
              <w:rPr>
                <w:rFonts w:hint="eastAsia" w:ascii="仿宋_GB2312" w:hAnsi="宋体" w:eastAsia="仿宋_GB2312" w:cs="仿宋_GB2312"/>
                <w:color w:val="000000"/>
                <w:kern w:val="0"/>
                <w:sz w:val="20"/>
                <w:lang w:val="en-US" w:eastAsia="zh-CN"/>
              </w:rPr>
              <w:t>20</w:t>
            </w:r>
            <w:r>
              <w:rPr>
                <w:rFonts w:hint="eastAsia" w:ascii="仿宋_GB2312" w:hAnsi="宋体" w:eastAsia="仿宋_GB2312" w:cs="仿宋_GB2312"/>
                <w:color w:val="000000"/>
                <w:kern w:val="0"/>
                <w:sz w:val="20"/>
              </w:rPr>
              <w:t>年</w:t>
            </w:r>
          </w:p>
        </w:tc>
        <w:tc>
          <w:tcPr>
            <w:tcW w:w="1419"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0 </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     0</w:t>
            </w:r>
          </w:p>
        </w:tc>
        <w:tc>
          <w:tcPr>
            <w:tcW w:w="1420"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c>
          <w:tcPr>
            <w:tcW w:w="2866"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r>
    </w:tbl>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八、政府性基金预算财政拨款收入支出情况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Cs w:val="32"/>
        </w:rPr>
        <w:t>本部门无政府性基金决算收支，并已公开空表</w:t>
      </w:r>
      <w:r>
        <w:rPr>
          <w:rFonts w:hint="eastAsia" w:ascii="仿宋_GB2312" w:hAnsi="仿宋_GB2312" w:eastAsia="仿宋_GB2312" w:cs="仿宋_GB231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九、国有资本经营财政拨款收</w:t>
      </w:r>
      <w:r>
        <w:rPr>
          <w:rFonts w:hint="eastAsia" w:asciiTheme="minorEastAsia" w:hAnsiTheme="minorEastAsia" w:eastAsiaTheme="minorEastAsia" w:cstheme="minorEastAsia"/>
          <w:b/>
          <w:bCs/>
          <w:color w:val="000000"/>
          <w:kern w:val="0"/>
          <w:sz w:val="32"/>
          <w:szCs w:val="32"/>
          <w:lang w:eastAsia="zh-CN" w:bidi="ar"/>
        </w:rPr>
        <w:t>入</w:t>
      </w:r>
      <w:r>
        <w:rPr>
          <w:rFonts w:hint="eastAsia" w:asciiTheme="minorEastAsia" w:hAnsiTheme="minorEastAsia" w:eastAsiaTheme="minorEastAsia" w:cstheme="minorEastAsia"/>
          <w:b/>
          <w:bCs/>
          <w:color w:val="000000"/>
          <w:kern w:val="0"/>
          <w:sz w:val="32"/>
          <w:szCs w:val="32"/>
          <w:lang w:bidi="ar"/>
        </w:rPr>
        <w:t>支</w:t>
      </w:r>
      <w:r>
        <w:rPr>
          <w:rFonts w:hint="eastAsia" w:asciiTheme="minorEastAsia" w:hAnsiTheme="minorEastAsia" w:eastAsiaTheme="minorEastAsia" w:cstheme="minorEastAsia"/>
          <w:b/>
          <w:bCs/>
          <w:color w:val="000000"/>
          <w:kern w:val="0"/>
          <w:sz w:val="32"/>
          <w:szCs w:val="32"/>
          <w:lang w:eastAsia="zh-CN" w:bidi="ar"/>
        </w:rPr>
        <w:t>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并已公开空表。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十、</w:t>
      </w:r>
      <w:r>
        <w:rPr>
          <w:rFonts w:hint="eastAsia" w:asciiTheme="minorEastAsia" w:hAnsiTheme="minorEastAsia" w:eastAsiaTheme="minorEastAsia" w:cstheme="minorEastAsia"/>
          <w:b/>
          <w:bCs/>
          <w:color w:val="000000"/>
          <w:kern w:val="0"/>
          <w:sz w:val="32"/>
          <w:szCs w:val="32"/>
          <w:lang w:eastAsia="zh-CN" w:bidi="ar"/>
        </w:rPr>
        <w:t>机关运行经费支出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lang w:eastAsia="zh-CN"/>
        </w:rPr>
        <w:t>2020年机关运行经费预算为</w:t>
      </w:r>
      <w:r>
        <w:rPr>
          <w:rFonts w:hint="eastAsia" w:ascii="仿宋_GB2312" w:hAnsi="仿宋_GB2312" w:eastAsia="仿宋_GB2312" w:cs="仿宋_GB2312"/>
          <w:sz w:val="32"/>
          <w:szCs w:val="32"/>
          <w:lang w:val="en-US" w:eastAsia="zh-CN"/>
        </w:rPr>
        <w:t>0万元，支出决算为0万元，</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无机关运行经费</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一</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政府采购支出</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2020年本部门政府采购支出总额共 0万元，其中政府采购货物类支出0万元、政府采购服务类支出0万元、政府采购工程类支出 0万元。授予中小企业合同金额 0万元，占政府采购支出总额的0%，其中：授予小微企业合同金额0万元，占政府采购支出总额的0%。</w:t>
      </w:r>
      <w:r>
        <w:rPr>
          <w:rFonts w:hint="eastAsia" w:ascii="仿宋_GB2312" w:hAnsi="仿宋_GB2312" w:eastAsia="仿宋_GB2312" w:cs="仿宋_GB2312"/>
          <w:sz w:val="32"/>
          <w:szCs w:val="32"/>
        </w:rPr>
        <w:t>本部门无</w:t>
      </w:r>
      <w:r>
        <w:rPr>
          <w:rFonts w:hint="eastAsia" w:ascii="仿宋_GB2312" w:hAnsi="仿宋_GB2312" w:eastAsia="仿宋_GB2312" w:cs="仿宋_GB2312"/>
          <w:sz w:val="32"/>
          <w:szCs w:val="32"/>
          <w:lang w:eastAsia="zh-CN"/>
        </w:rPr>
        <w:t>政府采购支出。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二</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国有资产占用及购置</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截至 </w:t>
      </w:r>
      <w:r>
        <w:rPr>
          <w:rFonts w:hint="default"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年末，本部门机关及所属单位实有车辆0辆，其中副部（省）级以上领导用车0辆，主要领导干部用车0辆，机要通信用车0辆，应急保障用车0辆，执法执勤用车0辆，特种专业技术用车0辆，离退休干部用车0辆，其他用车0辆。单价</w:t>
      </w:r>
      <w:r>
        <w:rPr>
          <w:rFonts w:hint="default"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万元以上的通用设备0台（套）；单价</w:t>
      </w:r>
      <w:r>
        <w:rPr>
          <w:rFonts w:hint="default" w:ascii="仿宋_GB2312" w:hAnsi="仿宋_GB2312" w:eastAsia="仿宋_GB2312" w:cs="仿宋_GB2312"/>
          <w:sz w:val="32"/>
          <w:szCs w:val="32"/>
          <w:highlight w:val="none"/>
          <w:lang w:val="en-US" w:eastAsia="zh-CN"/>
        </w:rPr>
        <w:t xml:space="preserve"> 100</w:t>
      </w:r>
      <w:r>
        <w:rPr>
          <w:rFonts w:hint="eastAsia" w:ascii="仿宋_GB2312" w:hAnsi="仿宋_GB2312" w:eastAsia="仿宋_GB2312" w:cs="仿宋_GB2312"/>
          <w:sz w:val="32"/>
          <w:szCs w:val="32"/>
          <w:highlight w:val="none"/>
          <w:lang w:val="en-US" w:eastAsia="zh-CN"/>
        </w:rPr>
        <w:t>万元以上的专用设备0台（套）。</w:t>
      </w:r>
      <w:r>
        <w:rPr>
          <w:rFonts w:hint="default"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 xml:space="preserve">年当年购置车辆辆；购置单价 </w:t>
      </w:r>
      <w:r>
        <w:rPr>
          <w:rFonts w:hint="default"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 xml:space="preserve">万元 以上的通用设备0台（套）；购置单价 </w:t>
      </w:r>
      <w:r>
        <w:rPr>
          <w:rFonts w:hint="default"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en-US" w:eastAsia="zh-CN"/>
        </w:rPr>
        <w:t>万元以上的专用设备0台（套）。</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三</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预算绩效</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 20</w:t>
      </w:r>
      <w:r>
        <w:rPr>
          <w:rFonts w:hint="eastAsia" w:ascii="仿宋_GB2312" w:hAnsi="仿宋_GB2312" w:eastAsia="仿宋_GB2312" w:cs="仿宋_GB2312"/>
          <w:color w:val="000000"/>
          <w:kern w:val="0"/>
          <w:sz w:val="31"/>
          <w:szCs w:val="31"/>
          <w:lang w:val="en-US" w:eastAsia="zh-CN" w:bidi="ar"/>
        </w:rPr>
        <w:t>20</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color w:val="000000"/>
          <w:kern w:val="0"/>
          <w:sz w:val="31"/>
          <w:szCs w:val="31"/>
          <w:lang w:val="en-US" w:eastAsia="zh-CN" w:bidi="ar"/>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仿宋_GB2312" w:eastAsia="仿宋_GB2312" w:cs="仿宋_GB2312"/>
          <w:sz w:val="32"/>
          <w:szCs w:val="32"/>
          <w:lang w:val="en-US" w:eastAsia="zh-CN"/>
        </w:rPr>
        <w:t>127.13</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r>
        <w:rPr>
          <w:rFonts w:ascii="仿宋_GB2312" w:hAnsi="仿宋_GB2312" w:eastAsia="仿宋_GB2312" w:cs="仿宋_GB2312"/>
          <w:color w:val="000000"/>
          <w:kern w:val="0"/>
          <w:sz w:val="31"/>
          <w:szCs w:val="31"/>
          <w:lang w:bidi="ar"/>
        </w:rPr>
        <w:t xml:space="preserve"> </w:t>
      </w:r>
    </w:p>
    <w:p>
      <w:pPr>
        <w:widowControl/>
        <w:spacing w:line="560" w:lineRule="exact"/>
        <w:ind w:firstLine="620" w:firstLineChars="200"/>
        <w:jc w:val="left"/>
        <w:rPr>
          <w:rFonts w:hint="default" w:ascii="仿宋_GB2312" w:hAnsi="仿宋_GB2312" w:eastAsia="仿宋_GB2312" w:cs="仿宋_GB2312"/>
          <w:kern w:val="0"/>
          <w:sz w:val="31"/>
          <w:szCs w:val="31"/>
          <w:lang w:val="en-US" w:eastAsia="zh-CN"/>
        </w:rPr>
      </w:pPr>
      <w:r>
        <w:rPr>
          <w:rFonts w:ascii="仿宋_GB2312" w:hAnsi="仿宋_GB2312" w:eastAsia="仿宋_GB2312" w:cs="仿宋_GB2312"/>
          <w:color w:val="000000"/>
          <w:kern w:val="0"/>
          <w:sz w:val="31"/>
          <w:szCs w:val="31"/>
        </w:rPr>
        <w:t xml:space="preserve"> </w:t>
      </w:r>
      <w:r>
        <w:rPr>
          <w:rFonts w:hint="eastAsia" w:ascii="仿宋_GB2312" w:hAnsi="仿宋_GB2312" w:eastAsia="仿宋_GB2312" w:cs="仿宋_GB2312"/>
          <w:color w:val="000000"/>
          <w:kern w:val="0"/>
          <w:sz w:val="31"/>
          <w:szCs w:val="31"/>
          <w:lang w:val="en-US" w:eastAsia="zh-CN"/>
        </w:rPr>
        <w:t>无项目</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color w:val="000000"/>
          <w:kern w:val="0"/>
          <w:sz w:val="31"/>
          <w:szCs w:val="31"/>
          <w:lang w:val="en-US" w:eastAsia="zh-CN"/>
        </w:rPr>
        <w:t>西安市阎良区体育场是西安市阎良区文化和旅游体育局</w:t>
      </w:r>
      <w:r>
        <w:rPr>
          <w:rFonts w:hint="eastAsia" w:ascii="仿宋_GB2312" w:hAnsi="仿宋_GB2312" w:eastAsia="仿宋_GB2312" w:cs="仿宋_GB2312"/>
          <w:color w:val="000000"/>
          <w:kern w:val="0"/>
          <w:sz w:val="31"/>
          <w:szCs w:val="31"/>
        </w:rPr>
        <w:t>所属二级单位</w:t>
      </w:r>
      <w:r>
        <w:rPr>
          <w:rFonts w:hint="eastAsia" w:ascii="仿宋_GB2312" w:hAnsi="仿宋_GB2312" w:eastAsia="仿宋_GB2312" w:cs="仿宋_GB2312"/>
          <w:color w:val="000000"/>
          <w:kern w:val="0"/>
          <w:sz w:val="31"/>
          <w:szCs w:val="31"/>
          <w:lang w:eastAsia="zh-CN"/>
        </w:rPr>
        <w:t>。</w:t>
      </w:r>
      <w:r>
        <w:rPr>
          <w:rFonts w:hint="eastAsia" w:ascii="仿宋_GB2312" w:hAnsi="仿宋_GB2312" w:eastAsia="仿宋_GB2312" w:cs="仿宋_GB2312"/>
          <w:color w:val="000000"/>
          <w:kern w:val="0"/>
          <w:sz w:val="31"/>
          <w:szCs w:val="31"/>
        </w:rPr>
        <w:t>20</w:t>
      </w:r>
      <w:r>
        <w:rPr>
          <w:rFonts w:hint="eastAsia" w:ascii="仿宋_GB2312" w:hAnsi="仿宋_GB2312" w:eastAsia="仿宋_GB2312" w:cs="仿宋_GB2312"/>
          <w:color w:val="000000"/>
          <w:kern w:val="0"/>
          <w:sz w:val="31"/>
          <w:szCs w:val="31"/>
          <w:lang w:val="en-US" w:eastAsia="zh-CN"/>
        </w:rPr>
        <w:t>20</w:t>
      </w:r>
      <w:r>
        <w:rPr>
          <w:rFonts w:hint="eastAsia" w:ascii="仿宋_GB2312" w:hAnsi="仿宋_GB2312" w:eastAsia="仿宋_GB2312" w:cs="仿宋_GB2312"/>
          <w:color w:val="000000"/>
          <w:kern w:val="0"/>
          <w:sz w:val="31"/>
          <w:szCs w:val="31"/>
        </w:rPr>
        <w:t>年度整体</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themeColor="text1"/>
          <w:kern w:val="0"/>
          <w:sz w:val="31"/>
          <w:szCs w:val="31"/>
          <w14:textFill>
            <w14:solidFill>
              <w14:schemeClr w14:val="tx1"/>
            </w14:solidFill>
          </w14:textFill>
        </w:rPr>
        <w:t>9</w:t>
      </w:r>
      <w:r>
        <w:rPr>
          <w:rFonts w:hint="eastAsia" w:ascii="仿宋_GB2312" w:hAnsi="仿宋_GB2312" w:eastAsia="仿宋_GB2312" w:cs="仿宋_GB2312"/>
          <w:color w:val="000000" w:themeColor="text1"/>
          <w:kern w:val="0"/>
          <w:sz w:val="31"/>
          <w:szCs w:val="31"/>
          <w:lang w:val="en-US" w:eastAsia="zh-CN"/>
          <w14:textFill>
            <w14:solidFill>
              <w14:schemeClr w14:val="tx1"/>
            </w14:solidFill>
          </w14:textFill>
        </w:rPr>
        <w:t>5</w:t>
      </w:r>
      <w:r>
        <w:rPr>
          <w:rFonts w:ascii="仿宋_GB2312" w:hAnsi="仿宋_GB2312" w:eastAsia="仿宋_GB2312" w:cs="仿宋_GB2312"/>
          <w:color w:val="000000"/>
          <w:kern w:val="0"/>
          <w:sz w:val="31"/>
          <w:szCs w:val="31"/>
        </w:rPr>
        <w:t>分</w:t>
      </w:r>
      <w:r>
        <w:rPr>
          <w:rFonts w:hint="eastAsia" w:ascii="仿宋_GB2312" w:hAnsi="仿宋_GB2312" w:eastAsia="仿宋_GB2312" w:cs="仿宋_GB2312"/>
          <w:color w:val="000000"/>
          <w:kern w:val="0"/>
          <w:sz w:val="31"/>
          <w:szCs w:val="31"/>
          <w:lang w:eastAsia="zh-CN"/>
        </w:rPr>
        <w:t>，</w:t>
      </w:r>
      <w:r>
        <w:rPr>
          <w:rFonts w:ascii="仿宋_GB2312" w:hAnsi="仿宋_GB2312" w:eastAsia="仿宋_GB2312" w:cs="仿宋_GB2312"/>
          <w:color w:val="000000"/>
          <w:kern w:val="0"/>
          <w:sz w:val="31"/>
          <w:szCs w:val="31"/>
        </w:rPr>
        <w:t>全年预算数</w:t>
      </w:r>
      <w:r>
        <w:rPr>
          <w:rFonts w:hint="eastAsia" w:ascii="仿宋_GB2312" w:hAnsi="仿宋_GB2312" w:eastAsia="仿宋_GB2312" w:cs="仿宋_GB2312"/>
          <w:color w:val="000000"/>
          <w:kern w:val="0"/>
          <w:sz w:val="31"/>
          <w:szCs w:val="31"/>
          <w:lang w:val="en-US" w:eastAsia="zh-CN"/>
        </w:rPr>
        <w:t>107.53</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127.13</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themeColor="text1"/>
          <w:kern w:val="0"/>
          <w:sz w:val="31"/>
          <w:szCs w:val="31"/>
          <w14:textFill>
            <w14:solidFill>
              <w14:schemeClr w14:val="tx1"/>
            </w14:solidFill>
          </w14:textFill>
        </w:rPr>
      </w:pPr>
      <w:r>
        <w:rPr>
          <w:rFonts w:ascii="仿宋_GB2312" w:hAnsi="仿宋_GB2312" w:eastAsia="仿宋_GB2312" w:cs="仿宋_GB2312"/>
          <w:color w:val="000000" w:themeColor="text1"/>
          <w:kern w:val="0"/>
          <w:sz w:val="31"/>
          <w:szCs w:val="31"/>
          <w14:textFill>
            <w14:solidFill>
              <w14:schemeClr w14:val="tx1"/>
            </w14:solidFill>
          </w14:textFill>
        </w:rPr>
        <w:t>主要产出和效果</w:t>
      </w:r>
    </w:p>
    <w:p>
      <w:pPr>
        <w:ind w:firstLine="640" w:firstLineChars="200"/>
        <w:rPr>
          <w:rFonts w:ascii="黑体" w:hAnsi="黑体" w:eastAsia="黑体"/>
          <w:b/>
          <w:szCs w:val="32"/>
        </w:rPr>
      </w:pPr>
      <w:r>
        <w:rPr>
          <w:rFonts w:hint="eastAsia" w:ascii="仿宋_GB2312" w:eastAsia="仿宋_GB2312"/>
          <w:color w:val="000000" w:themeColor="text1"/>
          <w:szCs w:val="32"/>
          <w14:textFill>
            <w14:solidFill>
              <w14:schemeClr w14:val="tx1"/>
            </w14:solidFill>
          </w14:textFill>
        </w:rPr>
        <w:t>20</w:t>
      </w:r>
      <w:r>
        <w:rPr>
          <w:rFonts w:hint="eastAsia" w:ascii="仿宋_GB2312" w:eastAsia="仿宋_GB2312"/>
          <w:color w:val="000000" w:themeColor="text1"/>
          <w:szCs w:val="32"/>
          <w:lang w:val="en-US" w:eastAsia="zh-CN"/>
          <w14:textFill>
            <w14:solidFill>
              <w14:schemeClr w14:val="tx1"/>
            </w14:solidFill>
          </w14:textFill>
        </w:rPr>
        <w:t>20</w:t>
      </w:r>
      <w:r>
        <w:rPr>
          <w:rFonts w:hint="eastAsia" w:ascii="仿宋_GB2312" w:eastAsia="仿宋_GB2312"/>
          <w:color w:val="000000" w:themeColor="text1"/>
          <w:szCs w:val="32"/>
          <w14:textFill>
            <w14:solidFill>
              <w14:schemeClr w14:val="tx1"/>
            </w14:solidFill>
          </w14:textFill>
        </w:rPr>
        <w:t>年体育馆展开羽毛球活动1000余场次，乒乓球比赛活动400余场次，篮球比赛活动500余场次，开展全区国民体质监测工作，监测人数达到3000人以上，开展少儿围棋赛、少儿武术比赛、航模邀请赛、全国毽球比赛等12项大型群众体育活动。调动了全区广大群众参与全民健身活动热情，有力地促进了阎良区体育事业的蓬勃发展，取得了很好的社会效益。</w:t>
      </w:r>
    </w:p>
    <w:p>
      <w:pPr>
        <w:ind w:firstLine="620" w:firstLineChars="200"/>
        <w:rPr>
          <w:rFonts w:ascii="仿宋_GB2312" w:eastAsia="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kern w:val="0"/>
          <w:sz w:val="31"/>
          <w:szCs w:val="31"/>
          <w14:textFill>
            <w14:solidFill>
              <w14:schemeClr w14:val="tx1"/>
            </w14:solidFill>
          </w14:textFill>
        </w:rPr>
        <w:t>主要工作绩效是</w:t>
      </w:r>
      <w:r>
        <w:rPr>
          <w:rFonts w:ascii="仿宋_GB2312" w:hAnsi="仿宋_GB2312" w:eastAsia="仿宋_GB2312" w:cs="仿宋_GB2312"/>
          <w:color w:val="000000" w:themeColor="text1"/>
          <w:kern w:val="0"/>
          <w:sz w:val="31"/>
          <w:szCs w:val="31"/>
          <w14:textFill>
            <w14:solidFill>
              <w14:schemeClr w14:val="tx1"/>
            </w14:solidFill>
          </w14:textFill>
        </w:rPr>
        <w:t>：</w:t>
      </w:r>
      <w:r>
        <w:rPr>
          <w:rFonts w:hint="eastAsia" w:ascii="仿宋_GB2312" w:eastAsia="仿宋_GB2312"/>
          <w:color w:val="000000" w:themeColor="text1"/>
          <w:szCs w:val="32"/>
          <w14:textFill>
            <w14:solidFill>
              <w14:schemeClr w14:val="tx1"/>
            </w14:solidFill>
          </w14:textFill>
        </w:rPr>
        <w:t>调动了全区广大群众参与全民健身活动热情，有力地促进了阎良区体育事业的蓬勃发展，取得了很好的社会效益。</w:t>
      </w:r>
    </w:p>
    <w:p>
      <w:pPr>
        <w:widowControl/>
        <w:spacing w:line="560" w:lineRule="exact"/>
        <w:ind w:firstLine="620" w:firstLineChars="200"/>
        <w:jc w:val="left"/>
        <w:rPr>
          <w:rFonts w:ascii="仿宋_GB2312" w:hAnsi="仿宋_GB2312" w:eastAsia="仿宋_GB2312" w:cs="仿宋_GB2312"/>
          <w:kern w:val="0"/>
          <w:sz w:val="31"/>
          <w:szCs w:val="31"/>
        </w:rPr>
      </w:pPr>
      <w:r>
        <w:rPr>
          <w:rFonts w:ascii="仿宋_GB2312" w:hAnsi="仿宋_GB2312" w:eastAsia="仿宋_GB2312" w:cs="仿宋_GB2312"/>
          <w:color w:val="000000" w:themeColor="text1"/>
          <w:kern w:val="0"/>
          <w:sz w:val="31"/>
          <w:szCs w:val="31"/>
          <w14:textFill>
            <w14:solidFill>
              <w14:schemeClr w14:val="tx1"/>
            </w14:solidFill>
          </w14:textFill>
        </w:rPr>
        <w:t>发现的问题及原因：</w:t>
      </w:r>
      <w:r>
        <w:rPr>
          <w:rFonts w:hint="eastAsia" w:ascii="仿宋_GB2312" w:hAnsi="仿宋_GB2312" w:eastAsia="仿宋_GB2312" w:cs="仿宋_GB2312"/>
          <w:color w:val="000000" w:themeColor="text1"/>
          <w:kern w:val="0"/>
          <w:sz w:val="31"/>
          <w:szCs w:val="31"/>
          <w14:textFill>
            <w14:solidFill>
              <w14:schemeClr w14:val="tx1"/>
            </w14:solidFill>
          </w14:textFill>
        </w:rPr>
        <w:t>一是</w:t>
      </w:r>
      <w:r>
        <w:rPr>
          <w:rFonts w:ascii="仿宋_GB2312" w:hAnsi="仿宋_GB2312" w:eastAsia="仿宋_GB2312" w:cs="仿宋_GB2312"/>
          <w:kern w:val="0"/>
          <w:sz w:val="31"/>
          <w:szCs w:val="31"/>
        </w:rPr>
        <w:t>发现的</w:t>
      </w:r>
      <w:r>
        <w:rPr>
          <w:rFonts w:hint="eastAsia" w:ascii="仿宋_GB2312" w:hAnsi="仿宋_GB2312" w:eastAsia="仿宋_GB2312" w:cs="仿宋_GB2312"/>
          <w:kern w:val="0"/>
          <w:sz w:val="31"/>
          <w:szCs w:val="31"/>
        </w:rPr>
        <w:t>存在经费不足，阻碍了我区体育事业健康发展；二是</w:t>
      </w:r>
      <w:r>
        <w:rPr>
          <w:rFonts w:ascii="仿宋_GB2312" w:hAnsi="仿宋_GB2312" w:eastAsia="仿宋_GB2312" w:cs="仿宋_GB2312"/>
          <w:kern w:val="0"/>
          <w:sz w:val="31"/>
          <w:szCs w:val="31"/>
        </w:rPr>
        <w:t>发现</w:t>
      </w:r>
      <w:r>
        <w:rPr>
          <w:rFonts w:hint="eastAsia" w:ascii="仿宋_GB2312" w:hAnsi="仿宋_GB2312" w:eastAsia="仿宋_GB2312" w:cs="仿宋_GB2312"/>
          <w:kern w:val="0"/>
          <w:sz w:val="31"/>
          <w:szCs w:val="31"/>
        </w:rPr>
        <w:t>返还</w:t>
      </w:r>
      <w:r>
        <w:rPr>
          <w:rFonts w:ascii="仿宋_GB2312" w:hAnsi="仿宋_GB2312" w:eastAsia="仿宋_GB2312" w:cs="仿宋_GB2312"/>
          <w:kern w:val="0"/>
          <w:sz w:val="31"/>
          <w:szCs w:val="31"/>
        </w:rPr>
        <w:t>的</w:t>
      </w:r>
      <w:r>
        <w:rPr>
          <w:rFonts w:hint="eastAsia" w:ascii="仿宋_GB2312" w:hAnsi="仿宋_GB2312" w:eastAsia="仿宋_GB2312" w:cs="仿宋_GB2312"/>
          <w:kern w:val="0"/>
          <w:sz w:val="31"/>
          <w:szCs w:val="31"/>
        </w:rPr>
        <w:t>非税经费不能满足场馆维修、维护等费用支出。</w:t>
      </w:r>
    </w:p>
    <w:p>
      <w:pPr>
        <w:widowControl/>
        <w:spacing w:line="560" w:lineRule="exact"/>
        <w:ind w:firstLine="620" w:firstLineChars="200"/>
        <w:jc w:val="left"/>
        <w:rPr>
          <w:rFonts w:hint="eastAsia" w:ascii="仿宋" w:hAnsi="仿宋" w:eastAsia="仿宋" w:cs="仿宋"/>
          <w:color w:val="000000" w:themeColor="text1"/>
          <w:szCs w:val="32"/>
          <w:lang w:eastAsia="zh-CN"/>
          <w14:textFill>
            <w14:solidFill>
              <w14:schemeClr w14:val="tx1"/>
            </w14:solidFill>
          </w14:textFill>
        </w:rPr>
      </w:pPr>
      <w:r>
        <w:rPr>
          <w:rFonts w:ascii="仿宋_GB2312" w:hAnsi="仿宋_GB2312" w:eastAsia="仿宋_GB2312" w:cs="仿宋_GB2312"/>
          <w:color w:val="000000" w:themeColor="text1"/>
          <w:kern w:val="0"/>
          <w:sz w:val="31"/>
          <w:szCs w:val="31"/>
          <w14:textFill>
            <w14:solidFill>
              <w14:schemeClr w14:val="tx1"/>
            </w14:solidFill>
          </w14:textFill>
        </w:rPr>
        <w:t>下一步改进措施：</w:t>
      </w:r>
      <w:r>
        <w:rPr>
          <w:rFonts w:hint="eastAsia" w:ascii="仿宋_GB2312" w:hAnsi="仿宋_GB2312" w:eastAsia="仿宋_GB2312" w:cs="仿宋_GB2312"/>
          <w:color w:val="000000" w:themeColor="text1"/>
          <w:kern w:val="0"/>
          <w:sz w:val="31"/>
          <w:szCs w:val="31"/>
          <w14:textFill>
            <w14:solidFill>
              <w14:schemeClr w14:val="tx1"/>
            </w14:solidFill>
          </w14:textFill>
        </w:rPr>
        <w:t>加大经费支持力度和非税经费返还力度</w:t>
      </w:r>
      <w:r>
        <w:rPr>
          <w:rFonts w:hint="eastAsia" w:ascii="仿宋_GB2312" w:hAnsi="仿宋_GB2312" w:eastAsia="仿宋_GB2312" w:cs="仿宋_GB2312"/>
          <w:color w:val="000000" w:themeColor="text1"/>
          <w:kern w:val="0"/>
          <w:sz w:val="31"/>
          <w:szCs w:val="31"/>
          <w:lang w:eastAsia="zh-CN"/>
          <w14:textFill>
            <w14:solidFill>
              <w14:schemeClr w14:val="tx1"/>
            </w14:solidFill>
          </w14:textFill>
        </w:rPr>
        <w:t>；</w:t>
      </w:r>
      <w:r>
        <w:rPr>
          <w:rFonts w:hint="eastAsia" w:ascii="仿宋" w:hAnsi="仿宋" w:eastAsia="仿宋" w:cs="仿宋"/>
          <w:color w:val="000000" w:themeColor="text1"/>
          <w:szCs w:val="32"/>
          <w14:textFill>
            <w14:solidFill>
              <w14:schemeClr w14:val="tx1"/>
            </w14:solidFill>
          </w14:textFill>
        </w:rPr>
        <w:t>要加强和提高单位人员预算管理意识；严格按照预算编制的相关制度和要求进行预算编制</w:t>
      </w:r>
      <w:r>
        <w:rPr>
          <w:rFonts w:hint="eastAsia" w:ascii="仿宋" w:hAnsi="仿宋" w:eastAsia="仿宋" w:cs="仿宋"/>
          <w:color w:val="000000" w:themeColor="text1"/>
          <w:szCs w:val="32"/>
          <w:lang w:eastAsia="zh-CN"/>
          <w14:textFill>
            <w14:solidFill>
              <w14:schemeClr w14:val="tx1"/>
            </w14:solidFill>
          </w14:textFill>
        </w:rPr>
        <w:t>；</w:t>
      </w:r>
      <w:r>
        <w:rPr>
          <w:rFonts w:hint="eastAsia" w:ascii="仿宋" w:hAnsi="仿宋" w:eastAsia="仿宋" w:cs="仿宋"/>
          <w:color w:val="000000" w:themeColor="text1"/>
          <w:szCs w:val="32"/>
          <w14:textFill>
            <w14:solidFill>
              <w14:schemeClr w14:val="tx1"/>
            </w14:solidFill>
          </w14:textFill>
        </w:rPr>
        <w:t>尽量压缩变动性的、有控制空间的费用</w:t>
      </w:r>
      <w:r>
        <w:rPr>
          <w:rFonts w:hint="eastAsia" w:ascii="仿宋" w:hAnsi="仿宋" w:eastAsia="仿宋" w:cs="仿宋"/>
          <w:color w:val="000000" w:themeColor="text1"/>
          <w:szCs w:val="32"/>
          <w:lang w:eastAsia="zh-CN"/>
          <w14:textFill>
            <w14:solidFill>
              <w14:schemeClr w14:val="tx1"/>
            </w14:solidFill>
          </w14:textFill>
        </w:rPr>
        <w:t>；</w:t>
      </w:r>
      <w:r>
        <w:rPr>
          <w:rFonts w:hint="eastAsia" w:ascii="仿宋" w:hAnsi="仿宋" w:eastAsia="仿宋" w:cs="仿宋"/>
          <w:color w:val="000000" w:themeColor="text1"/>
          <w:szCs w:val="32"/>
          <w14:textFill>
            <w14:solidFill>
              <w14:schemeClr w14:val="tx1"/>
            </w14:solidFill>
          </w14:textFill>
        </w:rPr>
        <w:t>财务工作应多学习新的财务知识和各种规章制度，在精度和深度进一步完善，尤其是在固定资产管理方面还需要进一步严格</w:t>
      </w:r>
      <w:r>
        <w:rPr>
          <w:rFonts w:hint="eastAsia" w:ascii="仿宋" w:hAnsi="仿宋" w:eastAsia="仿宋" w:cs="仿宋"/>
          <w:color w:val="000000" w:themeColor="text1"/>
          <w:szCs w:val="32"/>
          <w:lang w:eastAsia="zh-CN"/>
          <w14:textFill>
            <w14:solidFill>
              <w14:schemeClr w14:val="tx1"/>
            </w14:solidFill>
          </w14:textFill>
        </w:rPr>
        <w:t>；</w:t>
      </w:r>
      <w:r>
        <w:rPr>
          <w:rFonts w:hint="eastAsia" w:ascii="仿宋" w:hAnsi="仿宋" w:eastAsia="仿宋" w:cs="仿宋"/>
          <w:color w:val="000000" w:themeColor="text1"/>
          <w:szCs w:val="32"/>
          <w14:textFill>
            <w14:solidFill>
              <w14:schemeClr w14:val="tx1"/>
            </w14:solidFill>
          </w14:textFill>
        </w:rPr>
        <w:t>单位要加强财务人员知识的更新意识，完善资产的严格管理，严格编制政府采购年初预算和计划，规范各类资产的采购制度、使用制度、资产处置这报废审批制度、资产管理岗位职责制度等，严格单位内部的资产管理工作。</w:t>
      </w:r>
      <w:bookmarkStart w:id="4" w:name="_GoBack"/>
      <w:bookmarkEnd w:id="4"/>
    </w:p>
    <w:p>
      <w:pPr>
        <w:pStyle w:val="2"/>
        <w:rPr>
          <w:rFonts w:hint="eastAsia" w:ascii="仿宋" w:hAnsi="仿宋" w:eastAsia="仿宋" w:cs="仿宋"/>
          <w:color w:val="000000" w:themeColor="text1"/>
          <w:szCs w:val="32"/>
          <w:lang w:eastAsia="zh-CN"/>
          <w14:textFill>
            <w14:solidFill>
              <w14:schemeClr w14:val="tx1"/>
            </w14:solidFill>
          </w14:textFill>
        </w:rPr>
      </w:pPr>
    </w:p>
    <w:p>
      <w:pPr>
        <w:pStyle w:val="2"/>
        <w:rPr>
          <w:rFonts w:hint="eastAsia" w:ascii="仿宋" w:hAnsi="仿宋" w:eastAsia="仿宋" w:cs="仿宋"/>
          <w:color w:val="000000" w:themeColor="text1"/>
          <w:szCs w:val="32"/>
          <w:lang w:eastAsia="zh-CN"/>
          <w14:textFill>
            <w14:solidFill>
              <w14:schemeClr w14:val="tx1"/>
            </w14:solidFill>
          </w14:textFill>
        </w:rPr>
      </w:pPr>
    </w:p>
    <w:tbl>
      <w:tblPr>
        <w:tblStyle w:val="7"/>
        <w:tblW w:w="8677" w:type="dxa"/>
        <w:tblInd w:w="0" w:type="dxa"/>
        <w:tblLayout w:type="autofit"/>
        <w:tblCellMar>
          <w:top w:w="0" w:type="dxa"/>
          <w:left w:w="0" w:type="dxa"/>
          <w:bottom w:w="0" w:type="dxa"/>
          <w:right w:w="0" w:type="dxa"/>
        </w:tblCellMar>
      </w:tblPr>
      <w:tblGrid>
        <w:gridCol w:w="555"/>
        <w:gridCol w:w="555"/>
        <w:gridCol w:w="1035"/>
        <w:gridCol w:w="1980"/>
        <w:gridCol w:w="1185"/>
        <w:gridCol w:w="1320"/>
        <w:gridCol w:w="922"/>
        <w:gridCol w:w="1125"/>
      </w:tblGrid>
      <w:tr>
        <w:tblPrEx>
          <w:tblCellMar>
            <w:top w:w="0" w:type="dxa"/>
            <w:left w:w="0" w:type="dxa"/>
            <w:bottom w:w="0" w:type="dxa"/>
            <w:right w:w="0" w:type="dxa"/>
          </w:tblCellMar>
        </w:tblPrEx>
        <w:trPr>
          <w:trHeight w:val="444" w:hRule="atLeast"/>
        </w:trPr>
        <w:tc>
          <w:tcPr>
            <w:tcW w:w="8677" w:type="dxa"/>
            <w:gridSpan w:val="8"/>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Cs w:val="32"/>
              </w:rPr>
            </w:pPr>
            <w:r>
              <w:rPr>
                <w:rFonts w:hint="eastAsia" w:ascii="宋体" w:hAnsi="宋体" w:eastAsia="宋体" w:cs="宋体"/>
                <w:b/>
                <w:color w:val="000000"/>
                <w:kern w:val="0"/>
                <w:szCs w:val="32"/>
              </w:rPr>
              <w:t>区级预算（项目）绩效目标自评表</w:t>
            </w:r>
            <w:r>
              <w:rPr>
                <w:rFonts w:hint="eastAsia" w:ascii="宋体" w:hAnsi="宋体" w:eastAsia="宋体" w:cs="宋体"/>
                <w:color w:val="000000"/>
                <w:kern w:val="0"/>
                <w:szCs w:val="32"/>
              </w:rPr>
              <w:t xml:space="preserve"> </w:t>
            </w:r>
          </w:p>
        </w:tc>
      </w:tr>
      <w:tr>
        <w:tblPrEx>
          <w:tblCellMar>
            <w:top w:w="0" w:type="dxa"/>
            <w:left w:w="0" w:type="dxa"/>
            <w:bottom w:w="0" w:type="dxa"/>
            <w:right w:w="0" w:type="dxa"/>
          </w:tblCellMar>
        </w:tblPrEx>
        <w:trPr>
          <w:trHeight w:val="242" w:hRule="atLeast"/>
        </w:trPr>
        <w:tc>
          <w:tcPr>
            <w:tcW w:w="8677" w:type="dxa"/>
            <w:gridSpan w:val="8"/>
            <w:tcBorders>
              <w:top w:val="nil"/>
              <w:left w:val="nil"/>
              <w:bottom w:val="single" w:color="000000" w:sz="4" w:space="0"/>
              <w:right w:val="nil"/>
            </w:tcBorders>
            <w:shd w:val="clear" w:color="auto" w:fill="auto"/>
            <w:tcMar>
              <w:top w:w="15" w:type="dxa"/>
              <w:left w:w="15" w:type="dxa"/>
              <w:right w:w="15" w:type="dxa"/>
            </w:tcMar>
          </w:tcPr>
          <w:p>
            <w:pPr>
              <w:widowControl/>
              <w:jc w:val="center"/>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年度）</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专项（项目）名称</w:t>
            </w:r>
          </w:p>
        </w:tc>
        <w:tc>
          <w:tcPr>
            <w:tcW w:w="653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（部门预算项目或市级专项名称）</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西安市阎良区文化和旅游体育局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实施单位</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西安市阎良区体育场</w:t>
            </w:r>
          </w:p>
        </w:tc>
      </w:tr>
      <w:tr>
        <w:tblPrEx>
          <w:tblCellMar>
            <w:top w:w="0" w:type="dxa"/>
            <w:left w:w="0" w:type="dxa"/>
            <w:bottom w:w="0" w:type="dxa"/>
            <w:right w:w="0" w:type="dxa"/>
          </w:tblCellMar>
        </w:tblPrEx>
        <w:trPr>
          <w:trHeight w:val="260" w:hRule="atLeast"/>
        </w:trPr>
        <w:tc>
          <w:tcPr>
            <w:tcW w:w="21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项目资金（万元）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全年预算数（A）</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全年执行数（B）</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执行率（B/A)</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年度资金总额：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Style w:val="18"/>
                <w:rFonts w:hint="default"/>
              </w:rPr>
              <w:t xml:space="preserve"> </w:t>
            </w:r>
            <w:r>
              <w:rPr>
                <w:rStyle w:val="19"/>
                <w:rFonts w:hint="default"/>
              </w:rPr>
              <w:t>其中：市级财政资金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rPr>
            </w:pP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Style w:val="18"/>
                <w:rFonts w:hint="default"/>
              </w:rPr>
              <w:t xml:space="preserve"> </w:t>
            </w:r>
            <w:r>
              <w:rPr>
                <w:rStyle w:val="19"/>
                <w:rFonts w:hint="default"/>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r>
              <w:rPr>
                <w:rStyle w:val="20"/>
                <w:rFonts w:hint="default"/>
              </w:rPr>
              <w:t xml:space="preserve">  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rPr>
            </w:pPr>
          </w:p>
        </w:tc>
      </w:tr>
      <w:tr>
        <w:tblPrEx>
          <w:tblCellMar>
            <w:top w:w="0" w:type="dxa"/>
            <w:left w:w="0" w:type="dxa"/>
            <w:bottom w:w="0" w:type="dxa"/>
            <w:right w:w="0"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年度总体目标</w:t>
            </w: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年初设定目标</w:t>
            </w:r>
          </w:p>
        </w:tc>
        <w:tc>
          <w:tcPr>
            <w:tcW w:w="3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全年实际完成情况</w:t>
            </w:r>
          </w:p>
        </w:tc>
      </w:tr>
      <w:tr>
        <w:tblPrEx>
          <w:tblCellMar>
            <w:top w:w="0" w:type="dxa"/>
            <w:left w:w="0" w:type="dxa"/>
            <w:bottom w:w="0" w:type="dxa"/>
            <w:right w:w="0" w:type="dxa"/>
          </w:tblCellMar>
        </w:tblPrEx>
        <w:trPr>
          <w:trHeight w:val="36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p>
        </w:tc>
        <w:tc>
          <w:tcPr>
            <w:tcW w:w="3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p>
        </w:tc>
      </w:tr>
      <w:tr>
        <w:tblPrEx>
          <w:tblCellMar>
            <w:top w:w="0" w:type="dxa"/>
            <w:left w:w="0" w:type="dxa"/>
            <w:bottom w:w="0" w:type="dxa"/>
            <w:right w:w="0" w:type="dxa"/>
          </w:tblCellMar>
        </w:tblPrEx>
        <w:trPr>
          <w:trHeight w:val="452"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年度指标值</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全年完成值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未完成原因和改进措施</w:t>
            </w: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出</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益</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4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满意度指标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服务对象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31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说明</w:t>
            </w:r>
          </w:p>
        </w:tc>
        <w:tc>
          <w:tcPr>
            <w:tcW w:w="812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请在此处简要说明各级审计和财政监督检查中发现的问题及其所涉及的金额，如没有请填无。</w:t>
            </w:r>
          </w:p>
        </w:tc>
      </w:tr>
      <w:tr>
        <w:tblPrEx>
          <w:tblCellMar>
            <w:top w:w="0" w:type="dxa"/>
            <w:left w:w="0" w:type="dxa"/>
            <w:bottom w:w="0" w:type="dxa"/>
            <w:right w:w="0" w:type="dxa"/>
          </w:tblCellMar>
        </w:tblPrEx>
        <w:trPr>
          <w:trHeight w:val="570" w:hRule="atLeast"/>
        </w:trPr>
        <w:tc>
          <w:tcPr>
            <w:tcW w:w="8677" w:type="dxa"/>
            <w:gridSpan w:val="8"/>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注：1.其他资金包括和财政资金共同投入到同一项目的自有资金、社会资金，以及以前年度的结转结余资金等。</w:t>
            </w:r>
          </w:p>
        </w:tc>
      </w:tr>
      <w:tr>
        <w:tblPrEx>
          <w:tblCellMar>
            <w:top w:w="0" w:type="dxa"/>
            <w:left w:w="0" w:type="dxa"/>
            <w:bottom w:w="0" w:type="dxa"/>
            <w:right w:w="0" w:type="dxa"/>
          </w:tblCellMar>
        </w:tblPrEx>
        <w:trPr>
          <w:trHeight w:val="540" w:hRule="atLeast"/>
        </w:trPr>
        <w:tc>
          <w:tcPr>
            <w:tcW w:w="8677" w:type="dxa"/>
            <w:gridSpan w:val="8"/>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 xml:space="preserve">    2.定量指标，资金使用单位填写本地区实际完成数。财政和主管部门汇总时，对绝对值直接累加计算，相对值按照资金额度加权平均计算。</w:t>
            </w:r>
          </w:p>
        </w:tc>
      </w:tr>
      <w:tr>
        <w:tblPrEx>
          <w:tblCellMar>
            <w:top w:w="0" w:type="dxa"/>
            <w:left w:w="0" w:type="dxa"/>
            <w:bottom w:w="0" w:type="dxa"/>
            <w:right w:w="0" w:type="dxa"/>
          </w:tblCellMar>
        </w:tblPrEx>
        <w:trPr>
          <w:trHeight w:val="510" w:hRule="atLeast"/>
        </w:trPr>
        <w:tc>
          <w:tcPr>
            <w:tcW w:w="8677" w:type="dxa"/>
            <w:gridSpan w:val="8"/>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 xml:space="preserve">    3.定性指标根据指标完成情况分为：全部或基本达成预期指标、部分达成预期指标并具有一定效果、未达成预期指标且效果较差三档，分别按照100%-80%（含）、80%-60%（含）、60-0%合理填写完成比例。</w:t>
            </w:r>
          </w:p>
        </w:tc>
      </w:tr>
    </w:tbl>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tbl>
      <w:tblPr>
        <w:tblStyle w:val="7"/>
        <w:tblW w:w="8872" w:type="dxa"/>
        <w:tblInd w:w="0" w:type="dxa"/>
        <w:tblLayout w:type="autofit"/>
        <w:tblCellMar>
          <w:top w:w="0" w:type="dxa"/>
          <w:left w:w="0" w:type="dxa"/>
          <w:bottom w:w="0" w:type="dxa"/>
          <w:right w:w="0" w:type="dxa"/>
        </w:tblCellMar>
      </w:tblPr>
      <w:tblGrid>
        <w:gridCol w:w="555"/>
        <w:gridCol w:w="555"/>
        <w:gridCol w:w="1035"/>
        <w:gridCol w:w="1980"/>
        <w:gridCol w:w="1185"/>
        <w:gridCol w:w="1320"/>
        <w:gridCol w:w="1012"/>
        <w:gridCol w:w="1230"/>
      </w:tblGrid>
      <w:tr>
        <w:tblPrEx>
          <w:tblCellMar>
            <w:top w:w="0" w:type="dxa"/>
            <w:left w:w="0" w:type="dxa"/>
            <w:bottom w:w="0" w:type="dxa"/>
            <w:right w:w="0" w:type="dxa"/>
          </w:tblCellMar>
        </w:tblPrEx>
        <w:trPr>
          <w:trHeight w:val="600" w:hRule="atLeast"/>
        </w:trPr>
        <w:tc>
          <w:tcPr>
            <w:tcW w:w="8872" w:type="dxa"/>
            <w:gridSpan w:val="8"/>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Cs w:val="32"/>
              </w:rPr>
            </w:pPr>
            <w:r>
              <w:rPr>
                <w:rFonts w:hint="eastAsia" w:ascii="宋体" w:hAnsi="宋体" w:eastAsia="宋体" w:cs="宋体"/>
                <w:b/>
                <w:color w:val="000000"/>
                <w:kern w:val="0"/>
                <w:szCs w:val="32"/>
              </w:rPr>
              <w:t>区级预算（项目）绩效目标自评表</w:t>
            </w:r>
            <w:r>
              <w:rPr>
                <w:rFonts w:hint="eastAsia" w:ascii="宋体" w:hAnsi="宋体" w:eastAsia="宋体" w:cs="宋体"/>
                <w:color w:val="000000"/>
                <w:kern w:val="0"/>
                <w:szCs w:val="32"/>
              </w:rPr>
              <w:t xml:space="preserve"> </w:t>
            </w:r>
          </w:p>
        </w:tc>
      </w:tr>
      <w:tr>
        <w:tblPrEx>
          <w:tblCellMar>
            <w:top w:w="0" w:type="dxa"/>
            <w:left w:w="0" w:type="dxa"/>
            <w:bottom w:w="0" w:type="dxa"/>
            <w:right w:w="0" w:type="dxa"/>
          </w:tblCellMar>
        </w:tblPrEx>
        <w:trPr>
          <w:trHeight w:val="432" w:hRule="atLeast"/>
        </w:trPr>
        <w:tc>
          <w:tcPr>
            <w:tcW w:w="8872" w:type="dxa"/>
            <w:gridSpan w:val="8"/>
            <w:tcBorders>
              <w:top w:val="nil"/>
              <w:left w:val="nil"/>
              <w:bottom w:val="single" w:color="000000" w:sz="4" w:space="0"/>
              <w:right w:val="nil"/>
            </w:tcBorders>
            <w:shd w:val="clear" w:color="auto" w:fill="auto"/>
            <w:tcMar>
              <w:top w:w="15" w:type="dxa"/>
              <w:left w:w="15" w:type="dxa"/>
              <w:right w:w="15" w:type="dxa"/>
            </w:tcMar>
          </w:tcPr>
          <w:p>
            <w:pPr>
              <w:widowControl/>
              <w:jc w:val="center"/>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（20</w:t>
            </w:r>
            <w:r>
              <w:rPr>
                <w:rFonts w:hint="eastAsia" w:ascii="宋体" w:hAnsi="宋体" w:eastAsia="宋体" w:cs="宋体"/>
                <w:color w:val="000000"/>
                <w:kern w:val="0"/>
                <w:sz w:val="22"/>
                <w:szCs w:val="22"/>
                <w:lang w:val="en-US" w:eastAsia="zh-CN"/>
              </w:rPr>
              <w:t>20</w:t>
            </w:r>
            <w:r>
              <w:rPr>
                <w:rFonts w:hint="eastAsia" w:ascii="宋体" w:hAnsi="宋体" w:eastAsia="宋体" w:cs="宋体"/>
                <w:color w:val="000000"/>
                <w:kern w:val="0"/>
                <w:sz w:val="22"/>
                <w:szCs w:val="22"/>
              </w:rPr>
              <w:t>年度）</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专项（项目）名称</w:t>
            </w:r>
          </w:p>
        </w:tc>
        <w:tc>
          <w:tcPr>
            <w:tcW w:w="67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（部门预算项目或市级专项名称）</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西安市阎良区文化和旅游体育局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实施单位</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西安市阎良区体育场</w:t>
            </w:r>
          </w:p>
        </w:tc>
      </w:tr>
      <w:tr>
        <w:tblPrEx>
          <w:tblCellMar>
            <w:top w:w="0" w:type="dxa"/>
            <w:left w:w="0" w:type="dxa"/>
            <w:bottom w:w="0" w:type="dxa"/>
            <w:right w:w="0" w:type="dxa"/>
          </w:tblCellMar>
        </w:tblPrEx>
        <w:trPr>
          <w:trHeight w:val="660" w:hRule="atLeast"/>
        </w:trPr>
        <w:tc>
          <w:tcPr>
            <w:tcW w:w="21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项目资金（万元）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全年预算数（A）</w:t>
            </w:r>
          </w:p>
        </w:tc>
        <w:tc>
          <w:tcPr>
            <w:tcW w:w="23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全年执行数（B）</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执行率（B/A)</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年度资金总额：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p>
        </w:tc>
        <w:tc>
          <w:tcPr>
            <w:tcW w:w="23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其中：市级财政资金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23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rPr>
            </w:pP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p>
        </w:tc>
        <w:tc>
          <w:tcPr>
            <w:tcW w:w="23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r>
              <w:rPr>
                <w:rFonts w:hint="eastAsia" w:ascii="宋体" w:hAnsi="宋体" w:eastAsia="宋体" w:cs="宋体"/>
                <w:color w:val="000000"/>
                <w:kern w:val="0"/>
                <w:sz w:val="20"/>
              </w:rPr>
              <w:t xml:space="preserve">  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23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rPr>
            </w:pPr>
          </w:p>
        </w:tc>
      </w:tr>
      <w:tr>
        <w:tblPrEx>
          <w:tblCellMar>
            <w:top w:w="0" w:type="dxa"/>
            <w:left w:w="0" w:type="dxa"/>
            <w:bottom w:w="0" w:type="dxa"/>
            <w:right w:w="0"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年度总体目标</w:t>
            </w: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年初设定目标</w:t>
            </w:r>
          </w:p>
        </w:tc>
        <w:tc>
          <w:tcPr>
            <w:tcW w:w="35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全年实际完成情况</w:t>
            </w:r>
          </w:p>
        </w:tc>
      </w:tr>
      <w:tr>
        <w:tblPrEx>
          <w:tblCellMar>
            <w:top w:w="0" w:type="dxa"/>
            <w:left w:w="0" w:type="dxa"/>
            <w:bottom w:w="0" w:type="dxa"/>
            <w:right w:w="0" w:type="dxa"/>
          </w:tblCellMar>
        </w:tblPrEx>
        <w:trPr>
          <w:trHeight w:val="5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35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r>
      <w:tr>
        <w:tblPrEx>
          <w:tblCellMar>
            <w:top w:w="0" w:type="dxa"/>
            <w:left w:w="0" w:type="dxa"/>
            <w:bottom w:w="0" w:type="dxa"/>
            <w:right w:w="0" w:type="dxa"/>
          </w:tblCellMar>
        </w:tblPrEx>
        <w:trPr>
          <w:trHeight w:val="522"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年度指标值</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全年完成值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未完成原因和改进措施</w:t>
            </w: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出</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益</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满意度指标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服务对象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31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说明</w:t>
            </w:r>
          </w:p>
        </w:tc>
        <w:tc>
          <w:tcPr>
            <w:tcW w:w="831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请在此处简要说明各级审计和财政监督检查中发现的问题及其所涉及的金额，如没有请填无。</w:t>
            </w:r>
          </w:p>
        </w:tc>
      </w:tr>
      <w:tr>
        <w:tblPrEx>
          <w:tblCellMar>
            <w:top w:w="0" w:type="dxa"/>
            <w:left w:w="0" w:type="dxa"/>
            <w:bottom w:w="0" w:type="dxa"/>
            <w:right w:w="0" w:type="dxa"/>
          </w:tblCellMar>
        </w:tblPrEx>
        <w:trPr>
          <w:trHeight w:val="570" w:hRule="atLeast"/>
        </w:trPr>
        <w:tc>
          <w:tcPr>
            <w:tcW w:w="8872" w:type="dxa"/>
            <w:gridSpan w:val="8"/>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注：1.其他资金包括和财政资金共同投入到同一项目的自有资金、社会资金，以及以前年度的结转结余资金等。</w:t>
            </w:r>
          </w:p>
        </w:tc>
      </w:tr>
      <w:tr>
        <w:tblPrEx>
          <w:tblCellMar>
            <w:top w:w="0" w:type="dxa"/>
            <w:left w:w="0" w:type="dxa"/>
            <w:bottom w:w="0" w:type="dxa"/>
            <w:right w:w="0" w:type="dxa"/>
          </w:tblCellMar>
        </w:tblPrEx>
        <w:trPr>
          <w:trHeight w:val="540" w:hRule="atLeast"/>
        </w:trPr>
        <w:tc>
          <w:tcPr>
            <w:tcW w:w="8872" w:type="dxa"/>
            <w:gridSpan w:val="8"/>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 xml:space="preserve">    2.定量指标，资金使用单位填写本地区实际完成数。财政和主管部门汇总时，对绝对值直接累加计算，相对值按照资金额度加权平均计算。</w:t>
            </w:r>
          </w:p>
        </w:tc>
      </w:tr>
      <w:tr>
        <w:tblPrEx>
          <w:tblCellMar>
            <w:top w:w="0" w:type="dxa"/>
            <w:left w:w="0" w:type="dxa"/>
            <w:bottom w:w="0" w:type="dxa"/>
            <w:right w:w="0" w:type="dxa"/>
          </w:tblCellMar>
        </w:tblPrEx>
        <w:trPr>
          <w:trHeight w:val="510" w:hRule="atLeast"/>
        </w:trPr>
        <w:tc>
          <w:tcPr>
            <w:tcW w:w="8872" w:type="dxa"/>
            <w:gridSpan w:val="8"/>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 xml:space="preserve">    3.定性指标根据指标完成情况分为：全部或基本达成预期指标、部分达成预期指标并具有一定效果、未达成预期指标且效果较差三档，分别按照100%-80%（含）、80%-60%（含）、60-0%合理填写完成比例。</w:t>
            </w:r>
          </w:p>
        </w:tc>
      </w:tr>
    </w:tbl>
    <w:p>
      <w:pPr>
        <w:pStyle w:val="2"/>
        <w:ind w:left="0" w:leftChars="0" w:firstLine="0" w:firstLineChars="0"/>
        <w:rPr>
          <w:rFonts w:hint="default"/>
          <w:lang w:val="en-US" w:eastAsia="zh-CN"/>
        </w:rPr>
        <w:sectPr>
          <w:headerReference r:id="rId3" w:type="default"/>
          <w:footerReference r:id="rId4" w:type="default"/>
          <w:pgSz w:w="11900" w:h="16838"/>
          <w:pgMar w:top="1440" w:right="1800" w:bottom="1440" w:left="1800" w:header="850" w:footer="992" w:gutter="0"/>
          <w:lnNumType w:countBy="0" w:distance="360"/>
          <w:cols w:equalWidth="0" w:num="1">
            <w:col w:w="9020"/>
          </w:cols>
        </w:sectPr>
      </w:pPr>
    </w:p>
    <w:tbl>
      <w:tblPr>
        <w:tblStyle w:val="7"/>
        <w:tblW w:w="13993" w:type="dxa"/>
        <w:tblInd w:w="0" w:type="dxa"/>
        <w:tblLayout w:type="fixed"/>
        <w:tblCellMar>
          <w:top w:w="0" w:type="dxa"/>
          <w:left w:w="0" w:type="dxa"/>
          <w:bottom w:w="0" w:type="dxa"/>
          <w:right w:w="0" w:type="dxa"/>
        </w:tblCellMar>
      </w:tblPr>
      <w:tblGrid>
        <w:gridCol w:w="525"/>
        <w:gridCol w:w="674"/>
        <w:gridCol w:w="555"/>
        <w:gridCol w:w="359"/>
        <w:gridCol w:w="2969"/>
        <w:gridCol w:w="2715"/>
        <w:gridCol w:w="887"/>
        <w:gridCol w:w="1138"/>
        <w:gridCol w:w="1131"/>
        <w:gridCol w:w="627"/>
        <w:gridCol w:w="913"/>
        <w:gridCol w:w="1500"/>
      </w:tblGrid>
      <w:tr>
        <w:tblPrEx>
          <w:tblCellMar>
            <w:top w:w="0" w:type="dxa"/>
            <w:left w:w="0" w:type="dxa"/>
            <w:bottom w:w="0" w:type="dxa"/>
            <w:right w:w="0" w:type="dxa"/>
          </w:tblCellMar>
        </w:tblPrEx>
        <w:trPr>
          <w:trHeight w:val="885" w:hRule="atLeast"/>
        </w:trPr>
        <w:tc>
          <w:tcPr>
            <w:tcW w:w="13993" w:type="dxa"/>
            <w:gridSpan w:val="12"/>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40"/>
                <w:szCs w:val="40"/>
              </w:rPr>
            </w:pPr>
            <w:bookmarkStart w:id="0" w:name="_1662907596"/>
            <w:bookmarkEnd w:id="0"/>
            <w:bookmarkStart w:id="1" w:name="_1662907080"/>
            <w:bookmarkEnd w:id="1"/>
            <w:bookmarkStart w:id="2" w:name="_1662907161"/>
            <w:bookmarkEnd w:id="2"/>
            <w:bookmarkStart w:id="3" w:name="_1662907696"/>
            <w:bookmarkEnd w:id="3"/>
            <w:r>
              <w:rPr>
                <w:rFonts w:hint="eastAsia" w:asciiTheme="majorEastAsia" w:hAnsiTheme="majorEastAsia" w:eastAsiaTheme="majorEastAsia" w:cstheme="majorEastAsia"/>
                <w:b/>
                <w:bCs/>
                <w:color w:val="000000"/>
                <w:kern w:val="0"/>
                <w:sz w:val="40"/>
                <w:szCs w:val="40"/>
              </w:rPr>
              <w:t>部门整体支出绩效自评表</w:t>
            </w:r>
            <w:r>
              <w:rPr>
                <w:rFonts w:hint="eastAsia" w:ascii="黑体" w:hAnsi="宋体" w:eastAsia="黑体" w:cs="黑体"/>
                <w:color w:val="000000"/>
                <w:kern w:val="0"/>
                <w:sz w:val="40"/>
                <w:szCs w:val="40"/>
              </w:rPr>
              <w:br w:type="textWrapping"/>
            </w:r>
            <w:r>
              <w:rPr>
                <w:rFonts w:hint="eastAsia" w:ascii="黑体" w:hAnsi="宋体" w:eastAsia="黑体" w:cs="黑体"/>
                <w:color w:val="000000"/>
                <w:kern w:val="0"/>
                <w:sz w:val="20"/>
              </w:rPr>
              <w:t>（20</w:t>
            </w:r>
            <w:r>
              <w:rPr>
                <w:rFonts w:hint="eastAsia" w:ascii="黑体" w:hAnsi="宋体" w:eastAsia="黑体" w:cs="黑体"/>
                <w:color w:val="000000"/>
                <w:kern w:val="0"/>
                <w:sz w:val="20"/>
                <w:lang w:val="en-US" w:eastAsia="zh-CN"/>
              </w:rPr>
              <w:t>20</w:t>
            </w:r>
            <w:r>
              <w:rPr>
                <w:rFonts w:hint="eastAsia" w:ascii="黑体" w:hAnsi="宋体" w:eastAsia="黑体" w:cs="黑体"/>
                <w:color w:val="000000"/>
                <w:kern w:val="0"/>
                <w:sz w:val="20"/>
              </w:rPr>
              <w:t>年度）</w:t>
            </w:r>
          </w:p>
        </w:tc>
      </w:tr>
      <w:tr>
        <w:tblPrEx>
          <w:tblCellMar>
            <w:top w:w="0" w:type="dxa"/>
            <w:left w:w="0" w:type="dxa"/>
            <w:bottom w:w="0" w:type="dxa"/>
            <w:right w:w="0" w:type="dxa"/>
          </w:tblCellMar>
        </w:tblPrEx>
        <w:trPr>
          <w:trHeight w:val="450" w:hRule="atLeast"/>
        </w:trPr>
        <w:tc>
          <w:tcPr>
            <w:tcW w:w="5082" w:type="dxa"/>
            <w:gridSpan w:val="5"/>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填报单位:</w:t>
            </w:r>
          </w:p>
        </w:tc>
        <w:tc>
          <w:tcPr>
            <w:tcW w:w="2715" w:type="dxa"/>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自评得分：</w:t>
            </w:r>
          </w:p>
        </w:tc>
        <w:tc>
          <w:tcPr>
            <w:tcW w:w="887" w:type="dxa"/>
            <w:tcBorders>
              <w:top w:val="nil"/>
              <w:left w:val="nil"/>
              <w:bottom w:val="nil"/>
              <w:right w:val="nil"/>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138" w:type="dxa"/>
            <w:tcBorders>
              <w:top w:val="nil"/>
              <w:left w:val="nil"/>
              <w:bottom w:val="nil"/>
              <w:right w:val="nil"/>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131" w:type="dxa"/>
            <w:tcBorders>
              <w:top w:val="nil"/>
              <w:left w:val="nil"/>
              <w:bottom w:val="nil"/>
              <w:right w:val="nil"/>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27" w:type="dxa"/>
            <w:tcBorders>
              <w:top w:val="nil"/>
              <w:left w:val="nil"/>
              <w:bottom w:val="nil"/>
              <w:right w:val="nil"/>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913"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908" w:hRule="atLeast"/>
        </w:trPr>
        <w:tc>
          <w:tcPr>
            <w:tcW w:w="50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0"/>
              </w:rPr>
            </w:pPr>
            <w:r>
              <w:rPr>
                <w:rFonts w:ascii="仿宋_GB2312" w:hAnsi="宋体" w:eastAsia="仿宋_GB2312" w:cs="仿宋_GB2312"/>
                <w:color w:val="000000"/>
                <w:kern w:val="0"/>
                <w:sz w:val="20"/>
              </w:rPr>
              <w:t>（一）简要概述部门职能与职责。</w:t>
            </w:r>
          </w:p>
        </w:tc>
        <w:tc>
          <w:tcPr>
            <w:tcW w:w="891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20" w:firstLineChars="200"/>
              <w:rPr>
                <w:rFonts w:ascii="黑体" w:hAnsi="宋体" w:eastAsia="黑体"/>
                <w:color w:val="000000"/>
                <w:kern w:val="0"/>
                <w:sz w:val="20"/>
              </w:rPr>
            </w:pPr>
            <w:r>
              <w:rPr>
                <w:rFonts w:hint="eastAsia" w:ascii="仿宋" w:hAnsi="仿宋" w:eastAsia="仿宋" w:cs="仿宋"/>
                <w:sz w:val="21"/>
                <w:szCs w:val="21"/>
              </w:rPr>
              <w:t>阎</w:t>
            </w:r>
            <w:r>
              <w:rPr>
                <w:rFonts w:hint="eastAsia" w:ascii="仿宋" w:hAnsi="仿宋" w:eastAsia="仿宋" w:cs="仿宋"/>
                <w:sz w:val="20"/>
              </w:rPr>
              <w:t>良区体育场为我区差额事业单位，机构在职人员8人，退休人员7人。主要工作为指导全区各项体育运动，促进体育事业发展，优秀运动队建设，后备人才的培养，项目注册管理，群众各项体育项目竞赛的管理与组织教练员、裁判员等级的培训等。</w:t>
            </w:r>
          </w:p>
          <w:p>
            <w:pPr>
              <w:jc w:val="center"/>
              <w:rPr>
                <w:rFonts w:ascii="仿宋_GB2312" w:hAnsi="宋体" w:eastAsia="仿宋_GB2312" w:cs="仿宋_GB2312"/>
                <w:color w:val="000000"/>
                <w:sz w:val="20"/>
              </w:rPr>
            </w:pPr>
          </w:p>
        </w:tc>
      </w:tr>
      <w:tr>
        <w:tblPrEx>
          <w:tblCellMar>
            <w:top w:w="0" w:type="dxa"/>
            <w:left w:w="0" w:type="dxa"/>
            <w:bottom w:w="0" w:type="dxa"/>
            <w:right w:w="0" w:type="dxa"/>
          </w:tblCellMar>
        </w:tblPrEx>
        <w:trPr>
          <w:trHeight w:val="450" w:hRule="atLeast"/>
        </w:trPr>
        <w:tc>
          <w:tcPr>
            <w:tcW w:w="50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0"/>
              </w:rPr>
            </w:pPr>
            <w:r>
              <w:rPr>
                <w:rFonts w:ascii="仿宋_GB2312" w:hAnsi="宋体" w:eastAsia="仿宋_GB2312" w:cs="仿宋_GB2312"/>
                <w:color w:val="000000"/>
                <w:kern w:val="0"/>
                <w:sz w:val="20"/>
              </w:rPr>
              <w:t>（二）简要概述部门支出情况，按活动内容分类。</w:t>
            </w:r>
          </w:p>
        </w:tc>
        <w:tc>
          <w:tcPr>
            <w:tcW w:w="891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r>
              <w:rPr>
                <w:rFonts w:hint="eastAsia" w:ascii="仿宋_GB2312" w:hAnsi="宋体" w:eastAsia="仿宋_GB2312" w:cs="仿宋_GB2312"/>
                <w:color w:val="000000"/>
                <w:sz w:val="20"/>
              </w:rPr>
              <w:t>阎良区体育场为差额事业单位，工资非统发，预算支出分为1、在职人员经费2、退休人员工资补差3、办公费4、项目支出。</w:t>
            </w:r>
          </w:p>
        </w:tc>
      </w:tr>
      <w:tr>
        <w:tblPrEx>
          <w:tblCellMar>
            <w:top w:w="0" w:type="dxa"/>
            <w:left w:w="0" w:type="dxa"/>
            <w:bottom w:w="0" w:type="dxa"/>
            <w:right w:w="0" w:type="dxa"/>
          </w:tblCellMar>
        </w:tblPrEx>
        <w:trPr>
          <w:trHeight w:val="450" w:hRule="atLeast"/>
        </w:trPr>
        <w:tc>
          <w:tcPr>
            <w:tcW w:w="50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0"/>
              </w:rPr>
            </w:pPr>
            <w:r>
              <w:rPr>
                <w:rFonts w:ascii="仿宋_GB2312" w:hAnsi="宋体" w:eastAsia="仿宋_GB2312" w:cs="仿宋_GB2312"/>
                <w:color w:val="000000"/>
                <w:kern w:val="0"/>
                <w:sz w:val="20"/>
              </w:rPr>
              <w:t>（三）简要概述当年市委市政府下达的重点工作。</w:t>
            </w:r>
          </w:p>
        </w:tc>
        <w:tc>
          <w:tcPr>
            <w:tcW w:w="891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r>
              <w:rPr>
                <w:rFonts w:hint="eastAsia" w:ascii="仿宋_GB2312" w:hAnsi="宋体" w:eastAsia="仿宋_GB2312" w:cs="仿宋_GB2312"/>
                <w:color w:val="000000"/>
                <w:sz w:val="20"/>
              </w:rPr>
              <w:t>无</w:t>
            </w:r>
          </w:p>
        </w:tc>
      </w:tr>
      <w:tr>
        <w:tblPrEx>
          <w:tblCellMar>
            <w:top w:w="0" w:type="dxa"/>
            <w:left w:w="0" w:type="dxa"/>
            <w:bottom w:w="0" w:type="dxa"/>
            <w:right w:w="0" w:type="dxa"/>
          </w:tblCellMar>
        </w:tblPrEx>
        <w:trPr>
          <w:trHeight w:val="12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一级</w:t>
            </w:r>
            <w:r>
              <w:rPr>
                <w:rFonts w:ascii="楷体_GB2312" w:hAnsi="宋体" w:eastAsia="楷体_GB2312" w:cs="楷体_GB2312"/>
                <w:b/>
                <w:color w:val="000000"/>
                <w:kern w:val="0"/>
                <w:sz w:val="20"/>
              </w:rPr>
              <w:br w:type="textWrapping"/>
            </w:r>
            <w:r>
              <w:rPr>
                <w:rFonts w:ascii="楷体_GB2312" w:hAnsi="宋体" w:eastAsia="楷体_GB2312" w:cs="楷体_GB2312"/>
                <w:b/>
                <w:color w:val="000000"/>
                <w:kern w:val="0"/>
                <w:sz w:val="20"/>
              </w:rPr>
              <w:t>指标</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二级</w:t>
            </w:r>
            <w:r>
              <w:rPr>
                <w:rFonts w:ascii="楷体_GB2312" w:hAnsi="宋体" w:eastAsia="楷体_GB2312" w:cs="楷体_GB2312"/>
                <w:b/>
                <w:color w:val="000000"/>
                <w:kern w:val="0"/>
                <w:sz w:val="20"/>
              </w:rPr>
              <w:br w:type="textWrapping"/>
            </w:r>
            <w:r>
              <w:rPr>
                <w:rFonts w:ascii="楷体_GB2312" w:hAnsi="宋体" w:eastAsia="楷体_GB2312" w:cs="楷体_GB2312"/>
                <w:b/>
                <w:color w:val="000000"/>
                <w:kern w:val="0"/>
                <w:sz w:val="20"/>
              </w:rPr>
              <w:t>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三级指标</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分值</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指标说明</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评分标准</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指标值计算公式和数据获取方式</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年初目标值</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实际完成值</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得分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0"/>
              </w:rPr>
            </w:pPr>
            <w:r>
              <w:rPr>
                <w:rFonts w:ascii="仿宋_GB2312" w:hAnsi="宋体" w:eastAsia="仿宋_GB2312" w:cs="仿宋_GB2312"/>
                <w:b/>
                <w:color w:val="000000"/>
                <w:kern w:val="0"/>
                <w:sz w:val="20"/>
              </w:rPr>
              <w:t>未完成原因分析与改进措施</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0"/>
              </w:rPr>
            </w:pPr>
            <w:r>
              <w:rPr>
                <w:rFonts w:ascii="仿宋_GB2312" w:hAnsi="宋体" w:eastAsia="仿宋_GB2312" w:cs="仿宋_GB2312"/>
                <w:b/>
                <w:color w:val="000000"/>
                <w:kern w:val="0"/>
                <w:sz w:val="20"/>
              </w:rPr>
              <w:t>绩效指标分析与建议</w:t>
            </w:r>
          </w:p>
        </w:tc>
      </w:tr>
      <w:tr>
        <w:tblPrEx>
          <w:tblCellMar>
            <w:top w:w="0" w:type="dxa"/>
            <w:left w:w="0" w:type="dxa"/>
            <w:bottom w:w="0" w:type="dxa"/>
            <w:right w:w="0" w:type="dxa"/>
          </w:tblCellMar>
        </w:tblPrEx>
        <w:trPr>
          <w:trHeight w:val="325"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投入</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预算执行（25分）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完成率</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（10分）</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10</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预算完成率=（预算完成数/预算数）×100%，用以反映和考核部门（单位）预算完成程度。</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预算完成数：部门（单位）本年度实际完成的预算数。</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预算数：财政部门批复的本年度部门（单位）预算数。</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预算完成率＝100%的，得10分。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预算完成率≥95%的，得9分。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预算完成率在90%（含）和95%之间，得8分。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预算完成率在85%（含）和90%之间，得7分。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预算完成率在80%（含）和85%之间，得6分。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预算完成率在70%（含）和80%之间，得4分。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预算完成率＜70%的，得0分。</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508"/>
              <w:rPr>
                <w:rFonts w:ascii="楷体_GB2312" w:hAnsi="宋体" w:eastAsia="楷体_GB2312" w:cs="楷体_GB2312"/>
                <w:color w:val="000000"/>
                <w:sz w:val="20"/>
              </w:rPr>
            </w:pPr>
            <w:r>
              <w:rPr>
                <w:rFonts w:hint="eastAsia" w:ascii="楷体_GB2312" w:hAnsi="宋体" w:eastAsia="楷体_GB2312" w:cs="楷体_GB2312"/>
                <w:color w:val="000000"/>
                <w:sz w:val="20"/>
              </w:rPr>
              <w:t>1</w:t>
            </w:r>
            <w:r>
              <w:rPr>
                <w:rFonts w:hint="eastAsia" w:ascii="楷体_GB2312" w:hAnsi="宋体" w:eastAsia="楷体_GB2312" w:cs="楷体_GB2312"/>
                <w:color w:val="000000"/>
                <w:sz w:val="20"/>
                <w:lang w:val="en-US" w:eastAsia="zh-CN"/>
              </w:rPr>
              <w:t>07.53</w:t>
            </w:r>
            <w:r>
              <w:rPr>
                <w:rFonts w:hint="eastAsia" w:ascii="楷体_GB2312" w:hAnsi="宋体" w:eastAsia="楷体_GB2312" w:cs="楷体_GB2312"/>
                <w:color w:val="000000"/>
                <w:sz w:val="20"/>
              </w:rPr>
              <w:t>万元</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501"/>
              <w:rPr>
                <w:rFonts w:ascii="楷体_GB2312" w:hAnsi="宋体" w:eastAsia="楷体_GB2312" w:cs="楷体_GB2312"/>
                <w:color w:val="000000"/>
                <w:sz w:val="20"/>
              </w:rPr>
            </w:pPr>
            <w:r>
              <w:rPr>
                <w:rFonts w:hint="eastAsia" w:ascii="楷体_GB2312" w:hAnsi="宋体" w:eastAsia="楷体_GB2312" w:cs="楷体_GB2312"/>
                <w:color w:val="000000"/>
                <w:sz w:val="20"/>
              </w:rPr>
              <w:t>1</w:t>
            </w:r>
            <w:r>
              <w:rPr>
                <w:rFonts w:hint="eastAsia" w:ascii="楷体_GB2312" w:hAnsi="宋体" w:eastAsia="楷体_GB2312" w:cs="楷体_GB2312"/>
                <w:color w:val="000000"/>
                <w:sz w:val="20"/>
                <w:lang w:val="en-US" w:eastAsia="zh-CN"/>
              </w:rPr>
              <w:t>27.13</w:t>
            </w:r>
            <w:r>
              <w:rPr>
                <w:rFonts w:hint="eastAsia" w:ascii="楷体_GB2312" w:hAnsi="宋体" w:eastAsia="楷体_GB2312" w:cs="楷体_GB2312"/>
                <w:color w:val="000000"/>
                <w:sz w:val="20"/>
              </w:rPr>
              <w:t>万元</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10分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r>
              <w:rPr>
                <w:rFonts w:hint="eastAsia" w:ascii="仿宋_GB2312" w:hAnsi="宋体" w:eastAsia="仿宋_GB2312" w:cs="仿宋_GB2312"/>
                <w:color w:val="000000"/>
                <w:sz w:val="20"/>
              </w:rPr>
              <w:t>严格按照预算执行，20</w:t>
            </w:r>
            <w:r>
              <w:rPr>
                <w:rFonts w:hint="eastAsia" w:ascii="仿宋_GB2312" w:hAnsi="宋体" w:eastAsia="仿宋_GB2312" w:cs="仿宋_GB2312"/>
                <w:color w:val="000000"/>
                <w:sz w:val="20"/>
                <w:lang w:val="en-US" w:eastAsia="zh-CN"/>
              </w:rPr>
              <w:t>20</w:t>
            </w:r>
            <w:r>
              <w:rPr>
                <w:rFonts w:hint="eastAsia" w:ascii="仿宋_GB2312" w:hAnsi="宋体" w:eastAsia="仿宋_GB2312" w:cs="仿宋_GB2312"/>
                <w:color w:val="000000"/>
                <w:sz w:val="20"/>
              </w:rPr>
              <w:t>年追加调整工资、公积金、201</w:t>
            </w:r>
            <w:r>
              <w:rPr>
                <w:rFonts w:hint="eastAsia" w:ascii="仿宋_GB2312" w:hAnsi="宋体" w:eastAsia="仿宋_GB2312" w:cs="仿宋_GB2312"/>
                <w:color w:val="000000"/>
                <w:sz w:val="20"/>
                <w:lang w:val="en-US" w:eastAsia="zh-CN"/>
              </w:rPr>
              <w:t>9</w:t>
            </w:r>
            <w:r>
              <w:rPr>
                <w:rFonts w:hint="eastAsia" w:ascii="仿宋_GB2312" w:hAnsi="宋体" w:eastAsia="仿宋_GB2312" w:cs="仿宋_GB2312"/>
                <w:color w:val="000000"/>
                <w:sz w:val="20"/>
              </w:rPr>
              <w:t>年绩效工资。</w:t>
            </w:r>
          </w:p>
        </w:tc>
      </w:tr>
      <w:tr>
        <w:tblPrEx>
          <w:tblCellMar>
            <w:top w:w="0" w:type="dxa"/>
            <w:left w:w="0" w:type="dxa"/>
            <w:bottom w:w="0" w:type="dxa"/>
            <w:right w:w="0" w:type="dxa"/>
          </w:tblCellMar>
        </w:tblPrEx>
        <w:trPr>
          <w:trHeight w:val="247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ascii="楷体_GB2312" w:hAnsi="宋体" w:eastAsia="楷体_GB2312" w:cs="楷体_GB2312"/>
                <w:color w:val="000000"/>
                <w:sz w:val="20"/>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楷体_GB2312" w:hAnsi="宋体" w:eastAsia="楷体_GB2312" w:cs="楷体_GB2312"/>
                <w:color w:val="000000"/>
                <w:sz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预算调整率</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（5分）</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5</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预算调整率=（预算调整数/预算数）×100%，用以反映和考核部门（单位）预算的调整程度。</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预算调整数：部门（单位）在本年度内涉及预算的追加、追减或结构调整的资金总和（因落实国家政策、发生不可抗力、上级部门或本级党委政府临时交办而产生的调整除外）。</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预算包括一般公共预算与政府性基金预算。</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预算调整率绝对值≤5%，得5分。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预算调整率绝对值＞5%的，每增加0.1个百分点扣0.1分，扣完为止。</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1</w:t>
            </w:r>
            <w:r>
              <w:rPr>
                <w:rFonts w:hint="eastAsia" w:ascii="楷体_GB2312" w:hAnsi="宋体" w:eastAsia="楷体_GB2312" w:cs="楷体_GB2312"/>
                <w:color w:val="000000"/>
                <w:sz w:val="20"/>
                <w:lang w:val="en-US" w:eastAsia="zh-CN"/>
              </w:rPr>
              <w:t>07.53</w:t>
            </w:r>
            <w:r>
              <w:rPr>
                <w:rFonts w:hint="eastAsia" w:ascii="楷体_GB2312" w:hAnsi="宋体" w:eastAsia="楷体_GB2312" w:cs="楷体_GB2312"/>
                <w:color w:val="000000"/>
                <w:sz w:val="20"/>
              </w:rPr>
              <w:t>万元</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1</w:t>
            </w:r>
            <w:r>
              <w:rPr>
                <w:rFonts w:hint="eastAsia" w:ascii="楷体_GB2312" w:hAnsi="宋体" w:eastAsia="楷体_GB2312" w:cs="楷体_GB2312"/>
                <w:color w:val="000000"/>
                <w:sz w:val="20"/>
                <w:lang w:val="en-US" w:eastAsia="zh-CN"/>
              </w:rPr>
              <w:t>27.13</w:t>
            </w:r>
            <w:r>
              <w:rPr>
                <w:rFonts w:hint="eastAsia" w:ascii="楷体_GB2312" w:hAnsi="宋体" w:eastAsia="楷体_GB2312" w:cs="楷体_GB2312"/>
                <w:color w:val="000000"/>
                <w:sz w:val="20"/>
              </w:rPr>
              <w:t>万元</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lang w:val="en-US" w:eastAsia="zh-CN"/>
              </w:rPr>
              <w:t>0</w:t>
            </w:r>
            <w:r>
              <w:rPr>
                <w:rFonts w:hint="eastAsia" w:ascii="楷体_GB2312" w:hAnsi="宋体" w:eastAsia="楷体_GB2312" w:cs="楷体_GB2312"/>
                <w:color w:val="000000"/>
                <w:sz w:val="20"/>
              </w:rPr>
              <w:t>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r>
              <w:rPr>
                <w:rFonts w:hint="eastAsia" w:ascii="仿宋_GB2312" w:hAnsi="宋体" w:eastAsia="仿宋_GB2312" w:cs="仿宋_GB2312"/>
                <w:color w:val="000000"/>
                <w:sz w:val="20"/>
              </w:rPr>
              <w:t>严格按照预算执行，20</w:t>
            </w:r>
            <w:r>
              <w:rPr>
                <w:rFonts w:hint="eastAsia" w:ascii="仿宋_GB2312" w:hAnsi="宋体" w:eastAsia="仿宋_GB2312" w:cs="仿宋_GB2312"/>
                <w:color w:val="000000"/>
                <w:sz w:val="20"/>
                <w:lang w:val="en-US" w:eastAsia="zh-CN"/>
              </w:rPr>
              <w:t>20</w:t>
            </w:r>
            <w:r>
              <w:rPr>
                <w:rFonts w:hint="eastAsia" w:ascii="仿宋_GB2312" w:hAnsi="宋体" w:eastAsia="仿宋_GB2312" w:cs="仿宋_GB2312"/>
                <w:color w:val="000000"/>
                <w:sz w:val="20"/>
              </w:rPr>
              <w:t>年追加调整工资、公积金、201</w:t>
            </w:r>
            <w:r>
              <w:rPr>
                <w:rFonts w:hint="eastAsia" w:ascii="仿宋_GB2312" w:hAnsi="宋体" w:eastAsia="仿宋_GB2312" w:cs="仿宋_GB2312"/>
                <w:color w:val="000000"/>
                <w:sz w:val="20"/>
                <w:lang w:val="en-US" w:eastAsia="zh-CN"/>
              </w:rPr>
              <w:t>9</w:t>
            </w:r>
            <w:r>
              <w:rPr>
                <w:rFonts w:hint="eastAsia" w:ascii="仿宋_GB2312" w:hAnsi="宋体" w:eastAsia="仿宋_GB2312" w:cs="仿宋_GB2312"/>
                <w:color w:val="000000"/>
                <w:sz w:val="20"/>
              </w:rPr>
              <w:t>年绩效工资。</w:t>
            </w:r>
          </w:p>
        </w:tc>
      </w:tr>
      <w:tr>
        <w:tblPrEx>
          <w:tblCellMar>
            <w:top w:w="0" w:type="dxa"/>
            <w:left w:w="0" w:type="dxa"/>
            <w:bottom w:w="0" w:type="dxa"/>
            <w:right w:w="0" w:type="dxa"/>
          </w:tblCellMar>
        </w:tblPrEx>
        <w:trPr>
          <w:trHeight w:val="9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一级</w:t>
            </w:r>
            <w:r>
              <w:rPr>
                <w:rFonts w:ascii="楷体_GB2312" w:hAnsi="宋体" w:eastAsia="楷体_GB2312" w:cs="楷体_GB2312"/>
                <w:b/>
                <w:color w:val="000000"/>
                <w:kern w:val="0"/>
                <w:sz w:val="20"/>
              </w:rPr>
              <w:br w:type="textWrapping"/>
            </w:r>
            <w:r>
              <w:rPr>
                <w:rFonts w:ascii="楷体_GB2312" w:hAnsi="宋体" w:eastAsia="楷体_GB2312" w:cs="楷体_GB2312"/>
                <w:b/>
                <w:color w:val="000000"/>
                <w:kern w:val="0"/>
                <w:sz w:val="20"/>
              </w:rPr>
              <w:t>指标</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二级</w:t>
            </w:r>
            <w:r>
              <w:rPr>
                <w:rFonts w:ascii="楷体_GB2312" w:hAnsi="宋体" w:eastAsia="楷体_GB2312" w:cs="楷体_GB2312"/>
                <w:b/>
                <w:color w:val="000000"/>
                <w:kern w:val="0"/>
                <w:sz w:val="20"/>
              </w:rPr>
              <w:br w:type="textWrapping"/>
            </w:r>
            <w:r>
              <w:rPr>
                <w:rFonts w:ascii="楷体_GB2312" w:hAnsi="宋体" w:eastAsia="楷体_GB2312" w:cs="楷体_GB2312"/>
                <w:b/>
                <w:color w:val="000000"/>
                <w:kern w:val="0"/>
                <w:sz w:val="20"/>
              </w:rPr>
              <w:t>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三级指标</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分值</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指标说明</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评分标准</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指标值计算公式和数据获取方式</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年初目标值</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实际完成值</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得分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0"/>
              </w:rPr>
            </w:pPr>
            <w:r>
              <w:rPr>
                <w:rFonts w:ascii="仿宋_GB2312" w:hAnsi="宋体" w:eastAsia="仿宋_GB2312" w:cs="仿宋_GB2312"/>
                <w:b/>
                <w:color w:val="000000"/>
                <w:kern w:val="0"/>
                <w:sz w:val="20"/>
              </w:rPr>
              <w:t>未完成原因分析与改进措施</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0"/>
              </w:rPr>
            </w:pPr>
            <w:r>
              <w:rPr>
                <w:rFonts w:ascii="仿宋_GB2312" w:hAnsi="宋体" w:eastAsia="仿宋_GB2312" w:cs="仿宋_GB2312"/>
                <w:b/>
                <w:color w:val="000000"/>
                <w:kern w:val="0"/>
                <w:sz w:val="20"/>
              </w:rPr>
              <w:t>绩效指标分析与建议</w:t>
            </w:r>
          </w:p>
        </w:tc>
      </w:tr>
      <w:tr>
        <w:tblPrEx>
          <w:tblCellMar>
            <w:top w:w="0" w:type="dxa"/>
            <w:left w:w="0" w:type="dxa"/>
            <w:bottom w:w="0" w:type="dxa"/>
            <w:right w:w="0" w:type="dxa"/>
          </w:tblCellMar>
        </w:tblPrEx>
        <w:trPr>
          <w:trHeight w:val="585"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投入</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预算执行（25分）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支出进度率</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（5分）</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5</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支出进度率=（实际支出/支出预算）×100%，用以反映和考核部门（单位）预算执行的及时性和均衡性程度。</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半年支出进度＝部门上半年实际支出/（上年结余结转+本年部门预算安排+上半年执行中追加追减）*100%。</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前三季度支出进度＝部门前三季度实际支出/（上年结余结转+本年部门预算安排+前三季度执行中追加追减）*100%。</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半年进度：进度率≥45%，得2分；进度率在40%（含）和45%之间，得1分；进度率＜40%，得0分。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前三季度进度：进度率≥75%，得3分；进度率在60%（含）和75%之间，得2分；进度率＜60%，得0分。</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1</w:t>
            </w:r>
            <w:r>
              <w:rPr>
                <w:rFonts w:hint="eastAsia" w:ascii="楷体_GB2312" w:hAnsi="宋体" w:eastAsia="楷体_GB2312" w:cs="楷体_GB2312"/>
                <w:color w:val="000000"/>
                <w:sz w:val="20"/>
                <w:lang w:val="en-US" w:eastAsia="zh-CN"/>
              </w:rPr>
              <w:t>07.53</w:t>
            </w:r>
            <w:r>
              <w:rPr>
                <w:rFonts w:hint="eastAsia" w:ascii="楷体_GB2312" w:hAnsi="宋体" w:eastAsia="楷体_GB2312" w:cs="楷体_GB2312"/>
                <w:color w:val="000000"/>
                <w:sz w:val="20"/>
              </w:rPr>
              <w:t>万元</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lang w:val="en-US" w:eastAsia="zh-CN"/>
              </w:rPr>
              <w:t>127.13</w:t>
            </w:r>
            <w:r>
              <w:rPr>
                <w:rFonts w:hint="eastAsia" w:ascii="楷体_GB2312" w:hAnsi="宋体" w:eastAsia="楷体_GB2312" w:cs="楷体_GB2312"/>
                <w:color w:val="000000"/>
                <w:sz w:val="20"/>
              </w:rPr>
              <w:t>万元</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5分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r>
              <w:rPr>
                <w:rFonts w:hint="eastAsia" w:ascii="仿宋_GB2312" w:hAnsi="宋体" w:eastAsia="仿宋_GB2312" w:cs="仿宋_GB2312"/>
                <w:color w:val="000000"/>
                <w:sz w:val="20"/>
              </w:rPr>
              <w:t>严格按照预算执行</w:t>
            </w:r>
          </w:p>
        </w:tc>
      </w:tr>
      <w:tr>
        <w:tblPrEx>
          <w:tblCellMar>
            <w:top w:w="0" w:type="dxa"/>
            <w:left w:w="0" w:type="dxa"/>
            <w:bottom w:w="0" w:type="dxa"/>
            <w:right w:w="0" w:type="dxa"/>
          </w:tblCellMar>
        </w:tblPrEx>
        <w:trPr>
          <w:trHeight w:val="153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ascii="楷体_GB2312" w:hAnsi="宋体" w:eastAsia="楷体_GB2312" w:cs="楷体_GB2312"/>
                <w:color w:val="000000"/>
                <w:sz w:val="20"/>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楷体_GB2312" w:hAnsi="宋体" w:eastAsia="楷体_GB2312" w:cs="楷体_GB2312"/>
                <w:color w:val="000000"/>
                <w:sz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预算编制准确率（5分）</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5</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部门预算中除财政拨款外的其他收入预算与决算差异率。</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预算编制准确率＝其他收入决算数/其他收入预算数×100%-100%。</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预算编制准确率≤20%，得5分。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预算编制准确率在20%和40%（含）之间，得3分。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预算编制准确率＞40%，得0分。</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1</w:t>
            </w:r>
            <w:r>
              <w:rPr>
                <w:rFonts w:hint="eastAsia" w:ascii="楷体_GB2312" w:hAnsi="宋体" w:eastAsia="楷体_GB2312" w:cs="楷体_GB2312"/>
                <w:color w:val="000000"/>
                <w:sz w:val="20"/>
                <w:lang w:val="en-US" w:eastAsia="zh-CN"/>
              </w:rPr>
              <w:t>07.53</w:t>
            </w:r>
            <w:r>
              <w:rPr>
                <w:rFonts w:hint="eastAsia" w:ascii="楷体_GB2312" w:hAnsi="宋体" w:eastAsia="楷体_GB2312" w:cs="楷体_GB2312"/>
                <w:color w:val="000000"/>
                <w:sz w:val="20"/>
              </w:rPr>
              <w:t>万元</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1</w:t>
            </w:r>
            <w:r>
              <w:rPr>
                <w:rFonts w:hint="eastAsia" w:ascii="楷体_GB2312" w:hAnsi="宋体" w:eastAsia="楷体_GB2312" w:cs="楷体_GB2312"/>
                <w:color w:val="000000"/>
                <w:sz w:val="20"/>
                <w:lang w:val="en-US" w:eastAsia="zh-CN"/>
              </w:rPr>
              <w:t>27.13</w:t>
            </w:r>
            <w:r>
              <w:rPr>
                <w:rFonts w:hint="eastAsia" w:ascii="楷体_GB2312" w:hAnsi="宋体" w:eastAsia="楷体_GB2312" w:cs="楷体_GB2312"/>
                <w:color w:val="000000"/>
                <w:sz w:val="20"/>
              </w:rPr>
              <w:t>万元</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lang w:val="en-US" w:eastAsia="zh-CN"/>
              </w:rPr>
              <w:t>5</w:t>
            </w:r>
            <w:r>
              <w:rPr>
                <w:rFonts w:hint="eastAsia" w:ascii="楷体_GB2312" w:hAnsi="宋体" w:eastAsia="楷体_GB2312" w:cs="楷体_GB2312"/>
                <w:color w:val="000000"/>
                <w:sz w:val="20"/>
              </w:rPr>
              <w:t>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r>
              <w:rPr>
                <w:rFonts w:hint="eastAsia" w:ascii="仿宋_GB2312" w:hAnsi="宋体" w:eastAsia="仿宋_GB2312" w:cs="仿宋_GB2312"/>
                <w:color w:val="000000"/>
                <w:sz w:val="20"/>
              </w:rPr>
              <w:t>严格按照预算执行，2019年追加调整工资、公积金、2018年绩效工资。</w:t>
            </w:r>
          </w:p>
        </w:tc>
      </w:tr>
      <w:tr>
        <w:tblPrEx>
          <w:tblCellMar>
            <w:top w:w="0" w:type="dxa"/>
            <w:left w:w="0" w:type="dxa"/>
            <w:bottom w:w="0" w:type="dxa"/>
            <w:right w:w="0" w:type="dxa"/>
          </w:tblCellMar>
        </w:tblPrEx>
        <w:trPr>
          <w:trHeight w:val="1964"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过程</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预算管理（15分）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“三公经费”控制率</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（5分）</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5</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“三公经费”控制率=（“三公经费”实际支出数/“三公经费”预算安排数）×100%，用以反映和考核部门（单位）对“三公经费”的实际控制程度。</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三公经费控制率 ≤100%，得5分，每增加0.1个百分点扣0.5分，扣完为止。</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r>
              <w:rPr>
                <w:rFonts w:hint="eastAsia" w:ascii="楷体_GB2312" w:hAnsi="宋体" w:eastAsia="楷体_GB2312" w:cs="楷体_GB2312"/>
                <w:color w:val="000000"/>
                <w:sz w:val="20"/>
              </w:rPr>
              <w:t>5分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r>
              <w:rPr>
                <w:rFonts w:hint="eastAsia" w:ascii="仿宋_GB2312" w:hAnsi="宋体" w:eastAsia="仿宋_GB2312" w:cs="仿宋_GB2312"/>
                <w:color w:val="000000"/>
                <w:sz w:val="20"/>
              </w:rPr>
              <w:t>严格按照预算执行</w:t>
            </w:r>
          </w:p>
        </w:tc>
      </w:tr>
      <w:tr>
        <w:tblPrEx>
          <w:tblCellMar>
            <w:top w:w="0" w:type="dxa"/>
            <w:left w:w="0" w:type="dxa"/>
            <w:bottom w:w="0" w:type="dxa"/>
            <w:right w:w="0" w:type="dxa"/>
          </w:tblCellMar>
        </w:tblPrEx>
        <w:trPr>
          <w:trHeight w:val="178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ascii="楷体_GB2312" w:hAnsi="宋体" w:eastAsia="楷体_GB2312" w:cs="楷体_GB2312"/>
                <w:color w:val="000000"/>
                <w:sz w:val="20"/>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楷体_GB2312" w:hAnsi="宋体" w:eastAsia="楷体_GB2312" w:cs="楷体_GB2312"/>
                <w:color w:val="000000"/>
                <w:sz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资产管理规范性</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（5分）</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5</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部门（单位）资产管理是否规范，用以反映和考核部门（单位）资产管理情况。</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1.新增资产配置按预算执行。</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2.资产有偿使用、处置按规定程序审批。</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3.资产收益及时、足额上缴财政。</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全部符合5分，有1项不符扣2分,扣完为止。</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r>
              <w:rPr>
                <w:rFonts w:hint="eastAsia" w:ascii="楷体_GB2312" w:hAnsi="宋体" w:eastAsia="楷体_GB2312" w:cs="楷体_GB2312"/>
                <w:color w:val="000000"/>
                <w:sz w:val="20"/>
              </w:rPr>
              <w:t>5分</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r>
              <w:rPr>
                <w:rFonts w:hint="eastAsia" w:ascii="仿宋_GB2312" w:hAnsi="宋体" w:eastAsia="仿宋_GB2312" w:cs="仿宋_GB2312"/>
                <w:color w:val="000000"/>
                <w:sz w:val="20"/>
              </w:rPr>
              <w:t>严格按照预算执行</w:t>
            </w:r>
          </w:p>
        </w:tc>
      </w:tr>
      <w:tr>
        <w:tblPrEx>
          <w:tblCellMar>
            <w:top w:w="0" w:type="dxa"/>
            <w:left w:w="0" w:type="dxa"/>
            <w:bottom w:w="0" w:type="dxa"/>
            <w:right w:w="0" w:type="dxa"/>
          </w:tblCellMar>
        </w:tblPrEx>
        <w:trPr>
          <w:trHeight w:val="9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一级</w:t>
            </w:r>
            <w:r>
              <w:rPr>
                <w:rFonts w:ascii="楷体_GB2312" w:hAnsi="宋体" w:eastAsia="楷体_GB2312" w:cs="楷体_GB2312"/>
                <w:b/>
                <w:color w:val="000000"/>
                <w:kern w:val="0"/>
                <w:sz w:val="20"/>
              </w:rPr>
              <w:br w:type="textWrapping"/>
            </w:r>
            <w:r>
              <w:rPr>
                <w:rFonts w:ascii="楷体_GB2312" w:hAnsi="宋体" w:eastAsia="楷体_GB2312" w:cs="楷体_GB2312"/>
                <w:b/>
                <w:color w:val="000000"/>
                <w:kern w:val="0"/>
                <w:sz w:val="20"/>
              </w:rPr>
              <w:t>指标</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二级</w:t>
            </w:r>
            <w:r>
              <w:rPr>
                <w:rFonts w:ascii="楷体_GB2312" w:hAnsi="宋体" w:eastAsia="楷体_GB2312" w:cs="楷体_GB2312"/>
                <w:b/>
                <w:color w:val="000000"/>
                <w:kern w:val="0"/>
                <w:sz w:val="20"/>
              </w:rPr>
              <w:br w:type="textWrapping"/>
            </w:r>
            <w:r>
              <w:rPr>
                <w:rFonts w:ascii="楷体_GB2312" w:hAnsi="宋体" w:eastAsia="楷体_GB2312" w:cs="楷体_GB2312"/>
                <w:b/>
                <w:color w:val="000000"/>
                <w:kern w:val="0"/>
                <w:sz w:val="20"/>
              </w:rPr>
              <w:t>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三级指标</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分值</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指标说明</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评分标准</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指标值计算公式和数据获取方式</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年初目标值</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实际完成值</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得分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0"/>
              </w:rPr>
            </w:pPr>
            <w:r>
              <w:rPr>
                <w:rFonts w:ascii="仿宋_GB2312" w:hAnsi="宋体" w:eastAsia="仿宋_GB2312" w:cs="仿宋_GB2312"/>
                <w:b/>
                <w:color w:val="000000"/>
                <w:kern w:val="0"/>
                <w:sz w:val="20"/>
              </w:rPr>
              <w:t>未完成原因分析与改进措施</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0"/>
              </w:rPr>
            </w:pPr>
            <w:r>
              <w:rPr>
                <w:rFonts w:ascii="仿宋_GB2312" w:hAnsi="宋体" w:eastAsia="仿宋_GB2312" w:cs="仿宋_GB2312"/>
                <w:b/>
                <w:color w:val="000000"/>
                <w:kern w:val="0"/>
                <w:sz w:val="20"/>
              </w:rPr>
              <w:t>绩效指标分析与建议</w:t>
            </w:r>
          </w:p>
        </w:tc>
      </w:tr>
      <w:tr>
        <w:tblPrEx>
          <w:tblCellMar>
            <w:top w:w="0" w:type="dxa"/>
            <w:left w:w="0" w:type="dxa"/>
            <w:bottom w:w="0" w:type="dxa"/>
            <w:right w:w="0" w:type="dxa"/>
          </w:tblCellMar>
        </w:tblPrEx>
        <w:trPr>
          <w:trHeight w:val="28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过程</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预算管理（15分）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资金使用合规性</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（5分）</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5</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部门（单位）使用预算资金是否符合相关的预算财务管理制度的规定，用以反映和考核部门（单位）预算资金的规范运行情况。</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1.符合国家财经法规和财务管理制度规定以及有关专项资金管理办法的规定；</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2.资金的拨付有完整的审批程序和手续；</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3.重大项目开支经过评估论证；</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4.符合部门预算批复的用途；</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5.不存在截留、挤占、挪用、虚列支出等情况。</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全部符合5分,有1项不符扣2分。</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p>
          <w:p>
            <w:pPr>
              <w:jc w:val="left"/>
              <w:rPr>
                <w:rFonts w:ascii="仿宋" w:hAnsi="仿宋" w:eastAsia="仿宋" w:cs="仿宋"/>
                <w:sz w:val="20"/>
              </w:rPr>
            </w:pPr>
            <w:r>
              <w:rPr>
                <w:rFonts w:hint="eastAsia" w:ascii="仿宋" w:hAnsi="仿宋" w:eastAsia="仿宋" w:cs="仿宋"/>
                <w:sz w:val="20"/>
              </w:rPr>
              <w:t>5分</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r>
              <w:rPr>
                <w:rFonts w:hint="eastAsia" w:ascii="仿宋_GB2312" w:hAnsi="宋体" w:eastAsia="仿宋_GB2312" w:cs="仿宋_GB2312"/>
                <w:color w:val="000000"/>
                <w:sz w:val="20"/>
              </w:rPr>
              <w:t>严格按照预算执行</w:t>
            </w:r>
          </w:p>
        </w:tc>
      </w:tr>
      <w:tr>
        <w:tblPrEx>
          <w:tblCellMar>
            <w:top w:w="0" w:type="dxa"/>
            <w:left w:w="0" w:type="dxa"/>
            <w:bottom w:w="0" w:type="dxa"/>
            <w:right w:w="0" w:type="dxa"/>
          </w:tblCellMar>
        </w:tblPrEx>
        <w:trPr>
          <w:trHeight w:val="1635"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效果</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履职尽责（60分）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项目产出</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（40分）</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40</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1.若为定性指标，根据“三档”原则分别按照指标分值的100-80%（含）、80-50%（含）、50-10%来记分；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r>
              <w:rPr>
                <w:rFonts w:hint="eastAsia" w:ascii="楷体_GB2312" w:hAnsi="宋体" w:eastAsia="楷体_GB2312" w:cs="楷体_GB2312"/>
                <w:color w:val="000000"/>
                <w:sz w:val="20"/>
              </w:rPr>
              <w:t>40分</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仿宋"/>
                <w:color w:val="000000"/>
                <w:sz w:val="20"/>
              </w:rPr>
            </w:pPr>
            <w:r>
              <w:rPr>
                <w:rFonts w:hint="eastAsia" w:ascii="仿宋" w:hAnsi="仿宋" w:eastAsia="仿宋" w:cs="仿宋"/>
                <w:color w:val="000000"/>
                <w:sz w:val="20"/>
              </w:rPr>
              <w:t>得到群众一致好评</w:t>
            </w:r>
          </w:p>
        </w:tc>
      </w:tr>
      <w:tr>
        <w:tblPrEx>
          <w:tblCellMar>
            <w:top w:w="0" w:type="dxa"/>
            <w:left w:w="0" w:type="dxa"/>
            <w:bottom w:w="0" w:type="dxa"/>
            <w:right w:w="0" w:type="dxa"/>
          </w:tblCellMar>
        </w:tblPrEx>
        <w:trPr>
          <w:trHeight w:val="7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ascii="楷体_GB2312" w:hAnsi="宋体" w:eastAsia="楷体_GB2312" w:cs="楷体_GB2312"/>
                <w:color w:val="000000"/>
                <w:sz w:val="20"/>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楷体_GB2312" w:hAnsi="宋体" w:eastAsia="楷体_GB2312" w:cs="楷体_GB2312"/>
                <w:color w:val="000000"/>
                <w:sz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项目效益</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（20分）</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20</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r>
              <w:rPr>
                <w:rFonts w:hint="eastAsia" w:ascii="楷体_GB2312" w:hAnsi="宋体" w:eastAsia="楷体_GB2312" w:cs="楷体_GB2312"/>
                <w:color w:val="000000"/>
                <w:sz w:val="20"/>
              </w:rPr>
              <w:t>20分</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r>
              <w:rPr>
                <w:rFonts w:hint="eastAsia" w:ascii="仿宋" w:hAnsi="仿宋" w:eastAsia="仿宋" w:cs="仿宋"/>
                <w:color w:val="000000"/>
                <w:sz w:val="20"/>
              </w:rPr>
              <w:t>得到群众一致好评</w:t>
            </w:r>
          </w:p>
        </w:tc>
      </w:tr>
      <w:tr>
        <w:tblPrEx>
          <w:tblCellMar>
            <w:top w:w="0" w:type="dxa"/>
            <w:left w:w="0" w:type="dxa"/>
            <w:bottom w:w="0" w:type="dxa"/>
            <w:right w:w="0" w:type="dxa"/>
          </w:tblCellMar>
        </w:tblPrEx>
        <w:trPr>
          <w:trHeight w:val="1395" w:hRule="atLeast"/>
        </w:trPr>
        <w:tc>
          <w:tcPr>
            <w:tcW w:w="13993"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备注：</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1.“项目产出”和“项目效果”直接细化成部门年初绩效目标中的指标，并根据重要程度赋权。</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widowControl/>
        <w:jc w:val="left"/>
        <w:rPr>
          <w:rFonts w:ascii="仿宋_GB2312" w:hAnsi="仿宋_GB2312" w:eastAsia="仿宋_GB2312" w:cs="仿宋_GB2312"/>
          <w:color w:val="000000"/>
          <w:kern w:val="0"/>
          <w:sz w:val="31"/>
          <w:szCs w:val="31"/>
        </w:rPr>
      </w:pPr>
    </w:p>
    <w:p>
      <w:pPr>
        <w:rPr>
          <w:rFonts w:ascii="黑体" w:hAnsi="黑体" w:eastAsia="黑体"/>
          <w:color w:val="000000"/>
          <w:kern w:val="0"/>
          <w:szCs w:val="32"/>
        </w:rPr>
      </w:pPr>
    </w:p>
    <w:p>
      <w:pPr>
        <w:widowControl/>
        <w:jc w:val="left"/>
        <w:rPr>
          <w:rFonts w:hint="eastAsia" w:ascii="黑体" w:hAnsi="黑体" w:eastAsia="黑体"/>
          <w:color w:val="000000"/>
          <w:kern w:val="0"/>
          <w:sz w:val="32"/>
          <w:szCs w:val="32"/>
          <w:lang w:bidi="ar"/>
        </w:rPr>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pPr>
    </w:p>
    <w:p>
      <w:pPr>
        <w:numPr>
          <w:ilvl w:val="0"/>
          <w:numId w:val="0"/>
        </w:numPr>
        <w:jc w:val="center"/>
        <w:rPr>
          <w:rFonts w:hint="eastAsia"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bCs/>
          <w:color w:val="000000"/>
          <w:kern w:val="0"/>
          <w:sz w:val="36"/>
          <w:szCs w:val="36"/>
          <w:lang w:eastAsia="zh-CN"/>
        </w:rPr>
        <w:t>第四部分</w:t>
      </w:r>
      <w:r>
        <w:rPr>
          <w:rFonts w:hint="eastAsia" w:asciiTheme="majorEastAsia" w:hAnsiTheme="majorEastAsia" w:eastAsiaTheme="majorEastAsia" w:cstheme="majorEastAsia"/>
          <w:b/>
          <w:bCs/>
          <w:color w:val="000000"/>
          <w:kern w:val="0"/>
          <w:sz w:val="36"/>
          <w:szCs w:val="36"/>
        </w:rPr>
        <w:t>专业名词解释</w:t>
      </w:r>
    </w:p>
    <w:p>
      <w:pPr>
        <w:numPr>
          <w:ilvl w:val="0"/>
          <w:numId w:val="0"/>
        </w:numPr>
        <w:jc w:val="center"/>
        <w:rPr>
          <w:rFonts w:hint="eastAsia"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调整预算数：</w:t>
      </w:r>
      <w:r>
        <w:rPr>
          <w:rFonts w:hint="eastAsia" w:ascii="仿宋_GB2312" w:hAnsi="宋体" w:eastAsia="仿宋_GB2312"/>
          <w:bCs/>
          <w:sz w:val="32"/>
          <w:szCs w:val="32"/>
          <w:highlight w:val="none"/>
        </w:rPr>
        <w:t>填列经调整后的全年预算数，包括年初预算数和预算调增调减数</w:t>
      </w:r>
      <w:r>
        <w:rPr>
          <w:rFonts w:hint="eastAsia" w:ascii="仿宋_GB2312" w:eastAsia="仿宋_GB2312"/>
          <w:bCs/>
          <w:sz w:val="32"/>
          <w:szCs w:val="32"/>
          <w:highlight w:val="none"/>
        </w:rPr>
        <w:t>，即：调整预算数＝年初预算数＋预算调增数－预算调减数</w:t>
      </w:r>
      <w:r>
        <w:rPr>
          <w:rFonts w:hint="eastAsia" w:ascii="仿宋_GB2312" w:hAnsi="宋体" w:eastAsia="仿宋_GB2312"/>
          <w:bCs/>
          <w:sz w:val="32"/>
          <w:szCs w:val="32"/>
          <w:highlight w:val="none"/>
        </w:rPr>
        <w:t>。</w:t>
      </w:r>
    </w:p>
    <w:p>
      <w:pPr>
        <w:widowControl/>
        <w:ind w:firstLine="620" w:firstLineChars="200"/>
        <w:jc w:val="left"/>
        <w:rPr>
          <w:rFonts w:hint="eastAsia" w:ascii="仿宋_GB2312" w:hAnsi="仿宋_GB2312" w:eastAsia="仿宋_GB2312" w:cs="仿宋_GB2312"/>
          <w:color w:val="000000"/>
          <w:kern w:val="0"/>
          <w:sz w:val="31"/>
          <w:szCs w:val="31"/>
          <w:highlight w:val="yellow"/>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AC9976CA"/>
    <w:multiLevelType w:val="singleLevel"/>
    <w:tmpl w:val="AC9976CA"/>
    <w:lvl w:ilvl="0" w:tentative="0">
      <w:start w:val="1"/>
      <w:numFmt w:val="chineseCounting"/>
      <w:suff w:val="nothing"/>
      <w:lvlText w:val="%1、"/>
      <w:lvlJc w:val="left"/>
      <w:rPr>
        <w:rFonts w:hint="eastAsia"/>
      </w:rPr>
    </w:lvl>
  </w:abstractNum>
  <w:abstractNum w:abstractNumId="2">
    <w:nsid w:val="D665AF33"/>
    <w:multiLevelType w:val="singleLevel"/>
    <w:tmpl w:val="D665AF33"/>
    <w:lvl w:ilvl="0" w:tentative="0">
      <w:start w:val="2"/>
      <w:numFmt w:val="decimal"/>
      <w:suff w:val="nothing"/>
      <w:lvlText w:val="%1、"/>
      <w:lvlJc w:val="left"/>
    </w:lvl>
  </w:abstractNum>
  <w:abstractNum w:abstractNumId="3">
    <w:nsid w:val="04B89E88"/>
    <w:multiLevelType w:val="singleLevel"/>
    <w:tmpl w:val="04B89E88"/>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BA2351"/>
    <w:rsid w:val="00CA3659"/>
    <w:rsid w:val="00D44852"/>
    <w:rsid w:val="010E3361"/>
    <w:rsid w:val="01496956"/>
    <w:rsid w:val="01840A76"/>
    <w:rsid w:val="019001DE"/>
    <w:rsid w:val="01E73B91"/>
    <w:rsid w:val="03A7089C"/>
    <w:rsid w:val="04427FDC"/>
    <w:rsid w:val="047F1934"/>
    <w:rsid w:val="04DB464C"/>
    <w:rsid w:val="052B0D39"/>
    <w:rsid w:val="068B7849"/>
    <w:rsid w:val="07292B29"/>
    <w:rsid w:val="07422AC4"/>
    <w:rsid w:val="07620FFC"/>
    <w:rsid w:val="07B61C44"/>
    <w:rsid w:val="08134E54"/>
    <w:rsid w:val="08586301"/>
    <w:rsid w:val="086C1E64"/>
    <w:rsid w:val="093E0634"/>
    <w:rsid w:val="09F56D6B"/>
    <w:rsid w:val="0A557F81"/>
    <w:rsid w:val="0BA7522A"/>
    <w:rsid w:val="0C1A0E9F"/>
    <w:rsid w:val="0C2C1F1F"/>
    <w:rsid w:val="0C2D7704"/>
    <w:rsid w:val="0D0C2BC4"/>
    <w:rsid w:val="0DBA6E85"/>
    <w:rsid w:val="0DC72692"/>
    <w:rsid w:val="0E2B5C83"/>
    <w:rsid w:val="0EC368FB"/>
    <w:rsid w:val="0ECE423F"/>
    <w:rsid w:val="0EF5200E"/>
    <w:rsid w:val="102B6DF1"/>
    <w:rsid w:val="108A1744"/>
    <w:rsid w:val="120E784D"/>
    <w:rsid w:val="12184E79"/>
    <w:rsid w:val="125446B0"/>
    <w:rsid w:val="12743218"/>
    <w:rsid w:val="13753E1B"/>
    <w:rsid w:val="14051B42"/>
    <w:rsid w:val="14174CED"/>
    <w:rsid w:val="15916C1F"/>
    <w:rsid w:val="15A45915"/>
    <w:rsid w:val="167953BB"/>
    <w:rsid w:val="16921B06"/>
    <w:rsid w:val="16A014C0"/>
    <w:rsid w:val="178E4E9E"/>
    <w:rsid w:val="18281798"/>
    <w:rsid w:val="18634A0D"/>
    <w:rsid w:val="18BC4DAB"/>
    <w:rsid w:val="18E20488"/>
    <w:rsid w:val="191A102A"/>
    <w:rsid w:val="19DA40E6"/>
    <w:rsid w:val="1A6178A4"/>
    <w:rsid w:val="1A913AE8"/>
    <w:rsid w:val="1AF22409"/>
    <w:rsid w:val="1B055B6B"/>
    <w:rsid w:val="1B9848CA"/>
    <w:rsid w:val="1C4B6145"/>
    <w:rsid w:val="1CC315DB"/>
    <w:rsid w:val="1CE3522D"/>
    <w:rsid w:val="1D8B0C78"/>
    <w:rsid w:val="1E6E4C3B"/>
    <w:rsid w:val="1E711180"/>
    <w:rsid w:val="1E7D6429"/>
    <w:rsid w:val="1EB35BBE"/>
    <w:rsid w:val="1F1A1F49"/>
    <w:rsid w:val="1F226BC7"/>
    <w:rsid w:val="1FBA3CD9"/>
    <w:rsid w:val="20B96E79"/>
    <w:rsid w:val="20E506C4"/>
    <w:rsid w:val="20EC1A85"/>
    <w:rsid w:val="220031EB"/>
    <w:rsid w:val="22551999"/>
    <w:rsid w:val="2256467C"/>
    <w:rsid w:val="22C94721"/>
    <w:rsid w:val="23121617"/>
    <w:rsid w:val="23610FD3"/>
    <w:rsid w:val="236267D8"/>
    <w:rsid w:val="23857D2F"/>
    <w:rsid w:val="24171B10"/>
    <w:rsid w:val="24537A42"/>
    <w:rsid w:val="245918C8"/>
    <w:rsid w:val="246B06D0"/>
    <w:rsid w:val="24861FF8"/>
    <w:rsid w:val="256264C3"/>
    <w:rsid w:val="25D8578D"/>
    <w:rsid w:val="262C087E"/>
    <w:rsid w:val="2642696E"/>
    <w:rsid w:val="2660352B"/>
    <w:rsid w:val="27123B51"/>
    <w:rsid w:val="27345405"/>
    <w:rsid w:val="287C13F1"/>
    <w:rsid w:val="288E0A7C"/>
    <w:rsid w:val="28AE71BD"/>
    <w:rsid w:val="28C03F87"/>
    <w:rsid w:val="28DE4025"/>
    <w:rsid w:val="28E71CD7"/>
    <w:rsid w:val="28FB2AB2"/>
    <w:rsid w:val="291A6B42"/>
    <w:rsid w:val="295415FA"/>
    <w:rsid w:val="2A7F5B56"/>
    <w:rsid w:val="2B436799"/>
    <w:rsid w:val="2C1E58CB"/>
    <w:rsid w:val="2C366C63"/>
    <w:rsid w:val="2C8F7948"/>
    <w:rsid w:val="2CF051FA"/>
    <w:rsid w:val="2D38229C"/>
    <w:rsid w:val="2D62741D"/>
    <w:rsid w:val="2D714016"/>
    <w:rsid w:val="2DA368D1"/>
    <w:rsid w:val="2DF854D4"/>
    <w:rsid w:val="2E5A4960"/>
    <w:rsid w:val="2EC53938"/>
    <w:rsid w:val="2F3F7267"/>
    <w:rsid w:val="2F60761D"/>
    <w:rsid w:val="2FA6401C"/>
    <w:rsid w:val="30145F1A"/>
    <w:rsid w:val="30DF4759"/>
    <w:rsid w:val="32370DD4"/>
    <w:rsid w:val="324878CF"/>
    <w:rsid w:val="32E651BA"/>
    <w:rsid w:val="3339709D"/>
    <w:rsid w:val="333C204A"/>
    <w:rsid w:val="337B65D2"/>
    <w:rsid w:val="339F628F"/>
    <w:rsid w:val="33B06F9D"/>
    <w:rsid w:val="34B20E11"/>
    <w:rsid w:val="3504022C"/>
    <w:rsid w:val="350A5D93"/>
    <w:rsid w:val="364876C8"/>
    <w:rsid w:val="364D4C2D"/>
    <w:rsid w:val="3669223E"/>
    <w:rsid w:val="366C12FC"/>
    <w:rsid w:val="368E6AEE"/>
    <w:rsid w:val="37000267"/>
    <w:rsid w:val="373E3750"/>
    <w:rsid w:val="37543EBF"/>
    <w:rsid w:val="390A5D5B"/>
    <w:rsid w:val="39BE5AB2"/>
    <w:rsid w:val="3AFB7F86"/>
    <w:rsid w:val="3B0C2B2C"/>
    <w:rsid w:val="3BFC6DCC"/>
    <w:rsid w:val="3C067D8D"/>
    <w:rsid w:val="3C446E8B"/>
    <w:rsid w:val="3C7A6DAB"/>
    <w:rsid w:val="3D380F19"/>
    <w:rsid w:val="3D4E2733"/>
    <w:rsid w:val="3D904069"/>
    <w:rsid w:val="3DB01CC2"/>
    <w:rsid w:val="3DFE4303"/>
    <w:rsid w:val="3E3479B1"/>
    <w:rsid w:val="3FCA23EC"/>
    <w:rsid w:val="40871E38"/>
    <w:rsid w:val="40F47067"/>
    <w:rsid w:val="40FC2E83"/>
    <w:rsid w:val="417D5674"/>
    <w:rsid w:val="41942E54"/>
    <w:rsid w:val="41D37F20"/>
    <w:rsid w:val="424D60E4"/>
    <w:rsid w:val="42CA334E"/>
    <w:rsid w:val="42DF3ED1"/>
    <w:rsid w:val="42FA4769"/>
    <w:rsid w:val="433A1366"/>
    <w:rsid w:val="43BC1030"/>
    <w:rsid w:val="43BF7D37"/>
    <w:rsid w:val="4447106E"/>
    <w:rsid w:val="44786400"/>
    <w:rsid w:val="46F82343"/>
    <w:rsid w:val="47964FBE"/>
    <w:rsid w:val="47A141F9"/>
    <w:rsid w:val="482E2C6E"/>
    <w:rsid w:val="483865C5"/>
    <w:rsid w:val="48F12D42"/>
    <w:rsid w:val="49616AEF"/>
    <w:rsid w:val="49915349"/>
    <w:rsid w:val="499F3A6E"/>
    <w:rsid w:val="49DB26F6"/>
    <w:rsid w:val="49EA6175"/>
    <w:rsid w:val="4A1752A2"/>
    <w:rsid w:val="4A583C8E"/>
    <w:rsid w:val="4AB663FF"/>
    <w:rsid w:val="4AC94221"/>
    <w:rsid w:val="4B18398F"/>
    <w:rsid w:val="4B1D404D"/>
    <w:rsid w:val="4BCF243C"/>
    <w:rsid w:val="4C8F1C6B"/>
    <w:rsid w:val="4DAC3D0C"/>
    <w:rsid w:val="4E1826EB"/>
    <w:rsid w:val="502162E1"/>
    <w:rsid w:val="50446E39"/>
    <w:rsid w:val="50C46A00"/>
    <w:rsid w:val="50C62B98"/>
    <w:rsid w:val="51AA47B2"/>
    <w:rsid w:val="51C1525F"/>
    <w:rsid w:val="52375730"/>
    <w:rsid w:val="52AB01D7"/>
    <w:rsid w:val="52AC7AB3"/>
    <w:rsid w:val="532511AB"/>
    <w:rsid w:val="54207C4C"/>
    <w:rsid w:val="54330418"/>
    <w:rsid w:val="544D3043"/>
    <w:rsid w:val="547A00B5"/>
    <w:rsid w:val="549B50D7"/>
    <w:rsid w:val="554338AE"/>
    <w:rsid w:val="555C235D"/>
    <w:rsid w:val="561550C1"/>
    <w:rsid w:val="569C2D6B"/>
    <w:rsid w:val="572016AE"/>
    <w:rsid w:val="57E3761C"/>
    <w:rsid w:val="58E26FD5"/>
    <w:rsid w:val="59477A05"/>
    <w:rsid w:val="596D661C"/>
    <w:rsid w:val="59836C48"/>
    <w:rsid w:val="59863F9A"/>
    <w:rsid w:val="59C246B5"/>
    <w:rsid w:val="5A610FED"/>
    <w:rsid w:val="5AD32C36"/>
    <w:rsid w:val="5BF2798D"/>
    <w:rsid w:val="5C252D34"/>
    <w:rsid w:val="5C8073CA"/>
    <w:rsid w:val="5C85137D"/>
    <w:rsid w:val="5D7B77BF"/>
    <w:rsid w:val="5DB5053D"/>
    <w:rsid w:val="5DBC131F"/>
    <w:rsid w:val="5DF34FA9"/>
    <w:rsid w:val="5E483364"/>
    <w:rsid w:val="5E7E3630"/>
    <w:rsid w:val="5F5027A5"/>
    <w:rsid w:val="5F993378"/>
    <w:rsid w:val="5FE23887"/>
    <w:rsid w:val="604B4D81"/>
    <w:rsid w:val="6151303A"/>
    <w:rsid w:val="618A6433"/>
    <w:rsid w:val="625B2DA2"/>
    <w:rsid w:val="62A476F7"/>
    <w:rsid w:val="636A5BE2"/>
    <w:rsid w:val="63DE57CC"/>
    <w:rsid w:val="6516448E"/>
    <w:rsid w:val="65706DA4"/>
    <w:rsid w:val="65A413E3"/>
    <w:rsid w:val="664C1E33"/>
    <w:rsid w:val="671E745B"/>
    <w:rsid w:val="68777ACE"/>
    <w:rsid w:val="692B7805"/>
    <w:rsid w:val="696473D9"/>
    <w:rsid w:val="6977251D"/>
    <w:rsid w:val="697876A2"/>
    <w:rsid w:val="69A157A9"/>
    <w:rsid w:val="6A083357"/>
    <w:rsid w:val="6A103D54"/>
    <w:rsid w:val="6AF21D88"/>
    <w:rsid w:val="6B3B79EC"/>
    <w:rsid w:val="6C875E70"/>
    <w:rsid w:val="6CAD3A0C"/>
    <w:rsid w:val="6DA778AD"/>
    <w:rsid w:val="6E780B40"/>
    <w:rsid w:val="6EAC6681"/>
    <w:rsid w:val="6EB546C3"/>
    <w:rsid w:val="6F094735"/>
    <w:rsid w:val="6F4F2D6C"/>
    <w:rsid w:val="70D566CD"/>
    <w:rsid w:val="70EA4662"/>
    <w:rsid w:val="71840673"/>
    <w:rsid w:val="72647864"/>
    <w:rsid w:val="72856C98"/>
    <w:rsid w:val="72CC2CB1"/>
    <w:rsid w:val="72E47E81"/>
    <w:rsid w:val="73187FC2"/>
    <w:rsid w:val="73431FE5"/>
    <w:rsid w:val="746F6D53"/>
    <w:rsid w:val="74F620C5"/>
    <w:rsid w:val="7594634B"/>
    <w:rsid w:val="75A045C2"/>
    <w:rsid w:val="75B86FF9"/>
    <w:rsid w:val="76055025"/>
    <w:rsid w:val="760A19E3"/>
    <w:rsid w:val="76301274"/>
    <w:rsid w:val="76304D9E"/>
    <w:rsid w:val="7687055C"/>
    <w:rsid w:val="76D06209"/>
    <w:rsid w:val="76DF5587"/>
    <w:rsid w:val="77285EAB"/>
    <w:rsid w:val="778B0394"/>
    <w:rsid w:val="77C43856"/>
    <w:rsid w:val="788212B9"/>
    <w:rsid w:val="791C4BA8"/>
    <w:rsid w:val="792E62B7"/>
    <w:rsid w:val="79861760"/>
    <w:rsid w:val="79DA500A"/>
    <w:rsid w:val="7A7921D3"/>
    <w:rsid w:val="7A9354C5"/>
    <w:rsid w:val="7B465659"/>
    <w:rsid w:val="7B6D5E4A"/>
    <w:rsid w:val="7C6417C2"/>
    <w:rsid w:val="7CC00C24"/>
    <w:rsid w:val="7D91393A"/>
    <w:rsid w:val="7E4158D1"/>
    <w:rsid w:val="7E8C0663"/>
    <w:rsid w:val="7F203382"/>
    <w:rsid w:val="7F8F0E05"/>
    <w:rsid w:val="7FFF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简体" w:cs="Times New Roman"/>
      <w:kern w:val="2"/>
      <w:sz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880" w:firstLineChars="200"/>
    </w:pPr>
  </w:style>
  <w:style w:type="paragraph" w:styleId="3">
    <w:name w:val="Plain Text"/>
    <w:basedOn w:val="1"/>
    <w:qFormat/>
    <w:uiPriority w:val="0"/>
    <w:rPr>
      <w:rFonts w:ascii="宋体" w:hAnsi="Courier New" w:eastAsia="宋体"/>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5"/>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font11"/>
    <w:basedOn w:val="9"/>
    <w:qFormat/>
    <w:uiPriority w:val="0"/>
    <w:rPr>
      <w:rFonts w:hint="eastAsia" w:ascii="宋体" w:hAnsi="宋体" w:eastAsia="宋体" w:cs="宋体"/>
      <w:b/>
      <w:color w:val="000000"/>
      <w:sz w:val="32"/>
      <w:szCs w:val="32"/>
      <w:u w:val="none"/>
    </w:rPr>
  </w:style>
  <w:style w:type="character" w:customStyle="1" w:styleId="12">
    <w:name w:val="font91"/>
    <w:basedOn w:val="9"/>
    <w:qFormat/>
    <w:uiPriority w:val="0"/>
    <w:rPr>
      <w:rFonts w:hint="eastAsia" w:ascii="宋体" w:hAnsi="宋体" w:eastAsia="宋体" w:cs="宋体"/>
      <w:color w:val="000000"/>
      <w:sz w:val="32"/>
      <w:szCs w:val="32"/>
      <w:u w:val="none"/>
    </w:rPr>
  </w:style>
  <w:style w:type="character" w:customStyle="1" w:styleId="13">
    <w:name w:val="font51"/>
    <w:basedOn w:val="9"/>
    <w:qFormat/>
    <w:uiPriority w:val="0"/>
    <w:rPr>
      <w:rFonts w:hint="eastAsia" w:ascii="宋体" w:hAnsi="宋体" w:eastAsia="宋体" w:cs="宋体"/>
      <w:color w:val="000000"/>
      <w:sz w:val="20"/>
      <w:szCs w:val="20"/>
      <w:u w:val="none"/>
    </w:rPr>
  </w:style>
  <w:style w:type="character" w:customStyle="1" w:styleId="14">
    <w:name w:val="font101"/>
    <w:basedOn w:val="9"/>
    <w:qFormat/>
    <w:uiPriority w:val="0"/>
    <w:rPr>
      <w:rFonts w:hint="eastAsia" w:ascii="宋体" w:hAnsi="宋体" w:eastAsia="宋体" w:cs="宋体"/>
      <w:color w:val="000000"/>
      <w:sz w:val="20"/>
      <w:szCs w:val="20"/>
      <w:u w:val="none"/>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112"/>
    <w:basedOn w:val="9"/>
    <w:qFormat/>
    <w:uiPriority w:val="0"/>
    <w:rPr>
      <w:rFonts w:hint="eastAsia" w:ascii="宋体" w:hAnsi="宋体" w:eastAsia="宋体" w:cs="宋体"/>
      <w:color w:val="000000"/>
      <w:sz w:val="20"/>
      <w:szCs w:val="20"/>
      <w:u w:val="none"/>
    </w:rPr>
  </w:style>
  <w:style w:type="character" w:customStyle="1" w:styleId="17">
    <w:name w:val="font61"/>
    <w:basedOn w:val="9"/>
    <w:qFormat/>
    <w:uiPriority w:val="0"/>
    <w:rPr>
      <w:rFonts w:hint="eastAsia" w:ascii="宋体" w:hAnsi="宋体" w:eastAsia="宋体" w:cs="宋体"/>
      <w:color w:val="000000"/>
      <w:sz w:val="24"/>
      <w:szCs w:val="24"/>
      <w:u w:val="none"/>
    </w:rPr>
  </w:style>
  <w:style w:type="character" w:customStyle="1" w:styleId="18">
    <w:name w:val="font31"/>
    <w:basedOn w:val="9"/>
    <w:qFormat/>
    <w:uiPriority w:val="0"/>
    <w:rPr>
      <w:rFonts w:hint="eastAsia" w:ascii="宋体" w:hAnsi="宋体" w:eastAsia="宋体" w:cs="宋体"/>
      <w:color w:val="000000"/>
      <w:sz w:val="20"/>
      <w:szCs w:val="20"/>
      <w:u w:val="none"/>
    </w:rPr>
  </w:style>
  <w:style w:type="character" w:customStyle="1" w:styleId="19">
    <w:name w:val="font71"/>
    <w:basedOn w:val="9"/>
    <w:qFormat/>
    <w:uiPriority w:val="0"/>
    <w:rPr>
      <w:rFonts w:hint="eastAsia" w:ascii="宋体" w:hAnsi="宋体" w:eastAsia="宋体" w:cs="宋体"/>
      <w:color w:val="000000"/>
      <w:sz w:val="20"/>
      <w:szCs w:val="20"/>
      <w:u w:val="none"/>
    </w:rPr>
  </w:style>
  <w:style w:type="character" w:customStyle="1" w:styleId="20">
    <w:name w:val="font0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体育场人员表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事业在职人员</c:v>
                </c:pt>
                <c:pt idx="1">
                  <c:v>事业退休人员</c:v>
                </c:pt>
              </c:strCache>
            </c:strRef>
          </c:cat>
          <c:val>
            <c:numRef>
              <c:f>Sheet1!$B$2:$B$5</c:f>
              <c:numCache>
                <c:formatCode>General</c:formatCode>
                <c:ptCount val="4"/>
                <c:pt idx="0">
                  <c:v>7</c:v>
                </c:pt>
                <c:pt idx="1">
                  <c:v>7</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事业在职人员</c:v>
                </c:pt>
                <c:pt idx="1">
                  <c:v>事业退休人员</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事业在职人员</c:v>
                </c:pt>
                <c:pt idx="1">
                  <c:v>事业退休人员</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57414400"/>
        <c:axId val="86299008"/>
      </c:barChart>
      <c:catAx>
        <c:axId val="5741440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299008"/>
        <c:crosses val="autoZero"/>
        <c:auto val="1"/>
        <c:lblAlgn val="ctr"/>
        <c:lblOffset val="100"/>
        <c:noMultiLvlLbl val="0"/>
      </c:catAx>
      <c:valAx>
        <c:axId val="862990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4144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78861007930225"/>
          <c:y val="0.0538951494365507"/>
          <c:w val="0.905939003311677"/>
          <c:h val="0.765858175126444"/>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2019年收入</c:v>
                </c:pt>
                <c:pt idx="1">
                  <c:v>2020年收入</c:v>
                </c:pt>
              </c:strCache>
            </c:strRef>
          </c:cat>
          <c:val>
            <c:numRef>
              <c:f>Sheet1!$B$2:$B$3</c:f>
              <c:numCache>
                <c:formatCode>General</c:formatCode>
                <c:ptCount val="2"/>
                <c:pt idx="0">
                  <c:v>151.52</c:v>
                </c:pt>
                <c:pt idx="1">
                  <c:v>127.13</c:v>
                </c:pt>
              </c:numCache>
            </c:numRef>
          </c:val>
        </c:ser>
        <c:dLbls>
          <c:showLegendKey val="0"/>
          <c:showVal val="0"/>
          <c:showCatName val="0"/>
          <c:showSerName val="0"/>
          <c:showPercent val="0"/>
          <c:showBubbleSize val="0"/>
        </c:dLbls>
        <c:gapWidth val="150"/>
        <c:axId val="123670912"/>
        <c:axId val="131617920"/>
      </c:barChart>
      <c:lineChart>
        <c:grouping val="standard"/>
        <c:varyColors val="0"/>
        <c:ser>
          <c:idx val="1"/>
          <c:order val="1"/>
          <c:tx>
            <c:strRef>
              <c:f>Sheet1!$C$1</c:f>
              <c:strCache>
                <c:ptCount val="1"/>
                <c:pt idx="0">
                  <c:v/>
                </c:pt>
              </c:strCache>
            </c:strRef>
          </c:tx>
          <c:spPr>
            <a:ln w="28575" cap="rnd" cmpd="sng" algn="ctr">
              <a:solidFill>
                <a:schemeClr val="accent2"/>
              </a:solidFill>
              <a:prstDash val="solid"/>
              <a:round/>
            </a:ln>
            <a:effectLst/>
          </c:spPr>
          <c:marker>
            <c:symbol val="none"/>
          </c:marker>
          <c:dLbls>
            <c:delete val="1"/>
          </c:dLbls>
          <c:cat>
            <c:strRef>
              <c:f>Sheet1!$A$2:$A$3</c:f>
              <c:strCache>
                <c:ptCount val="2"/>
                <c:pt idx="0">
                  <c:v>2019年收入</c:v>
                </c:pt>
                <c:pt idx="1">
                  <c:v>2020年收入</c:v>
                </c:pt>
              </c:strCache>
            </c:strRef>
          </c:cat>
          <c:val>
            <c:numRef>
              <c:f>Sheet1!$C$2:$C$3</c:f>
              <c:numCache>
                <c:formatCode>General</c:formatCode>
                <c:ptCount val="2"/>
              </c:numCache>
            </c:numRef>
          </c:val>
          <c:smooth val="0"/>
        </c:ser>
        <c:dLbls>
          <c:showLegendKey val="0"/>
          <c:showVal val="0"/>
          <c:showCatName val="0"/>
          <c:showSerName val="0"/>
          <c:showPercent val="0"/>
          <c:showBubbleSize val="0"/>
        </c:dLbls>
        <c:marker val="0"/>
        <c:smooth val="0"/>
        <c:axId val="123670912"/>
        <c:axId val="131617920"/>
      </c:lineChart>
      <c:catAx>
        <c:axId val="12367091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1617920"/>
        <c:crosses val="autoZero"/>
        <c:auto val="1"/>
        <c:lblAlgn val="ctr"/>
        <c:lblOffset val="100"/>
        <c:noMultiLvlLbl val="0"/>
      </c:catAx>
      <c:valAx>
        <c:axId val="1316179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6709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2019年支出</c:v>
                </c:pt>
                <c:pt idx="1">
                  <c:v>2020年支出</c:v>
                </c:pt>
              </c:strCache>
            </c:strRef>
          </c:cat>
          <c:val>
            <c:numRef>
              <c:f>Sheet1!$B$2:$B$3</c:f>
              <c:numCache>
                <c:formatCode>General</c:formatCode>
                <c:ptCount val="2"/>
                <c:pt idx="0">
                  <c:v>151.52</c:v>
                </c:pt>
                <c:pt idx="1">
                  <c:v>127.13</c:v>
                </c:pt>
              </c:numCache>
            </c:numRef>
          </c:val>
        </c:ser>
        <c:dLbls>
          <c:showLegendKey val="0"/>
          <c:showVal val="0"/>
          <c:showCatName val="0"/>
          <c:showSerName val="0"/>
          <c:showPercent val="0"/>
          <c:showBubbleSize val="0"/>
        </c:dLbls>
        <c:gapWidth val="150"/>
        <c:axId val="131778048"/>
        <c:axId val="131779584"/>
      </c:barChart>
      <c:lineChart>
        <c:grouping val="standard"/>
        <c:varyColors val="0"/>
        <c:ser>
          <c:idx val="1"/>
          <c:order val="1"/>
          <c:tx>
            <c:strRef>
              <c:f>Sheet1!$C$1</c:f>
              <c:strCache>
                <c:ptCount val="1"/>
                <c:pt idx="0">
                  <c:v/>
                </c:pt>
              </c:strCache>
            </c:strRef>
          </c:tx>
          <c:spPr>
            <a:ln w="28575" cap="rnd" cmpd="sng" algn="ctr">
              <a:solidFill>
                <a:schemeClr val="accent2"/>
              </a:solidFill>
              <a:prstDash val="solid"/>
              <a:round/>
            </a:ln>
            <a:effectLst/>
          </c:spPr>
          <c:marker>
            <c:symbol val="none"/>
          </c:marker>
          <c:dLbls>
            <c:delete val="1"/>
          </c:dLbls>
          <c:cat>
            <c:strRef>
              <c:f>Sheet1!$A$2:$A$3</c:f>
              <c:strCache>
                <c:ptCount val="2"/>
                <c:pt idx="0">
                  <c:v>2019年支出</c:v>
                </c:pt>
                <c:pt idx="1">
                  <c:v>2020年支出</c:v>
                </c:pt>
              </c:strCache>
            </c:strRef>
          </c:cat>
          <c:val>
            <c:numRef>
              <c:f>Sheet1!$C$2:$C$3</c:f>
              <c:numCache>
                <c:formatCode>General</c:formatCode>
                <c:ptCount val="2"/>
              </c:numCache>
            </c:numRef>
          </c:val>
          <c:smooth val="0"/>
        </c:ser>
        <c:dLbls>
          <c:showLegendKey val="0"/>
          <c:showVal val="0"/>
          <c:showCatName val="0"/>
          <c:showSerName val="0"/>
          <c:showPercent val="0"/>
          <c:showBubbleSize val="0"/>
        </c:dLbls>
        <c:marker val="0"/>
        <c:smooth val="0"/>
        <c:axId val="131778048"/>
        <c:axId val="131779584"/>
      </c:lineChart>
      <c:catAx>
        <c:axId val="1317780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1779584"/>
        <c:crosses val="autoZero"/>
        <c:auto val="1"/>
        <c:lblAlgn val="ctr"/>
        <c:lblOffset val="100"/>
        <c:noMultiLvlLbl val="0"/>
      </c:catAx>
      <c:valAx>
        <c:axId val="1317795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1778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2020年体育场收入</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基本收入</c:v>
                </c:pt>
              </c:strCache>
            </c:strRef>
          </c:cat>
          <c:val>
            <c:numRef>
              <c:f>Sheet1!$B$2:$B$5</c:f>
              <c:numCache>
                <c:formatCode>General</c:formatCode>
                <c:ptCount val="4"/>
                <c:pt idx="0">
                  <c:v>127.13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2020年体育场支出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基本支出</c:v>
                </c:pt>
              </c:strCache>
            </c:strRef>
          </c:cat>
          <c:val>
            <c:numRef>
              <c:f>Sheet1!$B$2:$B$5</c:f>
              <c:numCache>
                <c:formatCode>General</c:formatCode>
                <c:ptCount val="4"/>
                <c:pt idx="0">
                  <c:v>127.13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收入对比表</a:t>
            </a: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2019年收入151.52</c:v>
                </c:pt>
                <c:pt idx="1">
                  <c:v>2020年收入</c:v>
                </c:pt>
              </c:strCache>
            </c:strRef>
          </c:cat>
          <c:val>
            <c:numRef>
              <c:f>Sheet1!$B$2:$B$5</c:f>
              <c:numCache>
                <c:formatCode>General</c:formatCode>
                <c:ptCount val="4"/>
                <c:pt idx="0">
                  <c:v>151.52</c:v>
                </c:pt>
                <c:pt idx="1">
                  <c:v>127.13</c:v>
                </c:pt>
              </c:numCache>
            </c:numRef>
          </c:val>
        </c:ser>
        <c:ser>
          <c:idx val="1"/>
          <c:order val="1"/>
          <c:tx>
            <c:strRef>
              <c:f>Sheet1!$C$1</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2019年收入151.52</c:v>
                </c:pt>
                <c:pt idx="1">
                  <c:v>2020年收入</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2019年收入151.52</c:v>
                </c:pt>
                <c:pt idx="1">
                  <c:v>2020年收入</c:v>
                </c:pt>
              </c:strCache>
            </c:strRef>
          </c:cat>
          <c:val>
            <c:numRef>
              <c:f>Sheet1!$D$2:$D$5</c:f>
              <c:numCache>
                <c:formatCode>General</c:formatCode>
                <c:ptCount val="4"/>
              </c:numCache>
            </c:numRef>
          </c:val>
        </c:ser>
        <c:dLbls>
          <c:showLegendKey val="0"/>
          <c:showVal val="1"/>
          <c:showCatName val="0"/>
          <c:showSerName val="0"/>
          <c:showPercent val="0"/>
          <c:showBubbleSize val="0"/>
        </c:dLbls>
        <c:gapWidth val="150"/>
        <c:overlap val="100"/>
        <c:axId val="86506880"/>
        <c:axId val="87233664"/>
      </c:barChart>
      <c:catAx>
        <c:axId val="8650688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233664"/>
        <c:crosses val="autoZero"/>
        <c:auto val="1"/>
        <c:lblAlgn val="ctr"/>
        <c:lblOffset val="100"/>
        <c:noMultiLvlLbl val="0"/>
      </c:catAx>
      <c:valAx>
        <c:axId val="872336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50688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支出对比表</a:t>
            </a: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2019年支出</c:v>
                </c:pt>
                <c:pt idx="1">
                  <c:v>2020年支出</c:v>
                </c:pt>
              </c:strCache>
            </c:strRef>
          </c:cat>
          <c:val>
            <c:numRef>
              <c:f>Sheet1!$B$2:$B$5</c:f>
              <c:numCache>
                <c:formatCode>General</c:formatCode>
                <c:ptCount val="4"/>
                <c:pt idx="0">
                  <c:v>151.52</c:v>
                </c:pt>
                <c:pt idx="1">
                  <c:v>127.13</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2019年支出</c:v>
                </c:pt>
                <c:pt idx="1">
                  <c:v>2020年支出</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2019年支出</c:v>
                </c:pt>
                <c:pt idx="1">
                  <c:v>2020年支出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86309120"/>
        <c:axId val="86482944"/>
      </c:barChart>
      <c:catAx>
        <c:axId val="8630912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482944"/>
        <c:crosses val="autoZero"/>
        <c:auto val="1"/>
        <c:lblAlgn val="ctr"/>
        <c:lblOffset val="100"/>
        <c:noMultiLvlLbl val="0"/>
      </c:catAx>
      <c:valAx>
        <c:axId val="864829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091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体育场2020年支出</c:v>
                </c:pt>
              </c:strCache>
            </c:strRef>
          </c:tx>
          <c:spPr>
            <a:solidFill>
              <a:schemeClr val="accent1"/>
            </a:solidFill>
            <a:ln>
              <a:noFill/>
            </a:ln>
            <a:effectLst/>
          </c:spPr>
          <c:invertIfNegative val="0"/>
          <c:dLbls>
            <c:delete val="1"/>
          </c:dLbls>
          <c:cat>
            <c:strRef>
              <c:f>Sheet1!$A$2:$A$5</c:f>
              <c:strCache>
                <c:ptCount val="4"/>
                <c:pt idx="0">
                  <c:v>2019年支出</c:v>
                </c:pt>
                <c:pt idx="1">
                  <c:v>2020年支出</c:v>
                </c:pt>
              </c:strCache>
            </c:strRef>
          </c:cat>
          <c:val>
            <c:numRef>
              <c:f>Sheet1!$B$2:$B$5</c:f>
              <c:numCache>
                <c:formatCode>General</c:formatCode>
                <c:ptCount val="4"/>
                <c:pt idx="0">
                  <c:v>151.52</c:v>
                </c:pt>
                <c:pt idx="1">
                  <c:v>127.13</c:v>
                </c:pt>
              </c:numCache>
            </c:numRef>
          </c:val>
        </c:ser>
        <c:dLbls>
          <c:showLegendKey val="0"/>
          <c:showVal val="0"/>
          <c:showCatName val="0"/>
          <c:showSerName val="0"/>
          <c:showPercent val="0"/>
          <c:showBubbleSize val="0"/>
        </c:dLbls>
        <c:gapWidth val="150"/>
        <c:overlap val="100"/>
        <c:axId val="86490496"/>
        <c:axId val="87258240"/>
      </c:barChart>
      <c:catAx>
        <c:axId val="8649049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258240"/>
        <c:crosses val="autoZero"/>
        <c:auto val="1"/>
        <c:lblAlgn val="ctr"/>
        <c:lblOffset val="100"/>
        <c:noMultiLvlLbl val="0"/>
      </c:catAx>
      <c:valAx>
        <c:axId val="872582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4904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sa</cp:lastModifiedBy>
  <cp:lastPrinted>2021-10-18T05:31:00Z</cp:lastPrinted>
  <dcterms:modified xsi:type="dcterms:W3CDTF">2021-11-05T03:49:07Z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C59B3CA2EF5540999361023A2665CAB7</vt:lpwstr>
  </property>
</Properties>
</file>