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西安市阎良区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妇女联合会</w:t>
      </w:r>
    </w:p>
    <w:p>
      <w:pPr>
        <w:spacing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年部门综合预算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kern w:val="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center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第一部分   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一、部门主要职责及机构设置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二、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年度部门工作任务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三、部门预算单位构成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四、部门人员情况说明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第二部分   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五、202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年部门预算收支说明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第三部分   其他说明情况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六、部门预算“三公”经费等情况说明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七、部门国有资产占有使用及资产购置情况说明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八、部门政府采购情况说明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九、部门预算绩效目标说明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十、机关运行经费安排说明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十一、专业名词解释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第四部分   公开报表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（具体部门预算公开报表）</w:t>
      </w: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第一部分  部门概况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一、部门主要职责及机构设置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（一）部门主要职责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阎良区妇联是区委领导下的人民团体，是党和政府联系妇女群众的桥梁和纽带。基本职能是代表和维护妇女权益，促进男女平等。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1.联系妇女:代表党和政府联系妇女群众，向妇女群众宣传党的方针政策，团结带领广大妇女在航空城建设中发挥积极作用；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2.教育妇女：组织开展各类评优推荐活动，引导妇女自尊、自信、自立、自强，提高素质，培养和教育妇女，全面提高素质，促进妇女全面发展；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3.代表妇女：代表妇女参与社会事务的民主管理、民主监督，关注并加强研究涉及妇女切身利益的热点、难点问题，及时向党委和政府反映社情民意，提出对策和建议,推动妇女儿童发展规划的实施；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4.服务妇女：坚持为妇女儿童服务，为基层服务，加强与社会各界的联系，协调和推动社会各界为妇女儿童办实事、办好事；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5.联谊妇女：依照《中华全国妇女联合会章程》和妇女代表大会任务，开展妇女儿童工作，加强与团体会员的联系，促进各族各界、各行各业妇女的大团结；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6.维护妇女：组织宣传并推动《妇女权益保障法》和各种保障妇女儿童权益的法律、</w:t>
      </w:r>
      <w:r>
        <w:rPr>
          <w:rFonts w:hint="eastAsia" w:ascii="仿宋_GB2312" w:eastAsia="仿宋_GB2312"/>
          <w:sz w:val="32"/>
          <w:szCs w:val="32"/>
        </w:rPr>
        <w:t>法规的全面实施，参与社会综合治理工作，维护妇女儿童的合法权益。</w:t>
      </w:r>
    </w:p>
    <w:p>
      <w:pPr>
        <w:spacing w:line="540" w:lineRule="exact"/>
        <w:ind w:firstLine="643" w:firstLineChars="200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（二）机构设置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无内设机构。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二、</w:t>
      </w:r>
      <w:r>
        <w:rPr>
          <w:rFonts w:hint="eastAsia" w:ascii="黑体" w:hAnsi="黑体" w:eastAsia="黑体" w:cs="仿宋"/>
          <w:bCs/>
          <w:kern w:val="0"/>
          <w:szCs w:val="32"/>
          <w:highlight w:val="none"/>
          <w:lang w:eastAsia="zh-CN"/>
        </w:rPr>
        <w:t>2022</w:t>
      </w: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年度部门工作任务</w:t>
      </w:r>
    </w:p>
    <w:p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2022年，区妇联坚持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围绕中心服务大局，按照区委有号召，妇联有行动，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以引领服务联系为主责，以深化妇联改革为着力点，在服务发展、家庭建设、维权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关爱、党的建设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等方面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力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求突破，全面推动新时代妇联工作高质量发展，为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实现“六个阎良”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贡献巾帼力量。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乡村振兴巾帼行动。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培养巾帼致富骨干，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推荐规模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大、效益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好、示范带动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强的巾帼示范基地，推进巾帼家政、巾帼现代示范农业等特色产业提升。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持续开展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“美丽庭院”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创建活动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争创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市级美丽庭院示范村、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区美丽庭院示范户，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努力营造清洁美丽舒适的人居环境，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促进乡村宜居宜业。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Style w:val="7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发挥家庭家教家风在基层社会治理中的重要作用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推动实施家庭教育促进法，依法强化父母在家庭教育中的主体责任。建立全区家庭教育工作联席会议制度，统筹整合各级家庭教育资源，不断规范家庭教育指导服务工作。发挥好村、社区家长学校作用，探索建立家庭、学校、社区、社会组织协同育人的有效机制。抓住重要节点常态化开展寻找“最美家庭”活动，不断扩大活动覆盖面和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依法依规为妇女儿童全面发展营造良好环境。部署新阶段妇女儿童工作，推进新一轮两个规划启动实施，做好宣传解读、目标任务分解、培训、调研和统计监测等工作，扩大社会影响力和知晓面。深化妇女“两癌”防治宣传，加强贫困妇女“两癌”救助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推进我区妇女儿童民生项目全面实施。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加大法治宣传力度，深化“平安家庭”建设。抓好妇联系统“八五”普法工作，持续开展各类涉及妇女儿童及家庭的普法宣讲。积极参与社会综合治理，不断提升矛盾排查、纠纷调解、心理疏导、法律援助等维权服务水平和工作实效，维护妇女儿童合法权益，助力“平安阎良”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健全基层妇联组织体系，提高妇联组织自身建设水平。推进“破难行动”深入实施，灵活采取单独创建、联合组建、区域联建、行业统建等方式，推动妇联组织网络向新经济组织、新社会组织拓展。加强对妇联干部和各级执委的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培训，提升妇联干部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政治素质和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业务能力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建强妇联工作队伍。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三、部门预算单位构成</w:t>
      </w:r>
    </w:p>
    <w:p>
      <w:pPr>
        <w:pBdr>
          <w:bottom w:val="single" w:color="FFFFFF" w:sz="4" w:space="31"/>
        </w:pBd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从预算单位构成看，本部门为一级预算单位，无二级预算</w:t>
      </w:r>
      <w:r>
        <w:rPr>
          <w:rFonts w:hint="eastAsia" w:ascii="仿宋_GB2312" w:eastAsia="仿宋_GB2312"/>
          <w:sz w:val="32"/>
          <w:szCs w:val="32"/>
        </w:rPr>
        <w:t>单位，部门预算只包括部门本级预算。</w:t>
      </w:r>
    </w:p>
    <w:p>
      <w:pPr>
        <w:numPr>
          <w:ilvl w:val="0"/>
          <w:numId w:val="1"/>
        </w:numPr>
        <w:pBdr>
          <w:bottom w:val="single" w:color="FFFFFF" w:sz="4" w:space="31"/>
        </w:pBd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部门人员情况说明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截止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年底，本部门人员编制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人，其中行政编制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人；实有人员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人，其中行政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人。单位管理的离退休人员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人。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line="240" w:lineRule="auto"/>
        <w:ind w:firstLine="640" w:firstLineChars="200"/>
        <w:jc w:val="left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drawing>
          <wp:inline distT="0" distB="0" distL="114300" distR="114300">
            <wp:extent cx="4552950" cy="2695575"/>
            <wp:effectExtent l="0" t="0" r="0" b="9525"/>
            <wp:docPr id="3" name="图片 3" descr="微信图片_2022042617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4261710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第二部分  收支情况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五、</w:t>
      </w:r>
      <w:r>
        <w:rPr>
          <w:rFonts w:hint="eastAsia" w:ascii="黑体" w:hAnsi="黑体" w:eastAsia="黑体" w:cs="仿宋"/>
          <w:bCs/>
          <w:kern w:val="0"/>
          <w:szCs w:val="32"/>
          <w:highlight w:val="none"/>
          <w:lang w:eastAsia="zh-CN"/>
        </w:rPr>
        <w:t>2022</w:t>
      </w: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年部门预算收支说明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  <w:t>（一）收支预算总体情况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按照综合预算的原则，本部门所有收入和支出均纳入部门预算管理。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年本部门预算收入</w:t>
      </w:r>
      <w:r>
        <w:rPr>
          <w:rFonts w:hint="eastAsia" w:ascii="仿宋_GB2312" w:hAnsi="仿宋" w:eastAsia="仿宋_GB2312" w:cs="仿宋"/>
          <w:color w:val="auto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万元，其中一般公共预算拨款收入</w:t>
      </w:r>
      <w:r>
        <w:rPr>
          <w:rFonts w:hint="eastAsia" w:ascii="仿宋_GB2312" w:hAnsi="仿宋" w:eastAsia="仿宋_GB2312" w:cs="仿宋"/>
          <w:color w:val="auto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万元、政府性基金拨款收入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年本部门预算收入较上年增加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7.34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年本部门预算支出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万元，其中一般公共预算拨款支出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万元、政府性基金拨款支出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年本部门预算支出较上年增加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7.34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  <w:t>财政拨款收支情况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年本部门财政拨款收入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万元，其中一般公共预算拨款收入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万元、政府性基金拨款收入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年本部门财政拨款收入较上年增加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7.34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年本部门财政拨款支出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万元，其中一般公共预算拨款支出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万元、政府性基金拨款支出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年本部门财政拨款支出较上年增加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7.34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  <w:t>（三）一般公共预算拨款支出明细情况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1、一般公共预算当年拨款规模变化情况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年本部门当年一般公共预算拨款支出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7.34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专项业务经费增加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2、支出按功能科目分类的明细情况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年本部门当年一般公共预算支出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万元，其中：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（1）行政运行（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2012901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）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29.55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万元，较上年减少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8.55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今年此科目内不包括住房公积金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（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）一般行政管理事务（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2012902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）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13.8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增加妇女儿童发展规划实施经费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3、支出按经济科目分类的明细情况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（1）按照部门预算支出经济分类的类级科目说明。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年本部门当年一般公共预算支出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工资福利支出（301）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42.43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0.08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人员工资增加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商品和服务支出（302）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18.68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7.26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专项业务经费支出增加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按照政府预算支出经济分类的类级科目说明。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202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年本部门当年一般公共预算支出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万元，其中：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机关工资福利支出（501）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42.43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0.08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人员工资增加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机关商品和服务支出（502）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18.68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7.26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专项业务经费支出增加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4、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eastAsia="zh-CN"/>
        </w:rPr>
        <w:t>上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</w:rPr>
        <w:t>年结转财政资金一般公共预算拨款支出情况。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年结转的一般公共预算拨款资金支出。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  <w:t>（四）政府性基金预算支出情况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1、本部门无当年政府性基金预算收支，并已公开空表。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2、本部门无20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年结转的政府性基金预算拨款支出。</w:t>
      </w:r>
    </w:p>
    <w:p>
      <w:pPr>
        <w:spacing w:line="560" w:lineRule="exact"/>
        <w:ind w:firstLine="643" w:firstLineChars="200"/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  <w:highlight w:val="none"/>
        </w:rPr>
        <w:t>（五）国有资本经营预算拨款收支情况。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本部门无当年国有资本经营预算拨款收支，并在财政拨款收支总体情况表中列示。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年结转的国有资本经营预算拨款支出。</w:t>
      </w: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第三部分  其他说明情况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六、部门预算“三公”经费等预算情况说明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年本部门当年一般公共预算“三公”经费预算支出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0.05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万元（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%），减少的主要原因是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按照“过紧日子”的要求，缩减“三公”经费支出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。其中：因公出国（境）经费0万元，较上年相同；公务接待费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万元，较上年减少0.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万元（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%），减少的主要原因是按照“过紧日子”的要求，缩减“三公”经费支出；公务用车运行费0万元，较上年相同；公务用车购置费0万元，较上年相同。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年结转的财政拨款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“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三公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”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经费支出。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七、部门国有资产占有使用及资产购置情况说明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年结转的财政拨款支出资产购置。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八、政府采购情况说明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年无政府采购预算，并已公开空表。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年结转的政府采购资金支出。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九、部门预算绩效目标说明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2022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年本部门绩效目标管理全覆盖，涉及当年一般公共预算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当年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拨款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61.11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万元,当年政府性基金预算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当年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拨款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万元，当年国有资本经营预算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eastAsia="zh-CN"/>
        </w:rPr>
        <w:t>当年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拨款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万元（详见公开报表中的绩效目标表）。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年结转的财政拨款支出涉及的绩效目标管理。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十、机关运行经费安排说明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本部门当年机关运行经费预算安排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18.68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万元，较上年增加</w:t>
      </w:r>
      <w:r>
        <w:rPr>
          <w:rFonts w:hint="eastAsia" w:ascii="仿宋_GB2312" w:hAnsi="仿宋" w:eastAsia="仿宋_GB2312" w:cs="仿宋"/>
          <w:b w:val="0"/>
          <w:bCs w:val="0"/>
          <w:kern w:val="0"/>
          <w:szCs w:val="32"/>
          <w:highlight w:val="none"/>
          <w:lang w:val="en-US" w:eastAsia="zh-CN"/>
        </w:rPr>
        <w:t>7.26万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元，主要原因是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专项业务经费支出增加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本部门无20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年结转的财政拨款机关运行经费支出。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Cs w:val="32"/>
          <w:highlight w:val="none"/>
        </w:rPr>
        <w:t>十一、专业名词解释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机关运行经费：指各部门的公用经费，包括办公及印刷费、邮电费、差旅费、会议费、福利费、日常维修费、专用材料及一般设备购置费、办公用房水电费、办公用房取暖费、办公用房物业管理费、公务用车运行费以及其他费用。</w:t>
      </w: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仿宋"/>
          <w:bCs/>
          <w:kern w:val="0"/>
          <w:szCs w:val="32"/>
          <w:highlight w:val="none"/>
        </w:rPr>
        <w:t>第四部分  公开报表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（见附件2</w:t>
      </w:r>
      <w:r>
        <w:rPr>
          <w:rFonts w:hint="eastAsia" w:ascii="仿宋_GB2312" w:hAnsi="仿宋" w:eastAsia="仿宋_GB2312" w:cs="仿宋"/>
          <w:kern w:val="0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>内容）</w:t>
      </w:r>
      <w:r>
        <w:rPr>
          <w:rFonts w:hint="eastAsia" w:ascii="仿宋_GB2312" w:hAnsi="仿宋" w:eastAsia="仿宋_GB2312" w:cs="仿宋"/>
          <w:kern w:val="0"/>
          <w:szCs w:val="32"/>
          <w:highlight w:val="none"/>
        </w:rPr>
        <w:tab/>
      </w:r>
    </w:p>
    <w:p>
      <w:pPr>
        <w:spacing w:line="610" w:lineRule="exact"/>
        <w:ind w:firstLine="280" w:firstLineChars="100"/>
        <w:rPr>
          <w:rFonts w:hint="eastAsia" w:ascii="仿宋_GB2312" w:eastAsia="仿宋_GB2312"/>
          <w:sz w:val="28"/>
          <w:szCs w:val="28"/>
          <w:highlight w:val="none"/>
        </w:rPr>
      </w:pPr>
    </w:p>
    <w:p/>
    <w:p/>
    <w:sectPr>
      <w:footerReference r:id="rId3" w:type="default"/>
      <w:footerReference r:id="rId4" w:type="even"/>
      <w:pgSz w:w="11906" w:h="16838"/>
      <w:pgMar w:top="2098" w:right="1531" w:bottom="1984" w:left="1531" w:header="851" w:footer="1588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83" w:wrap="around" w:vAnchor="text" w:hAnchor="page" w:x="8484" w:y="3"/>
      <w:ind w:right="336" w:rightChars="105"/>
      <w:jc w:val="right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214" w:wrap="around" w:vAnchor="text" w:hAnchor="margin" w:xAlign="outside" w:y="3"/>
      <w:ind w:firstLine="364" w:firstLineChars="13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D0877"/>
    <w:multiLevelType w:val="singleLevel"/>
    <w:tmpl w:val="A18D08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4AC4C3"/>
    <w:multiLevelType w:val="singleLevel"/>
    <w:tmpl w:val="0A4AC4C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2A33F4E"/>
    <w:multiLevelType w:val="singleLevel"/>
    <w:tmpl w:val="52A33F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TFkMjRmYzYyMDM3YmMxOTFlYjFiNzJmNmNiYTYifQ=="/>
  </w:docVars>
  <w:rsids>
    <w:rsidRoot w:val="00000000"/>
    <w:rsid w:val="073624F4"/>
    <w:rsid w:val="11114F45"/>
    <w:rsid w:val="1557212A"/>
    <w:rsid w:val="186577D1"/>
    <w:rsid w:val="19632C6F"/>
    <w:rsid w:val="22282443"/>
    <w:rsid w:val="26427A6E"/>
    <w:rsid w:val="27D0455E"/>
    <w:rsid w:val="3F5C06CC"/>
    <w:rsid w:val="41012C90"/>
    <w:rsid w:val="478054AE"/>
    <w:rsid w:val="481865ED"/>
    <w:rsid w:val="4B6D1283"/>
    <w:rsid w:val="4B6E36A9"/>
    <w:rsid w:val="50CC6324"/>
    <w:rsid w:val="6174005B"/>
    <w:rsid w:val="6918784D"/>
    <w:rsid w:val="70F11CD3"/>
    <w:rsid w:val="76B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UserStyle_9"/>
    <w:qFormat/>
    <w:uiPriority w:val="99"/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3291</Words>
  <Characters>3537</Characters>
  <Lines>0</Lines>
  <Paragraphs>0</Paragraphs>
  <TotalTime>5</TotalTime>
  <ScaleCrop>false</ScaleCrop>
  <LinksUpToDate>false</LinksUpToDate>
  <CharactersWithSpaces>3560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2022-04-14T07:58:00Z</dcterms:created>
  <dc:creator>2018.8.16</dc:creator>
  <cp:lastModifiedBy>2018.8.16</cp:lastModifiedBy>
  <dcterms:modified xsi:type="dcterms:W3CDTF">2022-04-27T02:37:41Z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A14D0FEC4DF44070BABA6A50C46A6DE1</vt:lpwstr>
  </property>
</Properties>
</file>