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5"/>
        <w:shd w:val="clear" w:color="auto" w:fill="FFFFFF"/>
        <w:spacing w:before="0" w:beforeAutospacing="0" w:after="0" w:afterAutospacing="0"/>
        <w:jc w:val="center"/>
        <w:rPr>
          <w:rStyle w:val="9"/>
          <w:rFonts w:hint="eastAsia"/>
          <w:sz w:val="36"/>
          <w:szCs w:val="36"/>
        </w:rPr>
      </w:pPr>
    </w:p>
    <w:p>
      <w:pPr>
        <w:pStyle w:val="5"/>
        <w:shd w:val="clear" w:color="auto" w:fill="FFFFFF"/>
        <w:spacing w:before="0" w:beforeAutospacing="0" w:after="0" w:afterAutospacing="0" w:line="520" w:lineRule="exact"/>
        <w:jc w:val="center"/>
        <w:rPr>
          <w:rStyle w:val="9"/>
          <w:rFonts w:hint="eastAsia" w:ascii="方正小标宋简体" w:hAnsi="方正小标宋简体" w:eastAsia="方正小标宋简体" w:cs="方正小标宋简体"/>
          <w:b w:val="0"/>
          <w:bCs w:val="0"/>
          <w:sz w:val="44"/>
          <w:szCs w:val="44"/>
          <w:lang w:val="en-US" w:eastAsia="zh-CN"/>
        </w:rPr>
      </w:pPr>
      <w:r>
        <w:rPr>
          <w:rStyle w:val="9"/>
          <w:rFonts w:hint="eastAsia" w:ascii="方正小标宋简体" w:hAnsi="方正小标宋简体" w:eastAsia="方正小标宋简体" w:cs="方正小标宋简体"/>
          <w:sz w:val="44"/>
          <w:szCs w:val="44"/>
        </w:rPr>
        <w:t>阎良区文化和旅游体育局</w:t>
      </w:r>
      <w:r>
        <w:rPr>
          <w:rStyle w:val="9"/>
          <w:rFonts w:hint="eastAsia" w:ascii="方正小标宋简体" w:hAnsi="方正小标宋简体" w:eastAsia="方正小标宋简体" w:cs="方正小标宋简体"/>
          <w:sz w:val="44"/>
          <w:szCs w:val="44"/>
          <w:lang w:val="en-US" w:eastAsia="zh-CN"/>
        </w:rPr>
        <w:t>(本级）</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color w:val="000000"/>
          <w:sz w:val="44"/>
          <w:szCs w:val="44"/>
        </w:rPr>
        <w:t>20</w:t>
      </w:r>
      <w:r>
        <w:rPr>
          <w:rStyle w:val="9"/>
          <w:rFonts w:hint="eastAsia" w:ascii="方正小标宋简体" w:hAnsi="方正小标宋简体" w:eastAsia="方正小标宋简体" w:cs="方正小标宋简体"/>
          <w:color w:val="000000"/>
          <w:sz w:val="44"/>
          <w:szCs w:val="44"/>
          <w:lang w:val="en-US" w:eastAsia="zh-CN"/>
        </w:rPr>
        <w:t>21</w:t>
      </w:r>
      <w:r>
        <w:rPr>
          <w:rStyle w:val="9"/>
          <w:rFonts w:hint="eastAsia" w:ascii="方正小标宋简体" w:hAnsi="方正小标宋简体" w:eastAsia="方正小标宋简体" w:cs="方正小标宋简体"/>
          <w:color w:val="000000"/>
          <w:sz w:val="44"/>
          <w:szCs w:val="44"/>
        </w:rPr>
        <w:t>年度部门决算</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249" w:firstLineChars="700"/>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highlight w:val="none"/>
          <w:lang w:eastAsia="zh-CN"/>
        </w:rPr>
        <w:t>已审查</w:t>
      </w:r>
    </w:p>
    <w:p>
      <w:pPr>
        <w:spacing w:line="400" w:lineRule="exact"/>
        <w:jc w:val="center"/>
        <w:rPr>
          <w:rFonts w:hint="eastAsia" w:asciiTheme="minorEastAsia" w:hAnsiTheme="minorEastAsia" w:eastAsiaTheme="minorEastAsia" w:cstheme="minorEastAsia"/>
          <w:b/>
          <w:bCs/>
          <w:sz w:val="32"/>
          <w:szCs w:val="32"/>
          <w:highlight w:val="yellow"/>
        </w:rPr>
      </w:pPr>
    </w:p>
    <w:p>
      <w:pPr>
        <w:spacing w:line="400" w:lineRule="exact"/>
        <w:ind w:firstLine="2088" w:firstLineChars="650"/>
        <w:rPr>
          <w:rFonts w:ascii="黑体" w:hAnsi="宋体" w:eastAsia="黑体"/>
          <w:b/>
          <w:color w:val="000000"/>
          <w:kern w:val="0"/>
          <w:sz w:val="56"/>
          <w:szCs w:val="56"/>
          <w:highlight w:val="none"/>
          <w:lang w:bidi="ar"/>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highlight w:val="none"/>
          <w:lang w:eastAsia="zh-CN"/>
        </w:rPr>
        <w:t>已审签</w:t>
      </w:r>
    </w:p>
    <w:p>
      <w:pPr>
        <w:jc w:val="both"/>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w:t>
      </w:r>
      <w:r>
        <w:rPr>
          <w:rFonts w:hint="eastAsia" w:ascii="黑体" w:hAnsi="宋体" w:eastAsia="黑体"/>
          <w:bCs/>
          <w:color w:val="000000"/>
          <w:kern w:val="0"/>
          <w:sz w:val="36"/>
          <w:szCs w:val="36"/>
          <w:lang w:val="en-US" w:eastAsia="zh-CN"/>
        </w:rPr>
        <w:t xml:space="preserve">  </w:t>
      </w:r>
      <w:r>
        <w:rPr>
          <w:rFonts w:ascii="黑体" w:hAnsi="宋体" w:eastAsia="黑体"/>
          <w:bCs/>
          <w:color w:val="000000"/>
          <w:kern w:val="0"/>
          <w:sz w:val="36"/>
          <w:szCs w:val="36"/>
        </w:rPr>
        <w:t>录</w:t>
      </w:r>
    </w:p>
    <w:p>
      <w:pPr>
        <w:jc w:val="center"/>
        <w:rPr>
          <w:rFonts w:ascii="黑体" w:hAnsi="宋体" w:eastAsia="黑体"/>
          <w:bCs/>
          <w:color w:val="000000"/>
          <w:kern w:val="0"/>
          <w:sz w:val="36"/>
          <w:szCs w:val="36"/>
        </w:rPr>
      </w:pPr>
    </w:p>
    <w:p>
      <w:pPr>
        <w:widowControl/>
        <w:spacing w:line="360" w:lineRule="auto"/>
        <w:jc w:val="center"/>
      </w:pPr>
      <w:r>
        <w:rPr>
          <w:rFonts w:hint="eastAsia" w:ascii="黑体" w:hAnsi="宋体" w:eastAsia="黑体"/>
          <w:color w:val="000000"/>
          <w:kern w:val="0"/>
          <w:szCs w:val="32"/>
        </w:rPr>
        <w:t xml:space="preserve">第一部分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rPr>
        <w:t>部门概况</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spacing w:line="360" w:lineRule="auto"/>
        <w:jc w:val="center"/>
      </w:pPr>
      <w:r>
        <w:rPr>
          <w:rFonts w:hint="eastAsia" w:ascii="黑体" w:hAnsi="宋体" w:eastAsia="黑体"/>
          <w:color w:val="000000"/>
          <w:kern w:val="0"/>
          <w:szCs w:val="32"/>
        </w:rPr>
        <w:t xml:space="preserve">第二部分  </w:t>
      </w:r>
      <w:r>
        <w:rPr>
          <w:rFonts w:hint="eastAsia" w:ascii="黑体" w:hAnsi="宋体" w:eastAsia="黑体"/>
          <w:color w:val="000000"/>
          <w:kern w:val="0"/>
          <w:szCs w:val="32"/>
          <w:lang w:eastAsia="zh-CN"/>
        </w:rPr>
        <w:t>202</w:t>
      </w:r>
      <w:r>
        <w:rPr>
          <w:rFonts w:hint="eastAsia" w:ascii="黑体" w:hAnsi="宋体" w:eastAsia="黑体"/>
          <w:color w:val="000000"/>
          <w:kern w:val="0"/>
          <w:szCs w:val="32"/>
          <w:lang w:val="en-US" w:eastAsia="zh-CN"/>
        </w:rPr>
        <w:t>1</w:t>
      </w:r>
      <w:r>
        <w:rPr>
          <w:rFonts w:hint="eastAsia" w:ascii="黑体" w:hAnsi="宋体" w:eastAsia="黑体"/>
          <w:color w:val="000000"/>
          <w:kern w:val="0"/>
          <w:szCs w:val="32"/>
          <w:lang w:eastAsia="zh-CN"/>
        </w:rPr>
        <w:t>年</w:t>
      </w:r>
      <w:r>
        <w:rPr>
          <w:rFonts w:hint="eastAsia" w:ascii="黑体" w:hAnsi="宋体" w:eastAsia="黑体"/>
          <w:color w:val="000000"/>
          <w:kern w:val="0"/>
          <w:szCs w:val="32"/>
        </w:rPr>
        <w:t>部门决算表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九、国有资本经营预算财政拨款支出决算表</w:t>
      </w:r>
    </w:p>
    <w:p>
      <w:pPr>
        <w:widowControl/>
        <w:spacing w:line="360" w:lineRule="auto"/>
        <w:jc w:val="center"/>
      </w:pPr>
      <w:r>
        <w:rPr>
          <w:rFonts w:hint="eastAsia" w:ascii="黑体" w:hAnsi="宋体" w:eastAsia="黑体"/>
          <w:color w:val="000000"/>
          <w:kern w:val="0"/>
          <w:szCs w:val="32"/>
        </w:rPr>
        <w:t xml:space="preserve">第三部分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lang w:eastAsia="zh-CN"/>
        </w:rPr>
        <w:t>202</w:t>
      </w:r>
      <w:r>
        <w:rPr>
          <w:rFonts w:hint="eastAsia" w:ascii="黑体" w:hAnsi="宋体" w:eastAsia="黑体"/>
          <w:color w:val="000000"/>
          <w:kern w:val="0"/>
          <w:szCs w:val="32"/>
          <w:lang w:val="en-US" w:eastAsia="zh-CN"/>
        </w:rPr>
        <w:t>1</w:t>
      </w:r>
      <w:r>
        <w:rPr>
          <w:rFonts w:hint="eastAsia" w:ascii="黑体" w:hAnsi="宋体" w:eastAsia="黑体"/>
          <w:color w:val="000000"/>
          <w:kern w:val="0"/>
          <w:szCs w:val="32"/>
          <w:lang w:eastAsia="zh-CN"/>
        </w:rPr>
        <w:t>年</w:t>
      </w:r>
      <w:r>
        <w:rPr>
          <w:rFonts w:hint="eastAsia" w:ascii="黑体" w:hAnsi="宋体" w:eastAsia="黑体"/>
          <w:color w:val="000000"/>
          <w:kern w:val="0"/>
          <w:szCs w:val="32"/>
        </w:rPr>
        <w:t>部门决算情况说明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w:t>
      </w:r>
      <w:r>
        <w:rPr>
          <w:rFonts w:hint="eastAsia" w:ascii="仿宋" w:hAnsi="仿宋" w:eastAsia="仿宋" w:cs="楷体"/>
          <w:color w:val="000000"/>
          <w:kern w:val="0"/>
          <w:szCs w:val="32"/>
          <w:lang w:eastAsia="zh-CN"/>
        </w:rPr>
        <w:t>机关运行经费支出</w:t>
      </w:r>
      <w:r>
        <w:rPr>
          <w:rFonts w:hint="eastAsia" w:ascii="仿宋" w:hAnsi="仿宋" w:eastAsia="仿宋" w:cs="楷体"/>
          <w:color w:val="000000"/>
          <w:kern w:val="0"/>
          <w:szCs w:val="32"/>
        </w:rPr>
        <w:t>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十一、</w:t>
      </w:r>
      <w:r>
        <w:rPr>
          <w:rFonts w:hint="eastAsia" w:ascii="仿宋" w:hAnsi="仿宋" w:eastAsia="仿宋" w:cs="楷体"/>
          <w:color w:val="000000"/>
          <w:kern w:val="0"/>
          <w:szCs w:val="32"/>
          <w:lang w:eastAsia="zh-CN"/>
        </w:rPr>
        <w:t>政府采购支出情况</w:t>
      </w:r>
      <w:r>
        <w:rPr>
          <w:rFonts w:hint="eastAsia" w:ascii="仿宋" w:hAnsi="仿宋" w:eastAsia="仿宋" w:cs="楷体"/>
          <w:color w:val="000000"/>
          <w:kern w:val="0"/>
          <w:szCs w:val="32"/>
        </w:rPr>
        <w:t>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十二、国有资产占用及购置情况说明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十三、预算绩效情况说明</w:t>
      </w:r>
    </w:p>
    <w:p>
      <w:pPr>
        <w:spacing w:line="360" w:lineRule="auto"/>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numPr>
          <w:ilvl w:val="0"/>
          <w:numId w:val="0"/>
        </w:numPr>
        <w:jc w:val="both"/>
        <w:rPr>
          <w:rFonts w:ascii="黑体" w:hAnsi="宋体" w:eastAsia="黑体"/>
          <w:color w:val="000000"/>
          <w:kern w:val="0"/>
          <w:sz w:val="44"/>
          <w:szCs w:val="44"/>
        </w:rPr>
      </w:pP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Times New Roman" w:eastAsia="黑体" w:cs="楷体"/>
          <w:bCs/>
          <w:color w:val="000000"/>
          <w:kern w:val="0"/>
          <w:sz w:val="32"/>
          <w:szCs w:val="32"/>
          <w:lang w:val="en-US" w:eastAsia="zh-CN" w:bidi="ar-SA"/>
        </w:rPr>
      </w:pPr>
      <w:r>
        <w:rPr>
          <w:rFonts w:hint="eastAsia" w:ascii="黑体" w:hAnsi="Times New Roman" w:eastAsia="黑体" w:cs="楷体"/>
          <w:bCs/>
          <w:color w:val="000000"/>
          <w:kern w:val="0"/>
          <w:sz w:val="32"/>
          <w:szCs w:val="32"/>
          <w:lang w:val="en-US" w:eastAsia="zh-CN" w:bidi="ar-SA"/>
        </w:rPr>
        <w:t>部门主要职责及内设机构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p>
    <w:p>
      <w:pPr>
        <w:spacing w:line="578" w:lineRule="exact"/>
        <w:ind w:firstLine="640" w:firstLineChars="200"/>
        <w:rPr>
          <w:rFonts w:ascii="仿宋_GB2312" w:eastAsia="仿宋_GB2312"/>
          <w:szCs w:val="32"/>
        </w:rPr>
      </w:pPr>
      <w:r>
        <w:rPr>
          <w:rFonts w:hint="eastAsia" w:ascii="仿宋_GB2312" w:eastAsia="仿宋_GB2312"/>
          <w:szCs w:val="32"/>
        </w:rPr>
        <w:t>1.贯彻执行文化艺术、体育工作、旅游业、文物保护、广播电视事业的法律法规和方针政策；拟订全区文化艺术、体育工作、旅游、文物、非物质文化遗产保护、文化市场、广播电视事业的发展规划、年度计划并组织实施；拟订有关管理办法并组织实施。</w:t>
      </w:r>
    </w:p>
    <w:p>
      <w:pPr>
        <w:autoSpaceDE w:val="0"/>
        <w:autoSpaceDN w:val="0"/>
        <w:adjustRightInd w:val="0"/>
        <w:spacing w:line="578" w:lineRule="exact"/>
        <w:ind w:firstLine="640"/>
        <w:rPr>
          <w:rFonts w:ascii="仿宋_GB2312" w:eastAsia="仿宋_GB2312" w:cs="仿宋_GB2312"/>
          <w:kern w:val="0"/>
          <w:szCs w:val="32"/>
          <w:lang w:val="zh-CN"/>
        </w:rPr>
      </w:pPr>
      <w:r>
        <w:rPr>
          <w:rFonts w:hint="eastAsia" w:ascii="仿宋_GB2312" w:eastAsia="仿宋_GB2312"/>
          <w:szCs w:val="32"/>
        </w:rPr>
        <w:t>2.负责</w:t>
      </w:r>
      <w:r>
        <w:rPr>
          <w:rFonts w:hint="eastAsia" w:ascii="仿宋_GB2312" w:eastAsia="仿宋_GB2312" w:cs="仿宋_GB2312"/>
          <w:kern w:val="0"/>
          <w:szCs w:val="32"/>
          <w:lang w:val="zh-CN"/>
        </w:rPr>
        <w:t>推进文化和旅游融合发展以及与其他领域的融合发展，推进文化、广播电视、旅游、体育和文物领域体制机制改革；指导、推进全区文化、旅游、体育和文物创新发展，推进文化、旅游、体育和文物行业信息化、标准化建设。</w:t>
      </w:r>
    </w:p>
    <w:p>
      <w:pPr>
        <w:spacing w:line="578" w:lineRule="exact"/>
        <w:ind w:firstLine="640" w:firstLineChars="200"/>
        <w:rPr>
          <w:rFonts w:ascii="仿宋_GB2312" w:eastAsia="仿宋_GB2312"/>
          <w:szCs w:val="32"/>
        </w:rPr>
      </w:pPr>
      <w:r>
        <w:rPr>
          <w:rFonts w:hint="eastAsia" w:ascii="仿宋_GB2312" w:eastAsia="仿宋_GB2312"/>
          <w:szCs w:val="32"/>
        </w:rPr>
        <w:t>3.负责全区文化艺术事业，指导艺术创作与生产，组织管理全区重大文化活动；会同有关部门做好行业内文化产业发展工作；拟订全区文化设施建设布局。</w:t>
      </w:r>
    </w:p>
    <w:p>
      <w:pPr>
        <w:spacing w:line="578" w:lineRule="exact"/>
        <w:ind w:firstLine="640" w:firstLineChars="200"/>
        <w:rPr>
          <w:rFonts w:ascii="仿宋_GB2312" w:eastAsia="仿宋_GB2312"/>
          <w:szCs w:val="32"/>
        </w:rPr>
      </w:pPr>
      <w:r>
        <w:rPr>
          <w:rFonts w:hint="eastAsia" w:ascii="仿宋_GB2312" w:eastAsia="仿宋_GB2312"/>
          <w:szCs w:val="32"/>
        </w:rPr>
        <w:t>4.指导基层和驻区各单位的文化工作，指导区文化馆、图书馆和基层文化建设。</w:t>
      </w:r>
    </w:p>
    <w:p>
      <w:pPr>
        <w:spacing w:line="578" w:lineRule="exact"/>
        <w:ind w:firstLine="640" w:firstLineChars="200"/>
        <w:rPr>
          <w:rFonts w:ascii="仿宋_GB2312" w:eastAsia="仿宋_GB2312"/>
          <w:szCs w:val="32"/>
        </w:rPr>
      </w:pPr>
      <w:r>
        <w:rPr>
          <w:rFonts w:hint="eastAsia" w:ascii="仿宋_GB2312" w:eastAsia="仿宋_GB2312"/>
          <w:szCs w:val="32"/>
        </w:rPr>
        <w:t>5.组织实施非物质文化遗产保护和优秀民族文化的传承普及工作。</w:t>
      </w:r>
    </w:p>
    <w:p>
      <w:pPr>
        <w:spacing w:line="578" w:lineRule="exact"/>
        <w:ind w:firstLine="640" w:firstLineChars="200"/>
        <w:rPr>
          <w:rFonts w:ascii="仿宋_GB2312" w:eastAsia="仿宋_GB2312"/>
          <w:szCs w:val="32"/>
        </w:rPr>
      </w:pPr>
      <w:r>
        <w:rPr>
          <w:rFonts w:hint="eastAsia" w:ascii="仿宋_GB2312" w:eastAsia="仿宋_GB2312"/>
          <w:szCs w:val="32"/>
        </w:rPr>
        <w:t>6.统筹规划全区群众体育发展，负责推行全民健身计划，监督实施国家体育锻炼标准，推动国民体质监测和社会体育指导员队伍建设，指导公共体育设施的建设。</w:t>
      </w:r>
    </w:p>
    <w:p>
      <w:pPr>
        <w:spacing w:line="578" w:lineRule="exact"/>
        <w:ind w:firstLine="640" w:firstLineChars="200"/>
        <w:rPr>
          <w:rFonts w:ascii="仿宋_GB2312" w:eastAsia="仿宋_GB2312"/>
          <w:szCs w:val="32"/>
        </w:rPr>
      </w:pPr>
      <w:r>
        <w:rPr>
          <w:rFonts w:hint="eastAsia" w:ascii="仿宋_GB2312" w:eastAsia="仿宋_GB2312"/>
          <w:szCs w:val="32"/>
        </w:rPr>
        <w:t>7.统筹规划全区竞技体育发展及青少年体育发展，指导和推进青少年体育工作，加强体育后备人才队伍建设；统筹规划体育产业的发展，规范体育服务管理，推动体育标准化建设；负责体育彩票销售管理工作。</w:t>
      </w:r>
    </w:p>
    <w:p>
      <w:pPr>
        <w:spacing w:line="578" w:lineRule="exact"/>
        <w:ind w:firstLine="640" w:firstLineChars="200"/>
        <w:rPr>
          <w:rFonts w:ascii="仿宋_GB2312" w:eastAsia="仿宋_GB2312"/>
          <w:szCs w:val="32"/>
        </w:rPr>
      </w:pPr>
      <w:r>
        <w:rPr>
          <w:rFonts w:hint="eastAsia" w:ascii="仿宋_GB2312" w:eastAsia="仿宋_GB2312"/>
          <w:szCs w:val="32"/>
        </w:rPr>
        <w:t>8.组织全区旅游资源的普查、规划、开发和保护工作，拟订全区旅游业开发规划并组织和协调实施；</w:t>
      </w:r>
      <w:r>
        <w:rPr>
          <w:rFonts w:hint="eastAsia" w:ascii="仿宋_GB2312" w:eastAsia="仿宋_GB2312" w:cs="仿宋_GB2312"/>
          <w:kern w:val="0"/>
          <w:szCs w:val="32"/>
          <w:lang w:val="zh-CN"/>
        </w:rPr>
        <w:t>组织全区旅游形象推广，指导、推进全域旅游</w:t>
      </w:r>
      <w:r>
        <w:rPr>
          <w:rFonts w:hint="eastAsia" w:ascii="仿宋_GB2312" w:eastAsia="仿宋_GB2312"/>
          <w:szCs w:val="32"/>
        </w:rPr>
        <w:t>。</w:t>
      </w:r>
    </w:p>
    <w:p>
      <w:pPr>
        <w:spacing w:line="578" w:lineRule="exact"/>
        <w:ind w:firstLine="640" w:firstLineChars="200"/>
        <w:rPr>
          <w:rFonts w:ascii="仿宋_GB2312" w:eastAsia="仿宋_GB2312"/>
          <w:szCs w:val="32"/>
        </w:rPr>
      </w:pPr>
      <w:r>
        <w:rPr>
          <w:rFonts w:hint="eastAsia" w:ascii="仿宋_GB2312" w:eastAsia="仿宋_GB2312"/>
          <w:szCs w:val="32"/>
        </w:rPr>
        <w:t>9.承担规范全区旅游市场秩序、监督管理服务质量、维护旅游消费者和经营者合法权益的责任；规范全区旅游企业和从业人员的经营和服务行为。</w:t>
      </w:r>
    </w:p>
    <w:p>
      <w:pPr>
        <w:spacing w:line="578" w:lineRule="exact"/>
        <w:ind w:firstLine="640" w:firstLineChars="200"/>
        <w:rPr>
          <w:rFonts w:ascii="仿宋_GB2312" w:eastAsia="仿宋_GB2312"/>
          <w:szCs w:val="32"/>
        </w:rPr>
      </w:pPr>
      <w:r>
        <w:rPr>
          <w:rFonts w:hint="eastAsia" w:ascii="仿宋_GB2312" w:eastAsia="仿宋_GB2312"/>
          <w:szCs w:val="32"/>
        </w:rPr>
        <w:t>10.负责全区旅游安全的综合协调和监督管理，组织实施旅游应急救援工作；指导全区旅游行业精神文明建设和诚信体系建设；组织实施旅游人才培训规划。</w:t>
      </w:r>
    </w:p>
    <w:p>
      <w:pPr>
        <w:spacing w:line="578" w:lineRule="exact"/>
        <w:ind w:firstLine="640" w:firstLineChars="200"/>
        <w:rPr>
          <w:rFonts w:ascii="仿宋_GB2312" w:eastAsia="仿宋_GB2312"/>
          <w:szCs w:val="32"/>
        </w:rPr>
      </w:pPr>
      <w:r>
        <w:rPr>
          <w:rFonts w:hint="eastAsia" w:ascii="仿宋_GB2312" w:eastAsia="仿宋_GB2312"/>
          <w:szCs w:val="32"/>
        </w:rPr>
        <w:t>11.组织文物资源调查，指导和协调全区文物保护工作；履行文物行政执法督察职责，依法组织查处破坏文物的违法行为，配合有关部门查处文物犯罪的重大案件。</w:t>
      </w:r>
    </w:p>
    <w:p>
      <w:pPr>
        <w:spacing w:line="578" w:lineRule="exact"/>
        <w:ind w:firstLine="640" w:firstLineChars="200"/>
        <w:rPr>
          <w:rFonts w:ascii="仿宋_GB2312" w:eastAsia="仿宋_GB2312"/>
          <w:szCs w:val="32"/>
        </w:rPr>
      </w:pPr>
      <w:r>
        <w:rPr>
          <w:rFonts w:hint="eastAsia" w:ascii="仿宋_GB2312" w:eastAsia="仿宋_GB2312"/>
          <w:szCs w:val="32"/>
        </w:rPr>
        <w:t>12.负责申报全区文物保护、考古发掘、古建筑维修项目，指导、督促、检查全区文物和博物馆业务工作，依法监督和管理文物的流通，征集流散文物；管理文物专项经费并监督使用；组织开展文物保护宣传工作。</w:t>
      </w:r>
    </w:p>
    <w:p>
      <w:pPr>
        <w:spacing w:line="578" w:lineRule="exact"/>
        <w:ind w:firstLine="640" w:firstLineChars="200"/>
        <w:rPr>
          <w:rFonts w:ascii="仿宋_GB2312" w:eastAsia="仿宋_GB2312"/>
          <w:szCs w:val="32"/>
        </w:rPr>
      </w:pPr>
      <w:r>
        <w:rPr>
          <w:rFonts w:hint="eastAsia" w:ascii="仿宋_GB2312" w:eastAsia="仿宋_GB2312"/>
          <w:szCs w:val="32"/>
        </w:rPr>
        <w:t>13.负责全区文物相关产业发展项目的有关协调、组织实施及管理工作。</w:t>
      </w:r>
    </w:p>
    <w:p>
      <w:pPr>
        <w:spacing w:line="578" w:lineRule="exact"/>
        <w:ind w:firstLine="640" w:firstLineChars="200"/>
        <w:rPr>
          <w:rFonts w:ascii="仿宋_GB2312" w:eastAsia="仿宋_GB2312"/>
          <w:szCs w:val="32"/>
        </w:rPr>
      </w:pPr>
      <w:r>
        <w:rPr>
          <w:rFonts w:hint="eastAsia" w:ascii="仿宋_GB2312" w:eastAsia="仿宋_GB2312"/>
          <w:szCs w:val="32"/>
        </w:rPr>
        <w:t>14.负责全区各类文化体育娱乐场所经营许可的监管；负责文化市场稽查工作，负责对文化艺术、体育经营活动及演艺活动民办机构的行业监管。</w:t>
      </w:r>
    </w:p>
    <w:p>
      <w:pPr>
        <w:spacing w:line="578" w:lineRule="exact"/>
        <w:ind w:firstLine="640" w:firstLineChars="200"/>
        <w:rPr>
          <w:rFonts w:ascii="仿宋_GB2312" w:eastAsia="仿宋_GB2312"/>
          <w:szCs w:val="32"/>
        </w:rPr>
      </w:pPr>
      <w:r>
        <w:rPr>
          <w:rFonts w:hint="eastAsia" w:ascii="仿宋_GB2312" w:eastAsia="仿宋_GB2312"/>
          <w:szCs w:val="32"/>
        </w:rPr>
        <w:t>15.指导发展全区广播电视事业，负责监管在全区广播电视中播出的节目内容和质量；承担对信息网络视听节目服务和公共视听载体播放节目的业务监督责任；规划和负责广播电视产业的发展。</w:t>
      </w:r>
    </w:p>
    <w:p>
      <w:pPr>
        <w:spacing w:line="578" w:lineRule="exact"/>
        <w:ind w:firstLine="640" w:firstLineChars="200"/>
        <w:rPr>
          <w:rFonts w:ascii="仿宋_GB2312" w:eastAsia="仿宋_GB2312"/>
          <w:szCs w:val="32"/>
        </w:rPr>
      </w:pPr>
      <w:r>
        <w:rPr>
          <w:rFonts w:hint="eastAsia" w:ascii="仿宋_GB2312" w:eastAsia="仿宋_GB2312"/>
          <w:szCs w:val="32"/>
        </w:rPr>
        <w:t>16负责管理全区广播电台、电视台、卫星地面接收站、有线电视台的建立、撤销和违法查处工作；指导、协调广播电视科学研究、技术发展、基本建设等方面的工作。</w:t>
      </w:r>
    </w:p>
    <w:p>
      <w:pPr>
        <w:spacing w:line="578" w:lineRule="exact"/>
        <w:ind w:firstLine="640" w:firstLineChars="200"/>
        <w:rPr>
          <w:rFonts w:ascii="仿宋_GB2312" w:eastAsia="仿宋_GB2312" w:cs="仿宋_GB2312"/>
          <w:kern w:val="0"/>
          <w:szCs w:val="32"/>
          <w:lang w:val="zh-CN"/>
        </w:rPr>
      </w:pPr>
      <w:r>
        <w:rPr>
          <w:rFonts w:hint="eastAsia" w:ascii="仿宋_GB2312" w:eastAsia="仿宋_GB2312" w:cs="仿宋_GB2312"/>
          <w:kern w:val="0"/>
          <w:szCs w:val="32"/>
          <w:lang w:val="zh-CN"/>
        </w:rPr>
        <w:t>17指导、管理全区文化、广播电视、旅游、体育和文物事业的对外及对港澳台交流、合作和宣传、推广工作。</w:t>
      </w:r>
    </w:p>
    <w:p>
      <w:pPr>
        <w:spacing w:line="578" w:lineRule="exact"/>
        <w:ind w:firstLine="640" w:firstLineChars="200"/>
        <w:rPr>
          <w:rFonts w:ascii="仿宋_GB2312" w:eastAsia="仿宋_GB2312"/>
          <w:szCs w:val="32"/>
        </w:rPr>
      </w:pPr>
      <w:r>
        <w:rPr>
          <w:rFonts w:hint="eastAsia" w:ascii="仿宋_GB2312" w:eastAsia="仿宋_GB2312"/>
          <w:szCs w:val="32"/>
        </w:rPr>
        <w:t>18</w:t>
      </w:r>
      <w:r>
        <w:rPr>
          <w:rFonts w:hint="eastAsia" w:ascii="仿宋_GB2312" w:hAnsi="仿宋" w:eastAsia="仿宋_GB2312"/>
          <w:szCs w:val="32"/>
        </w:rPr>
        <w:t>负责本系统本行业安全生产管理工作。</w:t>
      </w:r>
    </w:p>
    <w:p>
      <w:pPr>
        <w:autoSpaceDE w:val="0"/>
        <w:autoSpaceDN w:val="0"/>
        <w:adjustRightInd w:val="0"/>
        <w:spacing w:line="578" w:lineRule="exact"/>
        <w:ind w:firstLine="640"/>
        <w:rPr>
          <w:rFonts w:ascii="仿宋_GB2312" w:eastAsia="仿宋_GB2312"/>
          <w:szCs w:val="32"/>
        </w:rPr>
      </w:pPr>
      <w:r>
        <w:rPr>
          <w:rFonts w:hint="eastAsia" w:ascii="仿宋_GB2312" w:eastAsia="仿宋_GB2312"/>
          <w:szCs w:val="32"/>
        </w:rPr>
        <w:t>19承办区委、区政府交办的其他事项。</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内设机构</w:t>
      </w:r>
    </w:p>
    <w:p>
      <w:pPr>
        <w:spacing w:line="578" w:lineRule="exact"/>
        <w:ind w:firstLine="640" w:firstLineChars="200"/>
        <w:rPr>
          <w:rFonts w:hint="default" w:ascii="仿宋_GB2312" w:eastAsia="仿宋_GB2312" w:cs="仿宋_GB2312"/>
          <w:kern w:val="0"/>
          <w:szCs w:val="32"/>
          <w:lang w:val="en-US" w:eastAsia="zh-CN"/>
        </w:rPr>
      </w:pPr>
      <w:r>
        <w:rPr>
          <w:rFonts w:hint="eastAsia" w:ascii="仿宋_GB2312" w:eastAsia="仿宋_GB2312" w:cs="仿宋_GB2312"/>
          <w:kern w:val="0"/>
          <w:szCs w:val="32"/>
          <w:lang w:val="zh-CN"/>
        </w:rPr>
        <w:t>内设：综合科  文体旅游科</w:t>
      </w:r>
      <w:r>
        <w:rPr>
          <w:rFonts w:hint="eastAsia" w:ascii="仿宋_GB2312" w:eastAsia="仿宋_GB2312" w:cs="仿宋_GB2312"/>
          <w:kern w:val="0"/>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highlight w:val="none"/>
        </w:rPr>
      </w:pPr>
      <w:r>
        <w:rPr>
          <w:rFonts w:hint="eastAsia" w:ascii="黑体" w:hAnsi="宋体" w:eastAsia="黑体"/>
          <w:color w:val="000000"/>
          <w:kern w:val="0"/>
          <w:sz w:val="32"/>
          <w:szCs w:val="32"/>
          <w:highlight w:val="none"/>
          <w:lang w:eastAsia="zh-CN" w:bidi="ar"/>
        </w:rPr>
        <w:t>一、</w:t>
      </w:r>
      <w:r>
        <w:rPr>
          <w:rFonts w:hint="eastAsia" w:ascii="黑体" w:hAnsi="宋体" w:eastAsia="黑体"/>
          <w:color w:val="000000"/>
          <w:kern w:val="0"/>
          <w:sz w:val="32"/>
          <w:szCs w:val="32"/>
          <w:highlight w:val="none"/>
          <w:lang w:bidi="ar"/>
        </w:rPr>
        <w:t>部门决算单位构成</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纳入20</w:t>
      </w:r>
      <w:r>
        <w:rPr>
          <w:rFonts w:hint="eastAsia" w:ascii="仿宋_GB2312" w:hAnsi="仿宋_GB2312" w:eastAsia="仿宋_GB2312" w:cs="仿宋_GB2312"/>
          <w:szCs w:val="32"/>
          <w:lang w:val="en-US" w:eastAsia="zh-CN"/>
        </w:rPr>
        <w:t>21</w:t>
      </w:r>
      <w:r>
        <w:rPr>
          <w:rFonts w:hint="eastAsia" w:ascii="仿宋_GB2312" w:hAnsi="仿宋_GB2312" w:eastAsia="仿宋_GB2312" w:cs="仿宋_GB2312"/>
          <w:szCs w:val="32"/>
        </w:rPr>
        <w:t>年度本部门决算编制范围的单位共1个，包括本级及所属0个</w:t>
      </w:r>
      <w:r>
        <w:rPr>
          <w:rFonts w:ascii="仿宋_GB2312" w:hAnsi="仿宋_GB2312" w:eastAsia="仿宋_GB2312" w:cs="仿宋_GB2312"/>
          <w:color w:val="000000"/>
          <w:kern w:val="0"/>
          <w:sz w:val="31"/>
          <w:szCs w:val="31"/>
        </w:rPr>
        <w:t>二级预算</w:t>
      </w:r>
      <w:r>
        <w:rPr>
          <w:rFonts w:hint="eastAsia" w:ascii="仿宋_GB2312" w:hAnsi="仿宋_GB2312" w:eastAsia="仿宋_GB2312" w:cs="仿宋_GB2312"/>
          <w:szCs w:val="32"/>
        </w:rPr>
        <w:t>单位：</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Cs w:val="32"/>
              </w:rPr>
            </w:pPr>
            <w:r>
              <w:rPr>
                <w:rFonts w:hint="eastAsia" w:ascii="黑体" w:hAnsi="黑体" w:eastAsia="黑体"/>
                <w:szCs w:val="32"/>
              </w:rPr>
              <w:t>序号</w:t>
            </w:r>
          </w:p>
        </w:tc>
        <w:tc>
          <w:tcPr>
            <w:tcW w:w="7278" w:type="dxa"/>
            <w:vAlign w:val="center"/>
          </w:tcPr>
          <w:p>
            <w:pPr>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7278" w:type="dxa"/>
            <w:vAlign w:val="center"/>
          </w:tcPr>
          <w:p>
            <w:pPr>
              <w:rPr>
                <w:rFonts w:ascii="仿宋_GB2312" w:hAnsi="仿宋_GB2312" w:eastAsia="仿宋_GB2312" w:cs="仿宋_GB2312"/>
                <w:szCs w:val="32"/>
              </w:rPr>
            </w:pPr>
            <w:r>
              <w:rPr>
                <w:rFonts w:hint="eastAsia" w:ascii="仿宋_GB2312" w:hAnsi="仿宋_GB2312" w:eastAsia="仿宋_GB2312" w:cs="仿宋_GB2312"/>
                <w:szCs w:val="32"/>
              </w:rPr>
              <w:t>西安市阎良区文化和旅游体育局（本级）</w:t>
            </w:r>
          </w:p>
        </w:tc>
      </w:tr>
    </w:tbl>
    <w:p>
      <w:pPr>
        <w:ind w:firstLine="640"/>
        <w:rPr>
          <w:rFonts w:hint="eastAsia" w:ascii="黑体" w:hAnsi="黑体" w:eastAsia="黑体"/>
          <w:b/>
          <w:bCs/>
          <w:sz w:val="32"/>
          <w:szCs w:val="32"/>
        </w:rPr>
      </w:pPr>
    </w:p>
    <w:p>
      <w:pPr>
        <w:ind w:firstLine="640"/>
        <w:rPr>
          <w:rFonts w:hint="eastAsia" w:ascii="黑体" w:hAnsi="黑体" w:eastAsia="黑体"/>
          <w:b/>
          <w:bCs/>
          <w:sz w:val="32"/>
          <w:szCs w:val="32"/>
        </w:rPr>
      </w:pPr>
    </w:p>
    <w:p>
      <w:pPr>
        <w:ind w:firstLine="640"/>
        <w:rPr>
          <w:rFonts w:hint="eastAsia" w:ascii="黑体" w:hAnsi="黑体" w:eastAsia="黑体"/>
          <w:b/>
          <w:bCs/>
          <w:sz w:val="32"/>
          <w:szCs w:val="32"/>
        </w:rPr>
      </w:pPr>
    </w:p>
    <w:p>
      <w:pPr>
        <w:ind w:firstLine="640"/>
        <w:rPr>
          <w:rFonts w:hint="eastAsia" w:ascii="黑体" w:hAnsi="黑体" w:eastAsia="黑体"/>
          <w:b/>
          <w:bCs/>
          <w:sz w:val="32"/>
          <w:szCs w:val="32"/>
        </w:rPr>
      </w:pPr>
    </w:p>
    <w:p>
      <w:pPr>
        <w:ind w:firstLine="640"/>
        <w:rPr>
          <w:rFonts w:hint="eastAsia" w:ascii="黑体" w:hAnsi="黑体" w:eastAsia="黑体"/>
          <w:b/>
          <w:bCs/>
          <w:sz w:val="32"/>
          <w:szCs w:val="32"/>
        </w:rPr>
      </w:pPr>
    </w:p>
    <w:p>
      <w:pPr>
        <w:ind w:firstLine="640"/>
        <w:rPr>
          <w:rFonts w:hint="eastAsia" w:ascii="黑体" w:hAnsi="黑体" w:eastAsia="黑体"/>
          <w:b/>
          <w:bCs/>
          <w:sz w:val="32"/>
          <w:szCs w:val="32"/>
        </w:rPr>
      </w:pPr>
    </w:p>
    <w:p>
      <w:pPr>
        <w:numPr>
          <w:ilvl w:val="0"/>
          <w:numId w:val="2"/>
        </w:numPr>
        <w:ind w:left="0" w:leftChars="0" w:firstLine="643" w:firstLineChars="200"/>
        <w:rPr>
          <w:rFonts w:hint="eastAsia" w:ascii="黑体" w:hAnsi="黑体" w:eastAsia="黑体"/>
          <w:b/>
          <w:bCs/>
          <w:sz w:val="32"/>
          <w:szCs w:val="32"/>
        </w:rPr>
      </w:pPr>
      <w:r>
        <w:rPr>
          <w:rFonts w:hint="eastAsia" w:ascii="黑体" w:hAnsi="黑体" w:eastAsia="黑体"/>
          <w:b/>
          <w:bCs/>
          <w:sz w:val="32"/>
          <w:szCs w:val="32"/>
        </w:rPr>
        <w:t>部门人员情况</w:t>
      </w:r>
    </w:p>
    <w:p>
      <w:pPr>
        <w:numPr>
          <w:ilvl w:val="0"/>
          <w:numId w:val="0"/>
        </w:numPr>
        <w:ind w:left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截止</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底，本部门人员编制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人，其中行政编制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人、事业编制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人；实有人员</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人，其中行政</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人、事业</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。退休人员</w:t>
      </w:r>
      <w:r>
        <w:rPr>
          <w:rFonts w:hint="eastAsia" w:ascii="仿宋_GB2312" w:hAnsi="仿宋_GB2312" w:eastAsia="仿宋_GB2312" w:cs="仿宋_GB2312"/>
          <w:sz w:val="32"/>
          <w:szCs w:val="32"/>
          <w:lang w:val="en-US" w:eastAsia="zh-CN"/>
        </w:rPr>
        <w:t>8人。</w:t>
      </w:r>
      <w:bookmarkStart w:id="4" w:name="_GoBack"/>
      <w:bookmarkEnd w:id="4"/>
    </w:p>
    <w:p>
      <w:pPr>
        <w:numPr>
          <w:ilvl w:val="0"/>
          <w:numId w:val="0"/>
        </w:numPr>
        <w:rPr>
          <w:rFonts w:hint="eastAsia" w:ascii="仿宋_GB2312" w:hAnsi="仿宋_GB2312" w:eastAsia="仿宋_GB2312" w:cs="仿宋_GB2312"/>
          <w:sz w:val="32"/>
          <w:szCs w:val="32"/>
          <w:lang w:eastAsia="zh-CN"/>
        </w:rPr>
      </w:pPr>
    </w:p>
    <w:p>
      <w:pPr>
        <w:numPr>
          <w:ilvl w:val="0"/>
          <w:numId w:val="0"/>
        </w:numPr>
        <w:ind w:left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59070" cy="3773805"/>
            <wp:effectExtent l="4445" t="4445" r="13335" b="1270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jc w:val="center"/>
        <w:rPr>
          <w:rFonts w:ascii="黑体" w:hAnsi="宋体" w:eastAsia="黑体"/>
          <w:color w:val="000000"/>
          <w:kern w:val="0"/>
          <w:sz w:val="44"/>
          <w:szCs w:val="44"/>
        </w:rPr>
      </w:pPr>
    </w:p>
    <w:p>
      <w:pPr>
        <w:widowControl/>
        <w:ind w:firstLine="1760" w:firstLineChars="400"/>
        <w:jc w:val="both"/>
        <w:rPr>
          <w:rFonts w:ascii="黑体" w:hAnsi="宋体" w:eastAsia="黑体"/>
          <w:color w:val="000000"/>
          <w:kern w:val="0"/>
          <w:sz w:val="44"/>
          <w:szCs w:val="44"/>
        </w:rPr>
      </w:pPr>
    </w:p>
    <w:p>
      <w:pPr>
        <w:widowControl/>
        <w:ind w:firstLine="1760" w:firstLineChars="400"/>
        <w:jc w:val="both"/>
        <w:rPr>
          <w:rFonts w:ascii="黑体" w:hAnsi="宋体" w:eastAsia="黑体"/>
          <w:color w:val="000000"/>
          <w:kern w:val="0"/>
          <w:sz w:val="44"/>
          <w:szCs w:val="44"/>
        </w:rPr>
      </w:pPr>
    </w:p>
    <w:p>
      <w:pPr>
        <w:widowControl/>
        <w:ind w:firstLine="1760" w:firstLineChars="400"/>
        <w:jc w:val="both"/>
        <w:rPr>
          <w:rFonts w:ascii="黑体" w:hAnsi="宋体" w:eastAsia="黑体"/>
          <w:color w:val="000000"/>
          <w:kern w:val="0"/>
          <w:sz w:val="44"/>
          <w:szCs w:val="44"/>
        </w:rPr>
      </w:pPr>
    </w:p>
    <w:p>
      <w:pPr>
        <w:widowControl/>
        <w:ind w:firstLine="1760" w:firstLineChars="400"/>
        <w:jc w:val="both"/>
        <w:rPr>
          <w:rFonts w:ascii="黑体" w:hAnsi="宋体" w:eastAsia="黑体"/>
          <w:color w:val="000000"/>
          <w:kern w:val="0"/>
          <w:sz w:val="44"/>
          <w:szCs w:val="44"/>
        </w:rPr>
      </w:pPr>
    </w:p>
    <w:p>
      <w:pPr>
        <w:widowControl/>
        <w:ind w:firstLine="1760" w:firstLineChars="400"/>
        <w:jc w:val="both"/>
        <w:rPr>
          <w:rFonts w:ascii="黑体" w:hAnsi="宋体" w:eastAsia="黑体"/>
          <w:color w:val="000000"/>
          <w:kern w:val="0"/>
          <w:sz w:val="44"/>
          <w:szCs w:val="44"/>
        </w:rPr>
      </w:pPr>
    </w:p>
    <w:p>
      <w:pPr>
        <w:widowControl/>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color w:val="000000"/>
          <w:kern w:val="0"/>
          <w:sz w:val="40"/>
          <w:szCs w:val="40"/>
        </w:rPr>
        <w:t xml:space="preserve">第二部分 </w:t>
      </w:r>
      <w:r>
        <w:rPr>
          <w:rFonts w:hint="eastAsia" w:ascii="方正小标宋简体" w:hAnsi="方正小标宋简体" w:eastAsia="方正小标宋简体" w:cs="方正小标宋简体"/>
          <w:color w:val="000000"/>
          <w:kern w:val="0"/>
          <w:sz w:val="40"/>
          <w:szCs w:val="40"/>
          <w:lang w:eastAsia="zh-CN"/>
        </w:rPr>
        <w:t>202</w:t>
      </w:r>
      <w:r>
        <w:rPr>
          <w:rFonts w:hint="eastAsia" w:ascii="方正小标宋简体" w:hAnsi="方正小标宋简体" w:eastAsia="方正小标宋简体" w:cs="方正小标宋简体"/>
          <w:color w:val="000000"/>
          <w:kern w:val="0"/>
          <w:sz w:val="40"/>
          <w:szCs w:val="40"/>
          <w:lang w:val="en-US" w:eastAsia="zh-CN"/>
        </w:rPr>
        <w:t>1</w:t>
      </w:r>
      <w:r>
        <w:rPr>
          <w:rFonts w:hint="eastAsia" w:ascii="方正小标宋简体" w:hAnsi="方正小标宋简体" w:eastAsia="方正小标宋简体" w:cs="方正小标宋简体"/>
          <w:color w:val="000000"/>
          <w:kern w:val="0"/>
          <w:sz w:val="40"/>
          <w:szCs w:val="40"/>
          <w:lang w:eastAsia="zh-CN"/>
        </w:rPr>
        <w:t>年度</w:t>
      </w:r>
      <w:r>
        <w:rPr>
          <w:rFonts w:hint="eastAsia" w:ascii="方正小标宋简体" w:hAnsi="方正小标宋简体" w:eastAsia="方正小标宋简体" w:cs="方正小标宋简体"/>
          <w:color w:val="000000"/>
          <w:kern w:val="0"/>
          <w:sz w:val="40"/>
          <w:szCs w:val="40"/>
        </w:rPr>
        <w:t>部门决算表</w:t>
      </w:r>
    </w:p>
    <w:tbl>
      <w:tblPr>
        <w:tblStyle w:val="6"/>
        <w:tblpPr w:leftFromText="180" w:rightFromText="180" w:vertAnchor="text" w:horzAnchor="page" w:tblpX="1834" w:tblpY="1123"/>
        <w:tblOverlap w:val="never"/>
        <w:tblW w:w="0" w:type="auto"/>
        <w:tblInd w:w="0" w:type="dxa"/>
        <w:tblLayout w:type="fixed"/>
        <w:tblCellMar>
          <w:top w:w="0" w:type="dxa"/>
          <w:left w:w="0" w:type="dxa"/>
          <w:bottom w:w="0" w:type="dxa"/>
          <w:right w:w="0" w:type="dxa"/>
        </w:tblCellMar>
      </w:tblPr>
      <w:tblGrid>
        <w:gridCol w:w="675"/>
        <w:gridCol w:w="4590"/>
        <w:gridCol w:w="960"/>
        <w:gridCol w:w="2070"/>
      </w:tblGrid>
      <w:tr>
        <w:tblPrEx>
          <w:tblCellMar>
            <w:top w:w="0" w:type="dxa"/>
            <w:left w:w="0" w:type="dxa"/>
            <w:bottom w:w="0" w:type="dxa"/>
            <w:right w:w="0" w:type="dxa"/>
          </w:tblCellMar>
        </w:tblPrEx>
        <w:trPr>
          <w:trHeight w:val="645" w:hRule="atLeas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序号</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内</w:t>
            </w:r>
            <w:r>
              <w:rPr>
                <w:rFonts w:hint="eastAsia" w:ascii="仿宋_GB2312" w:hAnsi="仿宋_GB2312" w:eastAsia="仿宋_GB2312" w:cs="仿宋_GB2312"/>
                <w:b/>
                <w:bCs/>
                <w:color w:val="000000"/>
                <w:kern w:val="0"/>
                <w:sz w:val="28"/>
                <w:szCs w:val="28"/>
                <w:lang w:val="en-US" w:eastAsia="zh-CN"/>
              </w:rPr>
              <w:t xml:space="preserve"> </w:t>
            </w:r>
            <w:r>
              <w:rPr>
                <w:rFonts w:hint="eastAsia" w:ascii="仿宋_GB2312" w:hAnsi="仿宋_GB2312" w:eastAsia="仿宋_GB2312" w:cs="仿宋_GB2312"/>
                <w:b/>
                <w:bCs/>
                <w:color w:val="000000"/>
                <w:kern w:val="0"/>
                <w:sz w:val="28"/>
                <w:szCs w:val="28"/>
              </w:rPr>
              <w:t>容</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是否</w:t>
            </w:r>
          </w:p>
          <w:p>
            <w:pPr>
              <w:widowControl/>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空表</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表格为空的理由</w:t>
            </w:r>
          </w:p>
        </w:tc>
      </w:tr>
      <w:tr>
        <w:tblPrEx>
          <w:tblCellMar>
            <w:top w:w="0" w:type="dxa"/>
            <w:left w:w="0" w:type="dxa"/>
            <w:bottom w:w="0" w:type="dxa"/>
            <w:right w:w="0" w:type="dxa"/>
          </w:tblCellMar>
        </w:tblPrEx>
        <w:trPr>
          <w:trHeight w:val="737" w:hRule="exac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表1</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收入支出决算总表</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lang w:eastAsia="zh-CN"/>
              </w:rPr>
            </w:pP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37" w:hRule="exac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表2</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收入决算表</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lang w:eastAsia="zh-CN"/>
              </w:rPr>
            </w:pP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37" w:hRule="exac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表3</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支出决算表</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lang w:eastAsia="zh-CN"/>
              </w:rPr>
            </w:pP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37" w:hRule="exac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表4</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财政拨款收入支出决算总表</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851" w:hRule="exac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表5</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一般公共预算财政拨款支出决算表（按功能分类科目）</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851" w:hRule="exac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表6</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一般公共预算财政拨款基本支出决算表 （按经济分类科目）</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86" w:hRule="exact"/>
        </w:trPr>
        <w:tc>
          <w:tcPr>
            <w:tcW w:w="67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表7</w:t>
            </w:r>
          </w:p>
        </w:tc>
        <w:tc>
          <w:tcPr>
            <w:tcW w:w="459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一般公共预算财政拨款“三公”经费及会议费、培训费支出决算表</w:t>
            </w:r>
          </w:p>
        </w:tc>
        <w:tc>
          <w:tcPr>
            <w:tcW w:w="96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c>
          <w:tcPr>
            <w:tcW w:w="207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36" w:hRule="exac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表</w:t>
            </w:r>
            <w:r>
              <w:rPr>
                <w:rFonts w:hint="eastAsia" w:ascii="仿宋_GB2312" w:hAnsi="仿宋_GB2312" w:eastAsia="仿宋_GB2312" w:cs="仿宋_GB2312"/>
                <w:color w:val="000000"/>
                <w:kern w:val="0"/>
                <w:sz w:val="28"/>
                <w:szCs w:val="28"/>
                <w:lang w:val="en-US" w:eastAsia="zh-CN"/>
              </w:rPr>
              <w:t>8</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政府性基金预算财政拨款收入支出决算表</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36" w:hRule="exact"/>
        </w:trPr>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表</w:t>
            </w:r>
            <w:r>
              <w:rPr>
                <w:rFonts w:hint="eastAsia" w:ascii="仿宋_GB2312" w:hAnsi="仿宋_GB2312" w:eastAsia="仿宋_GB2312" w:cs="仿宋_GB2312"/>
                <w:color w:val="000000"/>
                <w:kern w:val="0"/>
                <w:sz w:val="28"/>
                <w:szCs w:val="28"/>
                <w:lang w:val="en-US" w:eastAsia="zh-CN"/>
              </w:rPr>
              <w:t>9</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国有资本经营预算财政拨款支出决算表</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是</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1"/>
                <w:szCs w:val="21"/>
                <w:lang w:eastAsia="zh-CN"/>
              </w:rPr>
              <w:t>本单位无国有资本</w:t>
            </w:r>
          </w:p>
        </w:tc>
      </w:tr>
    </w:tbl>
    <w:p>
      <w:pPr>
        <w:bidi w:val="0"/>
        <w:jc w:val="center"/>
        <w:rPr>
          <w:rFonts w:hint="eastAsia"/>
          <w:lang w:eastAsia="zh-CN"/>
        </w:rPr>
      </w:pPr>
      <w:r>
        <w:rPr>
          <w:rFonts w:hint="eastAsia"/>
          <w:lang w:eastAsia="zh-CN"/>
        </w:rPr>
        <w:t>目</w:t>
      </w:r>
      <w:r>
        <w:rPr>
          <w:rFonts w:hint="eastAsia"/>
          <w:lang w:val="en-US" w:eastAsia="zh-CN"/>
        </w:rPr>
        <w:t xml:space="preserve">  </w:t>
      </w:r>
      <w:r>
        <w:rPr>
          <w:rFonts w:hint="eastAsia"/>
          <w:lang w:eastAsia="zh-CN"/>
        </w:rPr>
        <w:t>录</w:t>
      </w:r>
    </w:p>
    <w:p>
      <w:pPr>
        <w:bidi w:val="0"/>
        <w:jc w:val="center"/>
        <w:rPr>
          <w:rFonts w:hint="eastAsia"/>
          <w:lang w:eastAsia="zh-CN"/>
        </w:rPr>
      </w:pPr>
    </w:p>
    <w:p>
      <w:pPr>
        <w:bidi w:val="0"/>
        <w:rPr>
          <w:rFonts w:hint="eastAsia"/>
        </w:rPr>
      </w:pPr>
    </w:p>
    <w:p>
      <w:pPr>
        <w:bidi w:val="0"/>
        <w:jc w:val="left"/>
        <w:rPr>
          <w:rFonts w:hint="eastAsia"/>
          <w:lang w:eastAsia="zh-CN"/>
        </w:rPr>
      </w:pPr>
    </w:p>
    <w:p>
      <w:pPr>
        <w:bidi w:val="0"/>
        <w:jc w:val="left"/>
        <w:rPr>
          <w:rFonts w:hint="eastAsia"/>
          <w:lang w:eastAsia="zh-CN"/>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r>
        <w:rPr>
          <w:rFonts w:hint="eastAsia" w:ascii="宋体" w:hAnsi="宋体" w:eastAsia="宋体" w:cs="宋体"/>
          <w:b/>
          <w:bCs/>
          <w:sz w:val="32"/>
          <w:szCs w:val="32"/>
        </w:rPr>
        <w:t>收入支出决算总表</w:t>
      </w:r>
    </w:p>
    <w:p>
      <w:pPr>
        <w:jc w:val="right"/>
        <w:rPr>
          <w:rFonts w:hint="eastAsia" w:ascii="宋体" w:hAnsi="宋体" w:eastAsia="宋体" w:cs="宋体"/>
          <w:b/>
          <w:bCs/>
          <w:sz w:val="20"/>
          <w:szCs w:val="20"/>
        </w:rPr>
      </w:pPr>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公开01表</w:t>
      </w:r>
    </w:p>
    <w:p>
      <w:pPr>
        <w:rPr>
          <w:rFonts w:hint="eastAsia" w:ascii="宋体" w:hAnsi="宋体" w:eastAsia="宋体" w:cs="宋体"/>
          <w:b/>
          <w:bCs/>
          <w:sz w:val="20"/>
          <w:szCs w:val="20"/>
        </w:rPr>
      </w:pPr>
      <w:r>
        <w:rPr>
          <w:rFonts w:hint="eastAsia" w:ascii="宋体" w:hAnsi="宋体" w:eastAsia="宋体" w:cs="宋体"/>
          <w:b/>
          <w:bCs/>
          <w:sz w:val="20"/>
          <w:szCs w:val="20"/>
        </w:rPr>
        <w:t xml:space="preserve">编制部门：                                                  </w:t>
      </w:r>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 xml:space="preserve">     金额单位：万元</w:t>
      </w:r>
    </w:p>
    <w:tbl>
      <w:tblPr>
        <w:tblStyle w:val="6"/>
        <w:tblW w:w="0" w:type="auto"/>
        <w:tblInd w:w="0" w:type="dxa"/>
        <w:tblLayout w:type="fixed"/>
        <w:tblCellMar>
          <w:top w:w="15" w:type="dxa"/>
          <w:left w:w="15" w:type="dxa"/>
          <w:bottom w:w="15" w:type="dxa"/>
          <w:right w:w="15" w:type="dxa"/>
        </w:tblCellMar>
      </w:tblPr>
      <w:tblGrid>
        <w:gridCol w:w="3275"/>
        <w:gridCol w:w="1037"/>
        <w:gridCol w:w="3060"/>
        <w:gridCol w:w="968"/>
      </w:tblGrid>
      <w:tr>
        <w:tblPrEx>
          <w:tblCellMar>
            <w:top w:w="15" w:type="dxa"/>
            <w:left w:w="15" w:type="dxa"/>
            <w:bottom w:w="15" w:type="dxa"/>
            <w:right w:w="15" w:type="dxa"/>
          </w:tblCellMar>
        </w:tblPrEx>
        <w:trPr>
          <w:trHeight w:val="424" w:hRule="atLeast"/>
        </w:trPr>
        <w:tc>
          <w:tcPr>
            <w:tcW w:w="43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收    入</w:t>
            </w:r>
          </w:p>
        </w:tc>
        <w:tc>
          <w:tcPr>
            <w:tcW w:w="40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支    出</w:t>
            </w:r>
          </w:p>
        </w:tc>
      </w:tr>
      <w:tr>
        <w:tblPrEx>
          <w:tblCellMar>
            <w:top w:w="15" w:type="dxa"/>
            <w:left w:w="15" w:type="dxa"/>
            <w:bottom w:w="15" w:type="dxa"/>
            <w:right w:w="15" w:type="dxa"/>
          </w:tblCellMar>
        </w:tblPrEx>
        <w:trPr>
          <w:trHeight w:val="387"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项    目</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决算数</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项目</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决算数</w:t>
            </w:r>
          </w:p>
        </w:tc>
      </w:tr>
      <w:tr>
        <w:tblPrEx>
          <w:tblCellMar>
            <w:top w:w="15" w:type="dxa"/>
            <w:left w:w="15" w:type="dxa"/>
            <w:bottom w:w="15" w:type="dxa"/>
            <w:right w:w="15" w:type="dxa"/>
          </w:tblCellMar>
        </w:tblPrEx>
        <w:trPr>
          <w:trHeight w:val="326"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1、一般公共预算财政拨款</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1527.7</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1、一般公共服务支出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16.85</w:t>
            </w:r>
          </w:p>
        </w:tc>
      </w:tr>
      <w:tr>
        <w:tblPrEx>
          <w:tblCellMar>
            <w:top w:w="15" w:type="dxa"/>
            <w:left w:w="15" w:type="dxa"/>
            <w:bottom w:w="15" w:type="dxa"/>
            <w:right w:w="15" w:type="dxa"/>
          </w:tblCellMar>
        </w:tblPrEx>
        <w:trPr>
          <w:trHeight w:val="326"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2、政府性基金预算财政拨款</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112.92</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2、外交支出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26"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3、国有资本经营预算财政拨款 </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3、国防支出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26"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4、上级补助收入</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4、公共安全支出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26"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5、事业收入</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5、教育支出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26"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6、经营收入</w:t>
            </w:r>
          </w:p>
        </w:tc>
        <w:tc>
          <w:tcPr>
            <w:tcW w:w="1037"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6、科学技术支出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26"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7、附属单位上缴收入</w:t>
            </w:r>
          </w:p>
        </w:tc>
        <w:tc>
          <w:tcPr>
            <w:tcW w:w="1037"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7、文化旅游体育与传媒支出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1492.79</w:t>
            </w:r>
          </w:p>
        </w:tc>
      </w:tr>
      <w:tr>
        <w:tblPrEx>
          <w:tblCellMar>
            <w:top w:w="15" w:type="dxa"/>
            <w:left w:w="15" w:type="dxa"/>
            <w:bottom w:w="15" w:type="dxa"/>
            <w:right w:w="15" w:type="dxa"/>
          </w:tblCellMar>
        </w:tblPrEx>
        <w:trPr>
          <w:trHeight w:val="326"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8、其他收入</w:t>
            </w:r>
          </w:p>
        </w:tc>
        <w:tc>
          <w:tcPr>
            <w:tcW w:w="1037"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8、社会保障和就业支出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13.09</w:t>
            </w:r>
          </w:p>
        </w:tc>
      </w:tr>
      <w:tr>
        <w:tblPrEx>
          <w:tblCellMar>
            <w:top w:w="15" w:type="dxa"/>
            <w:left w:w="15" w:type="dxa"/>
            <w:bottom w:w="15" w:type="dxa"/>
            <w:right w:w="15" w:type="dxa"/>
          </w:tblCellMar>
        </w:tblPrEx>
        <w:trPr>
          <w:trHeight w:val="326"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p>
        </w:tc>
        <w:tc>
          <w:tcPr>
            <w:tcW w:w="1037"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9、卫生健康支出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4.97</w:t>
            </w:r>
          </w:p>
        </w:tc>
      </w:tr>
      <w:tr>
        <w:tblPrEx>
          <w:tblCellMar>
            <w:top w:w="15" w:type="dxa"/>
            <w:left w:w="15" w:type="dxa"/>
            <w:bottom w:w="15" w:type="dxa"/>
            <w:right w:w="15" w:type="dxa"/>
          </w:tblCellMar>
        </w:tblPrEx>
        <w:trPr>
          <w:trHeight w:val="315"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p>
        </w:tc>
        <w:tc>
          <w:tcPr>
            <w:tcW w:w="1037"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10、节能环保支出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49"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p>
        </w:tc>
        <w:tc>
          <w:tcPr>
            <w:tcW w:w="1037"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11、城乡社区支出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26"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12、农林水支出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39"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13、交通运输支出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35" w:hRule="atLeast"/>
        </w:trPr>
        <w:tc>
          <w:tcPr>
            <w:tcW w:w="327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14、资源勘探信息等支出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35" w:hRule="atLeast"/>
        </w:trPr>
        <w:tc>
          <w:tcPr>
            <w:tcW w:w="327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15、商业服务业等支出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24" w:hRule="atLeast"/>
        </w:trPr>
        <w:tc>
          <w:tcPr>
            <w:tcW w:w="327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16、金融支出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37" w:hRule="atLeast"/>
        </w:trPr>
        <w:tc>
          <w:tcPr>
            <w:tcW w:w="327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17、援助其他地区支出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15" w:hRule="atLeast"/>
        </w:trPr>
        <w:tc>
          <w:tcPr>
            <w:tcW w:w="327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18、自然资源海洋气象等支出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61" w:hRule="atLeast"/>
        </w:trPr>
        <w:tc>
          <w:tcPr>
            <w:tcW w:w="327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19、住房保障支出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35" w:hRule="atLeast"/>
        </w:trPr>
        <w:tc>
          <w:tcPr>
            <w:tcW w:w="327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20、粮油物资储备支出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35" w:hRule="atLeast"/>
        </w:trPr>
        <w:tc>
          <w:tcPr>
            <w:tcW w:w="327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highlight w:val="none"/>
              </w:rPr>
              <w:t>2</w:t>
            </w:r>
            <w:r>
              <w:rPr>
                <w:rFonts w:hint="eastAsia" w:ascii="宋体" w:hAnsi="宋体" w:eastAsia="宋体" w:cs="宋体"/>
                <w:color w:val="000000"/>
                <w:kern w:val="0"/>
                <w:sz w:val="22"/>
                <w:szCs w:val="22"/>
                <w:highlight w:val="none"/>
                <w:lang w:val="en-US" w:eastAsia="zh-CN"/>
              </w:rPr>
              <w:t>1</w:t>
            </w:r>
            <w:r>
              <w:rPr>
                <w:rFonts w:hint="eastAsia" w:ascii="宋体" w:hAnsi="宋体" w:eastAsia="宋体" w:cs="宋体"/>
                <w:color w:val="000000"/>
                <w:kern w:val="0"/>
                <w:sz w:val="22"/>
                <w:szCs w:val="22"/>
                <w:highlight w:val="none"/>
              </w:rPr>
              <w:t>、</w:t>
            </w:r>
            <w:r>
              <w:rPr>
                <w:rFonts w:hint="eastAsia" w:ascii="宋体" w:hAnsi="宋体" w:eastAsia="宋体" w:cs="宋体"/>
                <w:color w:val="000000"/>
                <w:kern w:val="0"/>
                <w:sz w:val="22"/>
                <w:szCs w:val="22"/>
                <w:highlight w:val="none"/>
                <w:lang w:eastAsia="zh-CN"/>
              </w:rPr>
              <w:t>国有资本经营预算支出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16" w:hRule="atLeast"/>
        </w:trPr>
        <w:tc>
          <w:tcPr>
            <w:tcW w:w="327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r>
              <w:rPr>
                <w:rFonts w:hint="eastAsia" w:ascii="宋体" w:hAnsi="宋体" w:eastAsia="宋体" w:cs="宋体"/>
                <w:color w:val="000000"/>
                <w:kern w:val="0"/>
                <w:sz w:val="22"/>
                <w:szCs w:val="22"/>
                <w:lang w:val="en-US" w:eastAsia="zh-CN"/>
              </w:rPr>
              <w:t>2</w:t>
            </w:r>
            <w:r>
              <w:rPr>
                <w:rFonts w:hint="eastAsia" w:ascii="宋体" w:hAnsi="宋体" w:eastAsia="宋体" w:cs="宋体"/>
                <w:color w:val="000000"/>
                <w:kern w:val="0"/>
                <w:sz w:val="22"/>
                <w:szCs w:val="22"/>
              </w:rPr>
              <w:t>、灾害防治及应急管理支出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16" w:hRule="atLeast"/>
        </w:trPr>
        <w:tc>
          <w:tcPr>
            <w:tcW w:w="327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、其他支出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112.92</w:t>
            </w:r>
          </w:p>
        </w:tc>
      </w:tr>
      <w:tr>
        <w:tblPrEx>
          <w:tblCellMar>
            <w:top w:w="15" w:type="dxa"/>
            <w:left w:w="15" w:type="dxa"/>
            <w:bottom w:w="15" w:type="dxa"/>
            <w:right w:w="15" w:type="dxa"/>
          </w:tblCellMar>
        </w:tblPrEx>
        <w:trPr>
          <w:trHeight w:val="415" w:hRule="atLeast"/>
        </w:trPr>
        <w:tc>
          <w:tcPr>
            <w:tcW w:w="327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本年收入合计</w:t>
            </w:r>
          </w:p>
        </w:tc>
        <w:tc>
          <w:tcPr>
            <w:tcW w:w="103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1640.62</w:t>
            </w:r>
          </w:p>
        </w:tc>
        <w:tc>
          <w:tcPr>
            <w:tcW w:w="306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本年支出合计</w:t>
            </w:r>
          </w:p>
        </w:tc>
        <w:tc>
          <w:tcPr>
            <w:tcW w:w="968" w:type="dxa"/>
            <w:tcBorders>
              <w:top w:val="single" w:color="000000" w:sz="4" w:space="0"/>
              <w:left w:val="single" w:color="000000" w:sz="4" w:space="0"/>
              <w:right w:val="single" w:color="000000" w:sz="4" w:space="0"/>
            </w:tcBorders>
            <w:noWrap w:val="0"/>
            <w:vAlign w:val="center"/>
          </w:tcPr>
          <w:p>
            <w:pPr>
              <w:jc w:val="center"/>
              <w:rPr>
                <w:rFonts w:hint="default" w:ascii="宋体" w:hAnsi="宋体" w:eastAsia="宋体" w:cs="宋体"/>
                <w:b/>
                <w:color w:val="000000"/>
                <w:sz w:val="22"/>
                <w:szCs w:val="22"/>
                <w:lang w:val="en-US" w:eastAsia="zh-CN"/>
              </w:rPr>
            </w:pPr>
            <w:r>
              <w:rPr>
                <w:rFonts w:hint="eastAsia" w:ascii="宋体" w:hAnsi="宋体" w:eastAsia="宋体" w:cs="宋体"/>
                <w:b/>
                <w:color w:val="000000"/>
                <w:sz w:val="22"/>
                <w:szCs w:val="22"/>
                <w:lang w:val="en-US" w:eastAsia="zh-CN"/>
              </w:rPr>
              <w:t>1640.62</w:t>
            </w:r>
          </w:p>
        </w:tc>
      </w:tr>
      <w:tr>
        <w:tblPrEx>
          <w:tblCellMar>
            <w:top w:w="15" w:type="dxa"/>
            <w:left w:w="15" w:type="dxa"/>
            <w:bottom w:w="15" w:type="dxa"/>
            <w:right w:w="15" w:type="dxa"/>
          </w:tblCellMar>
        </w:tblPrEx>
        <w:trPr>
          <w:trHeight w:val="368"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bCs/>
                <w:color w:val="000000"/>
                <w:sz w:val="22"/>
                <w:szCs w:val="22"/>
                <w:lang w:eastAsia="zh-CN"/>
              </w:rPr>
            </w:pPr>
            <w:r>
              <w:rPr>
                <w:rFonts w:hint="eastAsia" w:ascii="宋体" w:hAnsi="宋体" w:eastAsia="宋体" w:cs="宋体"/>
                <w:bCs/>
                <w:color w:val="000000"/>
                <w:kern w:val="0"/>
                <w:sz w:val="22"/>
                <w:szCs w:val="22"/>
                <w:highlight w:val="none"/>
                <w:lang w:eastAsia="zh-CN"/>
              </w:rPr>
              <w:t>使</w:t>
            </w:r>
            <w:r>
              <w:rPr>
                <w:rFonts w:hint="eastAsia" w:ascii="宋体" w:hAnsi="宋体" w:eastAsia="宋体" w:cs="宋体"/>
                <w:bCs/>
                <w:color w:val="000000"/>
                <w:kern w:val="0"/>
                <w:sz w:val="22"/>
                <w:szCs w:val="22"/>
                <w:highlight w:val="none"/>
              </w:rPr>
              <w:t>用</w:t>
            </w:r>
            <w:r>
              <w:rPr>
                <w:rFonts w:hint="eastAsia" w:ascii="宋体" w:hAnsi="宋体" w:eastAsia="宋体" w:cs="宋体"/>
                <w:bCs/>
                <w:color w:val="000000"/>
                <w:kern w:val="0"/>
                <w:sz w:val="22"/>
                <w:szCs w:val="22"/>
                <w:highlight w:val="none"/>
                <w:lang w:eastAsia="zh-CN"/>
              </w:rPr>
              <w:t>非财政拨款结余</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Cs/>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bCs/>
                <w:color w:val="000000"/>
                <w:sz w:val="22"/>
                <w:szCs w:val="22"/>
              </w:rPr>
            </w:pPr>
            <w:r>
              <w:rPr>
                <w:rFonts w:hint="eastAsia" w:ascii="宋体" w:hAnsi="宋体" w:eastAsia="宋体" w:cs="宋体"/>
                <w:bCs/>
                <w:color w:val="000000"/>
                <w:kern w:val="0"/>
                <w:sz w:val="22"/>
                <w:szCs w:val="22"/>
              </w:rPr>
              <w:t xml:space="preserve">结余分配 </w:t>
            </w:r>
          </w:p>
        </w:tc>
        <w:tc>
          <w:tcPr>
            <w:tcW w:w="968"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80"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bCs/>
                <w:color w:val="000000"/>
                <w:sz w:val="22"/>
                <w:szCs w:val="22"/>
              </w:rPr>
            </w:pPr>
            <w:r>
              <w:rPr>
                <w:rFonts w:hint="eastAsia" w:ascii="宋体" w:hAnsi="宋体" w:eastAsia="宋体" w:cs="宋体"/>
                <w:bCs/>
                <w:color w:val="000000"/>
                <w:kern w:val="0"/>
                <w:sz w:val="22"/>
                <w:szCs w:val="22"/>
              </w:rPr>
              <w:t>年初结转和结余</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Cs/>
                <w:color w:val="000000"/>
                <w:sz w:val="22"/>
                <w:szCs w:val="22"/>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bCs/>
                <w:color w:val="000000"/>
                <w:sz w:val="22"/>
                <w:szCs w:val="22"/>
              </w:rPr>
            </w:pPr>
            <w:r>
              <w:rPr>
                <w:rFonts w:hint="eastAsia" w:ascii="宋体" w:hAnsi="宋体" w:eastAsia="宋体" w:cs="宋体"/>
                <w:bCs/>
                <w:color w:val="000000"/>
                <w:kern w:val="0"/>
                <w:sz w:val="22"/>
                <w:szCs w:val="22"/>
              </w:rPr>
              <w:t>年末结转和结余</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412" w:hRule="atLeast"/>
        </w:trPr>
        <w:tc>
          <w:tcPr>
            <w:tcW w:w="3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收入总计</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1640.62</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支出总计</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color w:val="000000"/>
                <w:sz w:val="22"/>
                <w:szCs w:val="22"/>
                <w:lang w:val="en-US" w:eastAsia="zh-CN"/>
              </w:rPr>
            </w:pPr>
            <w:r>
              <w:rPr>
                <w:rFonts w:hint="eastAsia" w:ascii="宋体" w:hAnsi="宋体" w:eastAsia="宋体" w:cs="宋体"/>
                <w:b/>
                <w:color w:val="000000"/>
                <w:sz w:val="22"/>
                <w:szCs w:val="22"/>
                <w:lang w:val="en-US" w:eastAsia="zh-CN"/>
              </w:rPr>
              <w:t>1640.62</w:t>
            </w:r>
          </w:p>
        </w:tc>
      </w:tr>
    </w:tbl>
    <w:p>
      <w:pPr>
        <w:widowControl/>
        <w:jc w:val="left"/>
        <w:rPr>
          <w:rFonts w:hint="eastAsia" w:ascii="仿宋_GB2312" w:hAnsi="仿宋_GB2312" w:eastAsia="仿宋_GB2312" w:cs="仿宋_GB2312"/>
          <w:sz w:val="21"/>
          <w:szCs w:val="21"/>
        </w:rPr>
      </w:pPr>
      <w:r>
        <w:rPr>
          <w:rFonts w:hint="eastAsia" w:ascii="宋体" w:hAnsi="宋体" w:eastAsia="宋体" w:cs="宋体"/>
          <w:color w:val="000000"/>
          <w:kern w:val="0"/>
          <w:sz w:val="22"/>
          <w:szCs w:val="22"/>
        </w:rPr>
        <w:t>注：本表反映部门本年度的总收支和年末结转结余情况。本表金额转换为万元时，因四舍五入可能存在尾差。</w:t>
      </w:r>
    </w:p>
    <w:p>
      <w:pPr>
        <w:jc w:val="center"/>
        <w:rPr>
          <w:rFonts w:hint="eastAsia" w:ascii="宋体" w:hAnsi="宋体" w:eastAsia="宋体" w:cs="宋体"/>
          <w:b/>
          <w:bCs/>
          <w:sz w:val="32"/>
          <w:szCs w:val="32"/>
        </w:rPr>
      </w:pPr>
      <w:r>
        <w:rPr>
          <w:rFonts w:hint="eastAsia" w:ascii="宋体" w:hAnsi="宋体" w:eastAsia="宋体" w:cs="宋体"/>
          <w:b/>
          <w:bCs/>
          <w:sz w:val="32"/>
          <w:szCs w:val="32"/>
        </w:rPr>
        <w:t>收入决算表</w:t>
      </w:r>
    </w:p>
    <w:p>
      <w:pPr>
        <w:jc w:val="right"/>
        <w:rPr>
          <w:rFonts w:hint="eastAsia" w:ascii="宋体" w:hAnsi="宋体" w:eastAsia="宋体" w:cs="宋体"/>
          <w:b/>
          <w:bCs/>
          <w:sz w:val="20"/>
          <w:szCs w:val="20"/>
        </w:rPr>
      </w:pPr>
      <w:r>
        <w:rPr>
          <w:rFonts w:hint="eastAsia" w:ascii="宋体" w:hAnsi="宋体" w:eastAsia="宋体" w:cs="宋体"/>
          <w:b/>
          <w:bCs/>
          <w:sz w:val="20"/>
          <w:szCs w:val="20"/>
        </w:rPr>
        <w:t>公开02表</w:t>
      </w:r>
    </w:p>
    <w:p>
      <w:pPr>
        <w:jc w:val="right"/>
        <w:rPr>
          <w:rFonts w:hint="eastAsia" w:ascii="宋体" w:hAnsi="宋体" w:eastAsia="宋体" w:cs="宋体"/>
          <w:b/>
          <w:bCs/>
          <w:sz w:val="20"/>
          <w:szCs w:val="20"/>
        </w:rPr>
      </w:pPr>
      <w:r>
        <w:rPr>
          <w:rFonts w:hint="eastAsia" w:ascii="宋体" w:hAnsi="宋体" w:eastAsia="宋体" w:cs="宋体"/>
          <w:b/>
          <w:bCs/>
          <w:sz w:val="20"/>
          <w:szCs w:val="20"/>
        </w:rPr>
        <w:t xml:space="preserve">编制部门：                                       </w:t>
      </w:r>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 xml:space="preserve">                金额单位：万元</w:t>
      </w:r>
    </w:p>
    <w:tbl>
      <w:tblPr>
        <w:tblStyle w:val="6"/>
        <w:tblW w:w="0" w:type="auto"/>
        <w:tblInd w:w="0" w:type="dxa"/>
        <w:tblLayout w:type="fixed"/>
        <w:tblCellMar>
          <w:top w:w="15" w:type="dxa"/>
          <w:left w:w="15" w:type="dxa"/>
          <w:bottom w:w="15" w:type="dxa"/>
          <w:right w:w="15" w:type="dxa"/>
        </w:tblCellMar>
      </w:tblPr>
      <w:tblGrid>
        <w:gridCol w:w="927"/>
        <w:gridCol w:w="878"/>
        <w:gridCol w:w="890"/>
        <w:gridCol w:w="975"/>
        <w:gridCol w:w="728"/>
        <w:gridCol w:w="590"/>
        <w:gridCol w:w="1221"/>
        <w:gridCol w:w="858"/>
        <w:gridCol w:w="632"/>
        <w:gridCol w:w="598"/>
      </w:tblGrid>
      <w:tr>
        <w:tblPrEx>
          <w:tblCellMar>
            <w:top w:w="15" w:type="dxa"/>
            <w:left w:w="15" w:type="dxa"/>
            <w:bottom w:w="15" w:type="dxa"/>
            <w:right w:w="15" w:type="dxa"/>
          </w:tblCellMar>
        </w:tblPrEx>
        <w:trPr>
          <w:trHeight w:val="439" w:hRule="atLeast"/>
        </w:trPr>
        <w:tc>
          <w:tcPr>
            <w:tcW w:w="18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w:t>
            </w:r>
          </w:p>
        </w:tc>
        <w:tc>
          <w:tcPr>
            <w:tcW w:w="8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本年收入合计</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财政拨款收入</w:t>
            </w:r>
          </w:p>
        </w:tc>
        <w:tc>
          <w:tcPr>
            <w:tcW w:w="7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上级补助收入</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事业收入</w:t>
            </w:r>
          </w:p>
        </w:tc>
        <w:tc>
          <w:tcPr>
            <w:tcW w:w="8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经营</w:t>
            </w:r>
          </w:p>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收入</w:t>
            </w:r>
          </w:p>
        </w:tc>
        <w:tc>
          <w:tcPr>
            <w:tcW w:w="63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附属单位上缴收入</w:t>
            </w:r>
          </w:p>
        </w:tc>
        <w:tc>
          <w:tcPr>
            <w:tcW w:w="5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其他</w:t>
            </w:r>
          </w:p>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功能分类科目编码</w:t>
            </w:r>
          </w:p>
        </w:tc>
        <w:tc>
          <w:tcPr>
            <w:tcW w:w="878"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w:t>
            </w:r>
          </w:p>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名称</w:t>
            </w: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小计</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其中：教育</w:t>
            </w:r>
          </w:p>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 xml:space="preserve">      </w:t>
            </w:r>
            <w:r>
              <w:rPr>
                <w:rFonts w:hint="eastAsia" w:ascii="宋体" w:hAnsi="宋体" w:eastAsia="宋体" w:cs="宋体"/>
                <w:b/>
                <w:bCs/>
                <w:color w:val="000000"/>
                <w:kern w:val="0"/>
                <w:sz w:val="22"/>
                <w:szCs w:val="22"/>
                <w:lang w:eastAsia="zh-CN"/>
              </w:rPr>
              <w:t>收</w:t>
            </w:r>
            <w:r>
              <w:rPr>
                <w:rFonts w:hint="eastAsia" w:ascii="宋体" w:hAnsi="宋体" w:eastAsia="宋体" w:cs="宋体"/>
                <w:b/>
                <w:bCs/>
                <w:color w:val="000000"/>
                <w:kern w:val="0"/>
                <w:sz w:val="22"/>
                <w:szCs w:val="22"/>
              </w:rPr>
              <w:t>费</w:t>
            </w:r>
          </w:p>
        </w:tc>
        <w:tc>
          <w:tcPr>
            <w:tcW w:w="85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r>
      <w:tr>
        <w:tblPrEx>
          <w:tblCellMar>
            <w:top w:w="15" w:type="dxa"/>
            <w:left w:w="15" w:type="dxa"/>
            <w:bottom w:w="15" w:type="dxa"/>
            <w:right w:w="15" w:type="dxa"/>
          </w:tblCellMar>
        </w:tblPrEx>
        <w:trPr>
          <w:trHeight w:val="439" w:hRule="atLeast"/>
        </w:trPr>
        <w:tc>
          <w:tcPr>
            <w:tcW w:w="18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b/>
                <w:bCs/>
                <w:color w:val="000000"/>
                <w:kern w:val="0"/>
                <w:sz w:val="22"/>
                <w:szCs w:val="22"/>
              </w:rPr>
              <w:t>合计</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1,640.62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1,640.62</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201</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一般公共服务支出</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16.85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16.85</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20199</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其他一般公共服务支出</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16.85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16.85</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2019999</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其他一般公共服务支出</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16.85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16.85</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文化旅游体育与传媒支出</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1,492.79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1,492.79</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20701</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文化和旅游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529.94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529.94</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2070101</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行政运行</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101.14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101.14</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2070102</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一般行政管理事务</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40.00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2070108</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文化活动</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15.00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15.00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2070111</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文化创作与保护</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13.00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13.00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2070199</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其他文化和旅游支出</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360.80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360.80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20702</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文物</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177.29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177.29</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2070202</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一般行政管理事务</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1.22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1.22</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2070204</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文物保护</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176.07</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176.07</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20703</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体育</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781.18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781.18</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2070305</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体育竞赛</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671.89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671.89</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2070307</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体育场馆</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36.00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36.00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2070308</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群众体育</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23.29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23.29</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2070399</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其他体育支出</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50.00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20799</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4.38</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2079999</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其他文化旅游体育与传媒支出</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4.38</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13.09</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20805</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13.09</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2080505</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13.09</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卫生健康支出</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4.97</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4.97</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21011</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行政事业单位医疗</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4.97</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4.97</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2101101</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行政单位医疗</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4.97</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4.97</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229</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其他支出</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112.92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112.92</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22960</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彩票公益金安排的支出</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112.92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112.92</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bl>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注：本表反映部门本年度取得的各项收入情况。本表金额转换为万元时，因四舍五入可能存在尾差。</w:t>
      </w:r>
    </w:p>
    <w:p>
      <w:pPr>
        <w:widowControl/>
        <w:jc w:val="left"/>
        <w:textAlignment w:val="center"/>
        <w:rPr>
          <w:rFonts w:hint="eastAsia" w:ascii="宋体" w:hAnsi="宋体" w:eastAsia="宋体" w:cs="宋体"/>
          <w:color w:val="000000"/>
          <w:kern w:val="0"/>
          <w:sz w:val="22"/>
          <w:szCs w:val="22"/>
        </w:rPr>
      </w:pPr>
    </w:p>
    <w:p>
      <w:pPr>
        <w:jc w:val="center"/>
        <w:rPr>
          <w:rFonts w:hint="eastAsia" w:ascii="宋体" w:hAnsi="宋体" w:eastAsia="宋体" w:cs="宋体"/>
          <w:b/>
          <w:bCs/>
          <w:sz w:val="32"/>
          <w:szCs w:val="32"/>
        </w:rPr>
      </w:pPr>
      <w:r>
        <w:rPr>
          <w:rFonts w:hint="eastAsia" w:ascii="宋体" w:hAnsi="宋体" w:eastAsia="宋体" w:cs="宋体"/>
          <w:b/>
          <w:bCs/>
          <w:sz w:val="32"/>
          <w:szCs w:val="32"/>
        </w:rPr>
        <w:t>支出决算表</w:t>
      </w:r>
    </w:p>
    <w:p>
      <w:pPr>
        <w:jc w:val="right"/>
        <w:rPr>
          <w:rFonts w:hint="eastAsia" w:ascii="宋体" w:hAnsi="宋体" w:eastAsia="宋体" w:cs="宋体"/>
          <w:b/>
          <w:bCs/>
          <w:sz w:val="20"/>
          <w:szCs w:val="20"/>
        </w:rPr>
      </w:pPr>
      <w:r>
        <w:rPr>
          <w:rFonts w:hint="eastAsia" w:ascii="仿宋_GB2312" w:hAnsi="仿宋_GB2312" w:eastAsia="仿宋_GB2312" w:cs="仿宋_GB2312"/>
          <w:b/>
          <w:bCs/>
          <w:sz w:val="21"/>
          <w:szCs w:val="21"/>
        </w:rPr>
        <w:t xml:space="preserve"> </w:t>
      </w:r>
      <w:r>
        <w:rPr>
          <w:rFonts w:hint="eastAsia" w:ascii="宋体" w:hAnsi="宋体" w:eastAsia="宋体" w:cs="宋体"/>
          <w:b/>
          <w:bCs/>
          <w:sz w:val="20"/>
          <w:szCs w:val="20"/>
        </w:rPr>
        <w:t xml:space="preserve">                                         </w:t>
      </w:r>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公开03表</w:t>
      </w:r>
    </w:p>
    <w:p>
      <w:pPr>
        <w:jc w:val="right"/>
        <w:rPr>
          <w:rFonts w:hint="eastAsia" w:ascii="宋体" w:hAnsi="宋体" w:eastAsia="宋体" w:cs="宋体"/>
          <w:b/>
          <w:bCs/>
          <w:sz w:val="20"/>
          <w:szCs w:val="20"/>
        </w:rPr>
      </w:pPr>
      <w:r>
        <w:rPr>
          <w:rFonts w:hint="eastAsia" w:ascii="宋体" w:hAnsi="宋体" w:eastAsia="宋体" w:cs="宋体"/>
          <w:b/>
          <w:bCs/>
          <w:sz w:val="20"/>
          <w:szCs w:val="20"/>
        </w:rPr>
        <w:t xml:space="preserve">编制部门：           </w:t>
      </w:r>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 xml:space="preserve">                                            金额单位：万元</w:t>
      </w:r>
    </w:p>
    <w:tbl>
      <w:tblPr>
        <w:tblStyle w:val="6"/>
        <w:tblW w:w="0" w:type="auto"/>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722"/>
        <w:gridCol w:w="934"/>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w:t>
            </w: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lang w:eastAsia="zh-CN"/>
              </w:rPr>
            </w:pPr>
            <w:r>
              <w:rPr>
                <w:rFonts w:hint="eastAsia" w:ascii="宋体" w:hAnsi="宋体" w:eastAsia="宋体" w:cs="宋体"/>
                <w:b/>
                <w:bCs/>
                <w:color w:val="000000"/>
                <w:kern w:val="0"/>
                <w:sz w:val="22"/>
                <w:szCs w:val="22"/>
                <w:lang w:eastAsia="zh-CN"/>
              </w:rPr>
              <w:t>本年支出</w:t>
            </w:r>
          </w:p>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9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上缴上</w:t>
            </w:r>
          </w:p>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级支出</w:t>
            </w:r>
          </w:p>
        </w:tc>
        <w:tc>
          <w:tcPr>
            <w:tcW w:w="72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经营支出</w:t>
            </w:r>
          </w:p>
        </w:tc>
        <w:tc>
          <w:tcPr>
            <w:tcW w:w="9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对附属单位</w:t>
            </w:r>
          </w:p>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功能分类科目编码</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c>
          <w:tcPr>
            <w:tcW w:w="11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2"/>
                <w:szCs w:val="22"/>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b/>
                <w:bCs/>
                <w:color w:val="000000"/>
                <w:kern w:val="0"/>
                <w:sz w:val="22"/>
                <w:szCs w:val="22"/>
              </w:rPr>
              <w:t>合计</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1,640.62</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125.24</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1,515.38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515"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201</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一般公共服务支出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16.85</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6.05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10.80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20199</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其他一般公共服务支出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16.85</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6.05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10.80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2019999</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其他一般公共服务支出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16.85</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6.05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10.80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文化旅游体育与传媒支出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1,492.79</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101.14</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1,391.65</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20701</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文化和旅游</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529.94</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101.14</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428.80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2070101</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行政运行</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101.14</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101.14</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2070102</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一般行政管理事务</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40.00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40.00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2070108</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文化活动</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15.00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15.00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2070111</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文化创作与保护</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13.00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13.00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2070199</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其他文化和旅游支出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360.80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360.80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20702</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文物</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177.29</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177.29</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2070202</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一般行政管理事务</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1.22</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1.22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2070204</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文物保护</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176.07</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176.07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20703</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体育</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781.18</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781.18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2070305</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体育竞赛</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671.89</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671.89</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2070307</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体育场馆</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36.00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36.00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2070308</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群众体育</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23.29</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23.29</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2070399</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其他体育支出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50.00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50.00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20799</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4.38</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4.38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2079999</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其他文化旅游体育与传媒支出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4.38</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4.38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208</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13.09</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13.09</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20805</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13.09</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13.09</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2080505</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13.09</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13.09</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卫生健康支出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4.97</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4.97</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21011</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行政事业单位医疗</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4.97</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4.97</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2101101</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行政单位医疗</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4.97</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4.97</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229</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112.92</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112.92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22960</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彩票公益金安排的支出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112.92</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112.92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2296003</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用于体育事业的彩票公益金支出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112.92</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112.92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bl>
    <w:p>
      <w:pPr>
        <w:widowControl/>
        <w:jc w:val="left"/>
        <w:textAlignment w:val="center"/>
        <w:rPr>
          <w:rFonts w:hint="eastAsia" w:ascii="仿宋_GB2312" w:hAnsi="仿宋_GB2312" w:eastAsia="仿宋_GB2312" w:cs="仿宋_GB2312"/>
          <w:sz w:val="24"/>
          <w:szCs w:val="24"/>
        </w:rPr>
      </w:pPr>
      <w:r>
        <w:rPr>
          <w:rFonts w:hint="eastAsia" w:ascii="宋体" w:hAnsi="宋体" w:eastAsia="宋体" w:cs="宋体"/>
          <w:color w:val="000000"/>
          <w:kern w:val="0"/>
          <w:sz w:val="22"/>
          <w:szCs w:val="22"/>
        </w:rPr>
        <w:t>注：本表反映部门本年度各项支出情况。本表金额转换为万元时，因四舍五入可能存在尾差。</w:t>
      </w:r>
    </w:p>
    <w:p>
      <w:pPr>
        <w:rPr>
          <w:rFonts w:hint="eastAsia" w:ascii="仿宋_GB2312" w:hAnsi="仿宋_GB2312" w:eastAsia="仿宋_GB2312" w:cs="仿宋_GB2312"/>
          <w:sz w:val="24"/>
          <w:szCs w:val="24"/>
        </w:rPr>
      </w:pPr>
    </w:p>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财政拨款收入支出决算总表</w:t>
      </w:r>
    </w:p>
    <w:p>
      <w:pPr>
        <w:jc w:val="right"/>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公开04表</w:t>
      </w:r>
    </w:p>
    <w:p>
      <w:pPr>
        <w:jc w:val="right"/>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编制部门：                                                           金额单位：万元</w:t>
      </w:r>
    </w:p>
    <w:tbl>
      <w:tblPr>
        <w:tblStyle w:val="6"/>
        <w:tblW w:w="8426" w:type="dxa"/>
        <w:tblInd w:w="0" w:type="dxa"/>
        <w:tblLayout w:type="fixed"/>
        <w:tblCellMar>
          <w:top w:w="15" w:type="dxa"/>
          <w:left w:w="15" w:type="dxa"/>
          <w:bottom w:w="15" w:type="dxa"/>
          <w:right w:w="15" w:type="dxa"/>
        </w:tblCellMar>
      </w:tblPr>
      <w:tblGrid>
        <w:gridCol w:w="1634"/>
        <w:gridCol w:w="1093"/>
        <w:gridCol w:w="1794"/>
        <w:gridCol w:w="959"/>
        <w:gridCol w:w="1018"/>
        <w:gridCol w:w="873"/>
        <w:gridCol w:w="1055"/>
      </w:tblGrid>
      <w:tr>
        <w:tblPrEx>
          <w:tblCellMar>
            <w:top w:w="15" w:type="dxa"/>
            <w:left w:w="15" w:type="dxa"/>
            <w:bottom w:w="15" w:type="dxa"/>
            <w:right w:w="15" w:type="dxa"/>
          </w:tblCellMar>
        </w:tblPrEx>
        <w:trPr>
          <w:trHeight w:val="367" w:hRule="atLeast"/>
        </w:trPr>
        <w:tc>
          <w:tcPr>
            <w:tcW w:w="27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sz w:val="21"/>
                <w:szCs w:val="21"/>
              </w:rPr>
            </w:pPr>
            <w:r>
              <w:rPr>
                <w:rFonts w:hint="eastAsia" w:ascii="宋体" w:hAnsi="宋体" w:eastAsia="宋体" w:cs="宋体"/>
                <w:b/>
                <w:bCs/>
                <w:i w:val="0"/>
                <w:color w:val="000000"/>
                <w:kern w:val="0"/>
                <w:sz w:val="22"/>
                <w:szCs w:val="22"/>
                <w:u w:val="none"/>
                <w:lang w:val="en-US" w:eastAsia="zh-CN" w:bidi="ar"/>
              </w:rPr>
              <w:t>收     入</w:t>
            </w:r>
          </w:p>
        </w:tc>
        <w:tc>
          <w:tcPr>
            <w:tcW w:w="569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sz w:val="21"/>
                <w:szCs w:val="21"/>
              </w:rPr>
            </w:pPr>
            <w:r>
              <w:rPr>
                <w:rFonts w:hint="eastAsia" w:ascii="宋体" w:hAnsi="宋体" w:eastAsia="宋体" w:cs="宋体"/>
                <w:b/>
                <w:bCs/>
                <w:i w:val="0"/>
                <w:color w:val="000000"/>
                <w:kern w:val="0"/>
                <w:sz w:val="22"/>
                <w:szCs w:val="22"/>
                <w:u w:val="none"/>
                <w:lang w:val="en-US" w:eastAsia="zh-CN" w:bidi="ar"/>
              </w:rPr>
              <w:t>支     出</w:t>
            </w:r>
          </w:p>
        </w:tc>
      </w:tr>
      <w:tr>
        <w:tblPrEx>
          <w:tblCellMar>
            <w:top w:w="15" w:type="dxa"/>
            <w:left w:w="15" w:type="dxa"/>
            <w:bottom w:w="15" w:type="dxa"/>
            <w:right w:w="15" w:type="dxa"/>
          </w:tblCellMar>
        </w:tblPrEx>
        <w:trPr>
          <w:trHeight w:val="800"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rPr>
            </w:pPr>
            <w:r>
              <w:rPr>
                <w:rFonts w:hint="eastAsia" w:ascii="宋体" w:hAnsi="宋体" w:eastAsia="宋体" w:cs="宋体"/>
                <w:b/>
                <w:bCs/>
                <w:i w:val="0"/>
                <w:color w:val="000000"/>
                <w:kern w:val="0"/>
                <w:sz w:val="22"/>
                <w:szCs w:val="22"/>
                <w:u w:val="none"/>
                <w:lang w:val="en-US" w:eastAsia="zh-CN" w:bidi="ar"/>
              </w:rPr>
              <w:t>项目</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rPr>
            </w:pPr>
            <w:r>
              <w:rPr>
                <w:rFonts w:hint="eastAsia" w:ascii="宋体" w:hAnsi="宋体" w:eastAsia="宋体" w:cs="宋体"/>
                <w:b/>
                <w:bCs/>
                <w:i w:val="0"/>
                <w:color w:val="000000"/>
                <w:kern w:val="0"/>
                <w:sz w:val="22"/>
                <w:szCs w:val="22"/>
                <w:u w:val="none"/>
                <w:lang w:val="en-US" w:eastAsia="zh-CN" w:bidi="ar"/>
              </w:rPr>
              <w:t>决算数</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rPr>
            </w:pPr>
            <w:r>
              <w:rPr>
                <w:rFonts w:hint="eastAsia" w:ascii="宋体" w:hAnsi="宋体" w:eastAsia="宋体" w:cs="宋体"/>
                <w:b/>
                <w:bCs/>
                <w:i w:val="0"/>
                <w:color w:val="000000"/>
                <w:kern w:val="0"/>
                <w:sz w:val="22"/>
                <w:szCs w:val="22"/>
                <w:u w:val="none"/>
                <w:lang w:val="en-US" w:eastAsia="zh-CN" w:bidi="ar"/>
              </w:rPr>
              <w:t>项目</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b/>
                <w:bCs/>
              </w:rPr>
            </w:pPr>
            <w:r>
              <w:rPr>
                <w:rFonts w:hint="eastAsia" w:ascii="宋体" w:hAnsi="宋体" w:eastAsia="宋体" w:cs="宋体"/>
                <w:b/>
                <w:bCs/>
                <w:i w:val="0"/>
                <w:color w:val="000000"/>
                <w:kern w:val="0"/>
                <w:sz w:val="22"/>
                <w:szCs w:val="22"/>
                <w:u w:val="none"/>
                <w:lang w:val="en-US" w:eastAsia="zh-CN" w:bidi="ar"/>
              </w:rPr>
              <w:t>合计</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rPr>
            </w:pPr>
            <w:r>
              <w:rPr>
                <w:rFonts w:hint="eastAsia" w:ascii="宋体" w:hAnsi="宋体" w:eastAsia="宋体" w:cs="宋体"/>
                <w:b/>
                <w:bCs/>
                <w:i w:val="0"/>
                <w:color w:val="000000"/>
                <w:kern w:val="0"/>
                <w:sz w:val="22"/>
                <w:szCs w:val="22"/>
                <w:u w:val="none"/>
                <w:lang w:val="en-US" w:eastAsia="zh-CN" w:bidi="ar"/>
              </w:rPr>
              <w:t>一般公共预算财政拨款</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rPr>
            </w:pPr>
            <w:r>
              <w:rPr>
                <w:rFonts w:hint="eastAsia" w:ascii="宋体" w:hAnsi="宋体" w:eastAsia="宋体" w:cs="宋体"/>
                <w:b/>
                <w:bCs/>
                <w:i w:val="0"/>
                <w:color w:val="000000"/>
                <w:kern w:val="0"/>
                <w:sz w:val="22"/>
                <w:szCs w:val="22"/>
                <w:u w:val="none"/>
                <w:lang w:val="en-US" w:eastAsia="zh-CN" w:bidi="ar"/>
              </w:rPr>
              <w:t>政府性基金预算财政拨款</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lang w:eastAsia="zh-CN"/>
              </w:rPr>
            </w:pPr>
            <w:r>
              <w:rPr>
                <w:rFonts w:hint="eastAsia" w:ascii="宋体" w:hAnsi="宋体" w:eastAsia="宋体" w:cs="宋体"/>
                <w:b/>
                <w:bCs/>
                <w:i w:val="0"/>
                <w:color w:val="000000"/>
                <w:kern w:val="0"/>
                <w:sz w:val="22"/>
                <w:szCs w:val="22"/>
                <w:u w:val="none"/>
                <w:lang w:val="en-US" w:eastAsia="zh-CN" w:bidi="ar"/>
              </w:rPr>
              <w:t>国有资本经营预算财政拨款</w:t>
            </w:r>
          </w:p>
        </w:tc>
      </w:tr>
      <w:tr>
        <w:tblPrEx>
          <w:tblCellMar>
            <w:top w:w="15" w:type="dxa"/>
            <w:left w:w="15" w:type="dxa"/>
            <w:bottom w:w="15" w:type="dxa"/>
            <w:right w:w="15" w:type="dxa"/>
          </w:tblCellMar>
        </w:tblPrEx>
        <w:trPr>
          <w:trHeight w:val="504"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1.一般公共预算财政拨款</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18"/>
                <w:szCs w:val="18"/>
                <w:u w:val="none"/>
                <w:lang w:val="en-US" w:eastAsia="zh-CN" w:bidi="ar"/>
              </w:rPr>
              <w:t>1,527.70</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1.一般公共服务支出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18"/>
                <w:szCs w:val="18"/>
                <w:u w:val="none"/>
                <w:lang w:val="en-US" w:eastAsia="zh-CN" w:bidi="ar"/>
              </w:rPr>
              <w:t>16.85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18"/>
                <w:szCs w:val="18"/>
                <w:u w:val="none"/>
                <w:lang w:val="en-US" w:eastAsia="zh-CN" w:bidi="ar"/>
              </w:rPr>
              <w:t>16.85</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r>
      <w:tr>
        <w:tblPrEx>
          <w:tblCellMar>
            <w:top w:w="15" w:type="dxa"/>
            <w:left w:w="15" w:type="dxa"/>
            <w:bottom w:w="15" w:type="dxa"/>
            <w:right w:w="15" w:type="dxa"/>
          </w:tblCellMar>
        </w:tblPrEx>
        <w:trPr>
          <w:trHeight w:val="534"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2.政府性基金预算财政拨款</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18"/>
                <w:szCs w:val="18"/>
                <w:u w:val="none"/>
                <w:lang w:val="en-US" w:eastAsia="zh-CN" w:bidi="ar"/>
              </w:rPr>
              <w:t>112.92</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2.外交支出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504"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3.国有资本经营预算财政拨款</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3.国防支出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6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4.公共安全支出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6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5.教育支出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6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6.科学技术支出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6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8"/>
                <w:szCs w:val="18"/>
              </w:rPr>
            </w:pPr>
            <w:r>
              <w:rPr>
                <w:rFonts w:hint="eastAsia" w:ascii="宋体" w:hAnsi="宋体" w:eastAsia="宋体" w:cs="宋体"/>
                <w:b w:val="0"/>
                <w:bCs w:val="0"/>
                <w:i w:val="0"/>
                <w:color w:val="000000"/>
                <w:kern w:val="0"/>
                <w:sz w:val="18"/>
                <w:szCs w:val="18"/>
                <w:u w:val="none"/>
                <w:lang w:val="en-US" w:eastAsia="zh-CN" w:bidi="ar"/>
              </w:rPr>
              <w:t>7.文化旅游体育与传媒支出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18"/>
                <w:szCs w:val="18"/>
                <w:u w:val="none"/>
                <w:lang w:val="en-US" w:eastAsia="zh-CN" w:bidi="ar"/>
              </w:rPr>
              <w:t>1,492.79</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18"/>
                <w:szCs w:val="18"/>
                <w:u w:val="none"/>
                <w:lang w:val="en-US" w:eastAsia="zh-CN" w:bidi="ar"/>
              </w:rPr>
              <w:t>1,492.79</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6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8"/>
                <w:szCs w:val="18"/>
              </w:rPr>
            </w:pPr>
            <w:r>
              <w:rPr>
                <w:rFonts w:hint="eastAsia" w:ascii="宋体" w:hAnsi="宋体" w:eastAsia="宋体" w:cs="宋体"/>
                <w:b w:val="0"/>
                <w:bCs w:val="0"/>
                <w:i w:val="0"/>
                <w:color w:val="000000"/>
                <w:kern w:val="0"/>
                <w:sz w:val="18"/>
                <w:szCs w:val="18"/>
                <w:u w:val="none"/>
                <w:lang w:val="en-US" w:eastAsia="zh-CN" w:bidi="ar"/>
              </w:rPr>
              <w:t>8.社会保障和就业支出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18"/>
                <w:szCs w:val="18"/>
                <w:u w:val="none"/>
                <w:lang w:val="en-US" w:eastAsia="zh-CN" w:bidi="ar"/>
              </w:rPr>
              <w:t>13.09</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18"/>
                <w:szCs w:val="18"/>
                <w:u w:val="none"/>
                <w:lang w:val="en-US" w:eastAsia="zh-CN" w:bidi="ar"/>
              </w:rPr>
              <w:t>13.09</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6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9.卫生健康支出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18"/>
                <w:szCs w:val="18"/>
                <w:u w:val="none"/>
                <w:lang w:val="en-US" w:eastAsia="zh-CN" w:bidi="ar"/>
              </w:rPr>
              <w:t>4.97</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18"/>
                <w:szCs w:val="18"/>
              </w:rPr>
            </w:pPr>
            <w:r>
              <w:rPr>
                <w:rFonts w:hint="eastAsia" w:ascii="宋体" w:hAnsi="宋体" w:eastAsia="宋体" w:cs="宋体"/>
                <w:i w:val="0"/>
                <w:iCs w:val="0"/>
                <w:color w:val="000000"/>
                <w:kern w:val="0"/>
                <w:sz w:val="18"/>
                <w:szCs w:val="18"/>
                <w:u w:val="none"/>
                <w:lang w:val="en-US" w:eastAsia="zh-CN" w:bidi="ar"/>
              </w:rPr>
              <w:t>4.97</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6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10.节能环保支出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42"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11.城乡社区支出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6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12.农林水支出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6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13.交通运输支出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6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8"/>
                <w:szCs w:val="18"/>
              </w:rPr>
            </w:pPr>
            <w:r>
              <w:rPr>
                <w:rFonts w:hint="eastAsia" w:ascii="宋体" w:hAnsi="宋体" w:eastAsia="宋体" w:cs="宋体"/>
                <w:b w:val="0"/>
                <w:bCs w:val="0"/>
                <w:i w:val="0"/>
                <w:color w:val="000000"/>
                <w:kern w:val="0"/>
                <w:sz w:val="18"/>
                <w:szCs w:val="18"/>
                <w:u w:val="none"/>
                <w:lang w:val="en-US" w:eastAsia="zh-CN" w:bidi="ar"/>
              </w:rPr>
              <w:t>14.资源勘探信息等支出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42"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8"/>
                <w:szCs w:val="18"/>
              </w:rPr>
            </w:pPr>
            <w:r>
              <w:rPr>
                <w:rFonts w:hint="eastAsia" w:ascii="宋体" w:hAnsi="宋体" w:eastAsia="宋体" w:cs="宋体"/>
                <w:b w:val="0"/>
                <w:bCs w:val="0"/>
                <w:i w:val="0"/>
                <w:color w:val="000000"/>
                <w:kern w:val="0"/>
                <w:sz w:val="18"/>
                <w:szCs w:val="18"/>
                <w:u w:val="none"/>
                <w:lang w:val="en-US" w:eastAsia="zh-CN" w:bidi="ar"/>
              </w:rPr>
              <w:t>15.商业服务业等支出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29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16.金融支出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2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8"/>
                <w:szCs w:val="18"/>
              </w:rPr>
            </w:pPr>
            <w:r>
              <w:rPr>
                <w:rFonts w:hint="eastAsia" w:ascii="宋体" w:hAnsi="宋体" w:eastAsia="宋体" w:cs="宋体"/>
                <w:b w:val="0"/>
                <w:bCs w:val="0"/>
                <w:i w:val="0"/>
                <w:color w:val="000000"/>
                <w:kern w:val="0"/>
                <w:sz w:val="18"/>
                <w:szCs w:val="18"/>
                <w:u w:val="none"/>
                <w:lang w:val="en-US" w:eastAsia="zh-CN" w:bidi="ar"/>
              </w:rPr>
              <w:t>17.援助其他地区支出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6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8"/>
                <w:szCs w:val="18"/>
              </w:rPr>
            </w:pPr>
            <w:r>
              <w:rPr>
                <w:rFonts w:hint="eastAsia" w:ascii="宋体" w:hAnsi="宋体" w:eastAsia="宋体" w:cs="宋体"/>
                <w:b w:val="0"/>
                <w:bCs w:val="0"/>
                <w:i w:val="0"/>
                <w:color w:val="000000"/>
                <w:kern w:val="0"/>
                <w:sz w:val="18"/>
                <w:szCs w:val="18"/>
                <w:u w:val="none"/>
                <w:lang w:val="en-US" w:eastAsia="zh-CN" w:bidi="ar"/>
              </w:rPr>
              <w:t>18.自然资源海洋气象等支出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42"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1"/>
                <w:szCs w:val="21"/>
              </w:rPr>
            </w:pPr>
            <w:r>
              <w:rPr>
                <w:rFonts w:hint="eastAsia" w:ascii="宋体" w:hAnsi="宋体" w:eastAsia="宋体" w:cs="宋体"/>
                <w:b w:val="0"/>
                <w:bCs w:val="0"/>
                <w:i w:val="0"/>
                <w:color w:val="000000"/>
                <w:kern w:val="0"/>
                <w:sz w:val="21"/>
                <w:szCs w:val="21"/>
                <w:u w:val="none"/>
                <w:lang w:val="en-US" w:eastAsia="zh-CN" w:bidi="ar"/>
              </w:rPr>
              <w:t>19.住房保障支出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57"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i w:val="0"/>
                <w:color w:val="000000"/>
                <w:kern w:val="0"/>
                <w:sz w:val="18"/>
                <w:szCs w:val="18"/>
                <w:u w:val="none"/>
                <w:lang w:val="en-US" w:eastAsia="zh-CN" w:bidi="ar"/>
              </w:rPr>
              <w:t>20.粮油物资储备支出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342"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000000"/>
                <w:sz w:val="18"/>
                <w:szCs w:val="18"/>
              </w:rPr>
            </w:pPr>
            <w:r>
              <w:rPr>
                <w:rFonts w:hint="eastAsia" w:ascii="宋体" w:hAnsi="宋体" w:eastAsia="宋体" w:cs="宋体"/>
                <w:b w:val="0"/>
                <w:bCs w:val="0"/>
                <w:i w:val="0"/>
                <w:color w:val="000000"/>
                <w:kern w:val="0"/>
                <w:sz w:val="18"/>
                <w:szCs w:val="18"/>
                <w:u w:val="none"/>
                <w:lang w:val="en-US" w:eastAsia="zh-CN" w:bidi="ar"/>
              </w:rPr>
              <w:t>21.国有资本经营预算支出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456"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b/>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22.灾害防治及应急管理支出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jc w:val="right"/>
              <w:rPr>
                <w:sz w:val="18"/>
                <w:szCs w:val="18"/>
              </w:rPr>
            </w:pPr>
            <w:r>
              <w:rPr>
                <w:rFonts w:hint="eastAsia" w:ascii="仿宋_GB2312" w:hAnsi="仿宋_GB2312" w:eastAsia="仿宋_GB2312" w:cs="仿宋_GB2312"/>
                <w:color w:val="000000"/>
                <w:sz w:val="18"/>
                <w:szCs w:val="18"/>
                <w:lang w:val="en-US" w:eastAsia="zh-CN"/>
              </w:rPr>
              <w:t>0</w:t>
            </w:r>
          </w:p>
        </w:tc>
        <w:tc>
          <w:tcPr>
            <w:tcW w:w="1018" w:type="dxa"/>
            <w:tcBorders>
              <w:top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sz w:val="18"/>
                <w:szCs w:val="18"/>
                <w:lang w:val="en-US" w:eastAsia="zh-CN"/>
              </w:rPr>
              <w:t>0</w:t>
            </w:r>
          </w:p>
        </w:tc>
        <w:tc>
          <w:tcPr>
            <w:tcW w:w="873" w:type="dxa"/>
            <w:tcBorders>
              <w:top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b/>
                <w:color w:val="000000"/>
                <w:sz w:val="18"/>
                <w:szCs w:val="18"/>
              </w:rPr>
            </w:pPr>
            <w:r>
              <w:rPr>
                <w:rFonts w:hint="eastAsia" w:ascii="仿宋_GB2312" w:hAnsi="仿宋_GB2312" w:eastAsia="仿宋_GB2312" w:cs="仿宋_GB2312"/>
                <w:color w:val="000000"/>
                <w:sz w:val="18"/>
                <w:szCs w:val="18"/>
                <w:lang w:val="en-US" w:eastAsia="zh-CN"/>
              </w:rPr>
              <w:t>0</w:t>
            </w:r>
          </w:p>
        </w:tc>
        <w:tc>
          <w:tcPr>
            <w:tcW w:w="1055" w:type="dxa"/>
            <w:tcBorders>
              <w:top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b/>
                <w:color w:val="000000"/>
                <w:sz w:val="18"/>
                <w:szCs w:val="18"/>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239"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b/>
                <w:color w:val="000000"/>
                <w:sz w:val="21"/>
                <w:szCs w:val="21"/>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18"/>
                <w:szCs w:val="18"/>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23.其他支出</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18"/>
                <w:szCs w:val="18"/>
                <w:u w:val="none"/>
                <w:lang w:val="en-US" w:eastAsia="zh-CN" w:bidi="ar"/>
              </w:rPr>
              <w:t>112.92</w:t>
            </w:r>
          </w:p>
        </w:tc>
        <w:tc>
          <w:tcPr>
            <w:tcW w:w="1018" w:type="dxa"/>
            <w:tcBorders>
              <w:top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kern w:val="0"/>
                <w:sz w:val="18"/>
                <w:szCs w:val="18"/>
              </w:rPr>
            </w:pPr>
          </w:p>
        </w:tc>
        <w:tc>
          <w:tcPr>
            <w:tcW w:w="873"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b/>
                <w:color w:val="000000"/>
                <w:sz w:val="18"/>
                <w:szCs w:val="18"/>
              </w:rPr>
            </w:pPr>
            <w:r>
              <w:rPr>
                <w:rFonts w:hint="eastAsia" w:ascii="宋体" w:hAnsi="宋体" w:eastAsia="宋体" w:cs="宋体"/>
                <w:i w:val="0"/>
                <w:iCs w:val="0"/>
                <w:color w:val="000000"/>
                <w:kern w:val="0"/>
                <w:sz w:val="18"/>
                <w:szCs w:val="18"/>
                <w:u w:val="none"/>
                <w:lang w:val="en-US" w:eastAsia="zh-CN" w:bidi="ar"/>
              </w:rPr>
              <w:t>112.92</w:t>
            </w:r>
          </w:p>
        </w:tc>
        <w:tc>
          <w:tcPr>
            <w:tcW w:w="1055" w:type="dxa"/>
            <w:tcBorders>
              <w:top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b/>
                <w:color w:val="000000"/>
                <w:sz w:val="18"/>
                <w:szCs w:val="18"/>
              </w:rPr>
            </w:pPr>
          </w:p>
        </w:tc>
      </w:tr>
      <w:tr>
        <w:tblPrEx>
          <w:tblCellMar>
            <w:top w:w="15" w:type="dxa"/>
            <w:left w:w="15" w:type="dxa"/>
            <w:bottom w:w="15" w:type="dxa"/>
            <w:right w:w="15" w:type="dxa"/>
          </w:tblCellMar>
        </w:tblPrEx>
        <w:trPr>
          <w:trHeight w:val="304"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color w:val="000000"/>
                <w:sz w:val="21"/>
                <w:szCs w:val="21"/>
              </w:rPr>
            </w:pPr>
            <w:r>
              <w:rPr>
                <w:rFonts w:hint="eastAsia" w:ascii="宋体" w:hAnsi="宋体" w:eastAsia="宋体" w:cs="宋体"/>
                <w:b/>
                <w:bCs/>
                <w:i w:val="0"/>
                <w:color w:val="000000"/>
                <w:kern w:val="0"/>
                <w:sz w:val="22"/>
                <w:szCs w:val="22"/>
                <w:u w:val="none"/>
                <w:lang w:val="en-US" w:eastAsia="zh-CN" w:bidi="ar"/>
              </w:rPr>
              <w:t>本年收入合计</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1,640.62</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bCs/>
                <w:i w:val="0"/>
                <w:color w:val="000000"/>
                <w:kern w:val="0"/>
                <w:sz w:val="22"/>
                <w:szCs w:val="22"/>
                <w:u w:val="none"/>
                <w:lang w:val="en-US" w:eastAsia="zh-CN" w:bidi="ar"/>
              </w:rPr>
              <w:t>本年支出合计</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18"/>
                <w:szCs w:val="18"/>
                <w:u w:val="none"/>
                <w:lang w:val="en-US" w:eastAsia="zh-CN" w:bidi="ar"/>
              </w:rPr>
              <w:t>1,640.62</w:t>
            </w:r>
          </w:p>
        </w:tc>
        <w:tc>
          <w:tcPr>
            <w:tcW w:w="1018"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8"/>
                <w:szCs w:val="18"/>
              </w:rPr>
            </w:pPr>
            <w:r>
              <w:rPr>
                <w:rFonts w:hint="eastAsia" w:ascii="宋体" w:hAnsi="宋体" w:eastAsia="宋体" w:cs="宋体"/>
                <w:i w:val="0"/>
                <w:iCs w:val="0"/>
                <w:color w:val="000000"/>
                <w:kern w:val="0"/>
                <w:sz w:val="18"/>
                <w:szCs w:val="18"/>
                <w:u w:val="none"/>
                <w:lang w:val="en-US" w:eastAsia="zh-CN" w:bidi="ar"/>
              </w:rPr>
              <w:t>1,527.70</w:t>
            </w:r>
          </w:p>
        </w:tc>
        <w:tc>
          <w:tcPr>
            <w:tcW w:w="873"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b/>
                <w:color w:val="000000"/>
                <w:sz w:val="18"/>
                <w:szCs w:val="18"/>
              </w:rPr>
            </w:pPr>
            <w:r>
              <w:rPr>
                <w:rFonts w:hint="eastAsia" w:ascii="宋体" w:hAnsi="宋体" w:eastAsia="宋体" w:cs="宋体"/>
                <w:i w:val="0"/>
                <w:iCs w:val="0"/>
                <w:color w:val="000000"/>
                <w:kern w:val="0"/>
                <w:sz w:val="18"/>
                <w:szCs w:val="18"/>
                <w:u w:val="none"/>
                <w:lang w:val="en-US" w:eastAsia="zh-CN" w:bidi="ar"/>
              </w:rPr>
              <w:t>112.92</w:t>
            </w:r>
          </w:p>
        </w:tc>
        <w:tc>
          <w:tcPr>
            <w:tcW w:w="105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b/>
                <w:color w:val="000000"/>
                <w:sz w:val="18"/>
                <w:szCs w:val="18"/>
              </w:rPr>
            </w:pPr>
          </w:p>
        </w:tc>
      </w:tr>
    </w:tbl>
    <w:p>
      <w:r>
        <w:rPr>
          <w:rFonts w:hint="eastAsia" w:ascii="宋体" w:hAnsi="宋体" w:eastAsia="宋体" w:cs="宋体"/>
          <w:sz w:val="21"/>
          <w:szCs w:val="21"/>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财政拨款收入支出决算总表</w:t>
      </w:r>
      <w:r>
        <w:rPr>
          <w:rFonts w:hint="eastAsia" w:ascii="宋体" w:hAnsi="宋体" w:eastAsia="宋体" w:cs="宋体"/>
          <w:b/>
          <w:bCs/>
          <w:sz w:val="32"/>
          <w:szCs w:val="32"/>
          <w:lang w:eastAsia="zh-CN"/>
        </w:rPr>
        <w:t>（续）</w:t>
      </w:r>
    </w:p>
    <w:p>
      <w:pPr>
        <w:jc w:val="right"/>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 xml:space="preserve"> 公开04表</w:t>
      </w:r>
    </w:p>
    <w:p>
      <w:pPr>
        <w:jc w:val="right"/>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编制部门：                                                           金额单位：万元</w:t>
      </w:r>
    </w:p>
    <w:tbl>
      <w:tblPr>
        <w:tblStyle w:val="6"/>
        <w:tblW w:w="8426" w:type="dxa"/>
        <w:tblInd w:w="0" w:type="dxa"/>
        <w:tblLayout w:type="fixed"/>
        <w:tblCellMar>
          <w:top w:w="15" w:type="dxa"/>
          <w:left w:w="15" w:type="dxa"/>
          <w:bottom w:w="15" w:type="dxa"/>
          <w:right w:w="15" w:type="dxa"/>
        </w:tblCellMar>
      </w:tblPr>
      <w:tblGrid>
        <w:gridCol w:w="1681"/>
        <w:gridCol w:w="1304"/>
        <w:gridCol w:w="1523"/>
        <w:gridCol w:w="1032"/>
        <w:gridCol w:w="890"/>
        <w:gridCol w:w="1005"/>
        <w:gridCol w:w="990"/>
        <w:gridCol w:w="1"/>
      </w:tblGrid>
      <w:tr>
        <w:tblPrEx>
          <w:tblCellMar>
            <w:top w:w="15" w:type="dxa"/>
            <w:left w:w="15" w:type="dxa"/>
            <w:bottom w:w="15" w:type="dxa"/>
            <w:right w:w="15" w:type="dxa"/>
          </w:tblCellMar>
        </w:tblPrEx>
        <w:trPr>
          <w:trHeight w:val="578" w:hRule="atLeast"/>
        </w:trPr>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收入</w:t>
            </w:r>
          </w:p>
        </w:tc>
        <w:tc>
          <w:tcPr>
            <w:tcW w:w="544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支出</w:t>
            </w:r>
          </w:p>
        </w:tc>
      </w:tr>
      <w:tr>
        <w:tblPrEx>
          <w:tblCellMar>
            <w:top w:w="15" w:type="dxa"/>
            <w:left w:w="15" w:type="dxa"/>
            <w:bottom w:w="15" w:type="dxa"/>
            <w:right w:w="15" w:type="dxa"/>
          </w:tblCellMar>
        </w:tblPrEx>
        <w:trPr>
          <w:gridAfter w:val="1"/>
          <w:wAfter w:w="1" w:type="dxa"/>
          <w:trHeight w:val="999" w:hRule="atLeast"/>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    目</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决算数</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项目</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合计</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一般公共预算财政拨款</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政府性基金预算财政拨款</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国有资本经营预算财政拨款</w:t>
            </w: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年初财政拨款结转和结余</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年末财政拨款</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结转和结余</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000000"/>
                <w:sz w:val="18"/>
                <w:szCs w:val="18"/>
                <w:lang w:val="en-US" w:eastAsia="zh-CN"/>
              </w:rPr>
              <w:t>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一般公共预算财政拨款</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政府性基金预算财政拨款</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国有资本经营财政拨款</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收入总计</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18"/>
                <w:szCs w:val="18"/>
                <w:u w:val="none"/>
                <w:lang w:val="en-US" w:eastAsia="zh-CN" w:bidi="ar"/>
              </w:rPr>
              <w:t>1,640.62</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支出总计</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1,640.62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1,527.70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112.92</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bl>
    <w:p>
      <w:pPr>
        <w:rPr>
          <w:sz w:val="22"/>
          <w:szCs w:val="22"/>
        </w:rPr>
      </w:pPr>
      <w:r>
        <w:rPr>
          <w:rFonts w:hint="eastAsia" w:ascii="宋体" w:hAnsi="宋体" w:eastAsia="宋体" w:cs="宋体"/>
          <w:sz w:val="22"/>
          <w:szCs w:val="22"/>
        </w:rPr>
        <w:t>注：本表反映部门本年度一般公共预算财政拨款、政府性基金预算财政拨款和国有资本经营预算财政拨款的总收支和年末结转结余情况。本表金额转换为万元时，因四舍五入可能存在尾差。</w:t>
      </w:r>
    </w:p>
    <w:p>
      <w:pPr>
        <w:rPr>
          <w:rFonts w:ascii="仿宋_GB2312" w:hAnsi="仿宋_GB2312" w:eastAsia="仿宋_GB2312" w:cs="仿宋_GB2312"/>
          <w:szCs w:val="32"/>
        </w:rPr>
      </w:pPr>
    </w:p>
    <w:p/>
    <w:p/>
    <w:p/>
    <w:p/>
    <w:p/>
    <w:p>
      <w:pPr>
        <w:jc w:val="center"/>
        <w:rPr>
          <w:rFonts w:hint="eastAsia" w:ascii="宋体" w:hAnsi="宋体" w:eastAsia="宋体" w:cs="宋体"/>
          <w:b/>
          <w:bCs/>
          <w:sz w:val="32"/>
          <w:szCs w:val="32"/>
        </w:rPr>
      </w:pPr>
      <w:r>
        <w:rPr>
          <w:rFonts w:hint="eastAsia" w:ascii="宋体" w:hAnsi="宋体" w:eastAsia="宋体" w:cs="宋体"/>
          <w:b/>
          <w:bCs/>
          <w:sz w:val="32"/>
          <w:szCs w:val="32"/>
        </w:rPr>
        <w:t>一般公共预算财政拨款支出决算表（按功能分类科目）</w:t>
      </w:r>
    </w:p>
    <w:p>
      <w:pPr>
        <w:jc w:val="right"/>
        <w:rPr>
          <w:rFonts w:hint="eastAsia" w:ascii="宋体" w:hAnsi="宋体" w:eastAsia="宋体" w:cs="宋体"/>
          <w:b/>
          <w:bCs/>
          <w:sz w:val="20"/>
          <w:szCs w:val="20"/>
          <w:lang w:val="en-US" w:eastAsia="zh-CN"/>
        </w:rPr>
      </w:pPr>
      <w:r>
        <w:rPr>
          <w:rFonts w:hint="eastAsia" w:ascii="宋体" w:hAnsi="宋体" w:eastAsia="宋体" w:cs="宋体"/>
          <w:b/>
          <w:bCs/>
          <w:sz w:val="21"/>
          <w:szCs w:val="21"/>
        </w:rPr>
        <w:t xml:space="preserve">    </w:t>
      </w:r>
      <w:r>
        <w:rPr>
          <w:rFonts w:hint="eastAsia" w:ascii="仿宋_GB2312" w:hAnsi="仿宋_GB2312" w:eastAsia="仿宋_GB2312" w:cs="仿宋_GB2312"/>
          <w:b/>
          <w:bCs/>
          <w:sz w:val="21"/>
          <w:szCs w:val="21"/>
        </w:rPr>
        <w:t xml:space="preserve">                                                                  </w:t>
      </w:r>
      <w:r>
        <w:rPr>
          <w:rFonts w:hint="eastAsia" w:ascii="宋体" w:hAnsi="宋体" w:eastAsia="宋体" w:cs="宋体"/>
          <w:b/>
          <w:bCs/>
          <w:sz w:val="20"/>
          <w:szCs w:val="20"/>
          <w:lang w:val="en-US" w:eastAsia="zh-CN"/>
        </w:rPr>
        <w:t>公开05表</w:t>
      </w:r>
    </w:p>
    <w:p>
      <w:pPr>
        <w:jc w:val="right"/>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编制部门：                                                           金额单位：万元</w:t>
      </w:r>
    </w:p>
    <w:tbl>
      <w:tblPr>
        <w:tblStyle w:val="6"/>
        <w:tblW w:w="0" w:type="auto"/>
        <w:tblInd w:w="0" w:type="dxa"/>
        <w:tblLayout w:type="fixed"/>
        <w:tblCellMar>
          <w:top w:w="15" w:type="dxa"/>
          <w:left w:w="15" w:type="dxa"/>
          <w:bottom w:w="15" w:type="dxa"/>
          <w:right w:w="15" w:type="dxa"/>
        </w:tblCellMar>
      </w:tblPr>
      <w:tblGrid>
        <w:gridCol w:w="1390"/>
        <w:gridCol w:w="2044"/>
        <w:gridCol w:w="1200"/>
        <w:gridCol w:w="1837"/>
        <w:gridCol w:w="1819"/>
      </w:tblGrid>
      <w:tr>
        <w:tblPrEx>
          <w:tblCellMar>
            <w:top w:w="15" w:type="dxa"/>
            <w:left w:w="15" w:type="dxa"/>
            <w:bottom w:w="15" w:type="dxa"/>
            <w:right w:w="15" w:type="dxa"/>
          </w:tblCellMar>
        </w:tblPrEx>
        <w:trPr>
          <w:trHeight w:val="414" w:hRule="atLeast"/>
        </w:trPr>
        <w:tc>
          <w:tcPr>
            <w:tcW w:w="34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    目</w:t>
            </w:r>
          </w:p>
        </w:tc>
        <w:tc>
          <w:tcPr>
            <w:tcW w:w="4856" w:type="dxa"/>
            <w:gridSpan w:val="3"/>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本年支出</w:t>
            </w:r>
          </w:p>
        </w:tc>
      </w:tr>
      <w:tr>
        <w:tblPrEx>
          <w:tblCellMar>
            <w:top w:w="15" w:type="dxa"/>
            <w:left w:w="15" w:type="dxa"/>
            <w:bottom w:w="15" w:type="dxa"/>
            <w:right w:w="15" w:type="dxa"/>
          </w:tblCellMar>
        </w:tblPrEx>
        <w:trPr>
          <w:trHeight w:val="781"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功能分类科目编码</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科目名称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小计</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基本支出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436"/>
              </w:tabs>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项目支出</w:t>
            </w:r>
          </w:p>
        </w:tc>
      </w:tr>
      <w:tr>
        <w:tblPrEx>
          <w:tblCellMar>
            <w:top w:w="15" w:type="dxa"/>
            <w:left w:w="15" w:type="dxa"/>
            <w:bottom w:w="15" w:type="dxa"/>
            <w:right w:w="15" w:type="dxa"/>
          </w:tblCellMar>
        </w:tblPrEx>
        <w:trPr>
          <w:trHeight w:val="414" w:hRule="atLeast"/>
        </w:trPr>
        <w:tc>
          <w:tcPr>
            <w:tcW w:w="34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1,527.70</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125.24</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1,402.46</w:t>
            </w:r>
          </w:p>
        </w:tc>
      </w:tr>
      <w:tr>
        <w:tblPrEx>
          <w:tblCellMar>
            <w:top w:w="15" w:type="dxa"/>
            <w:left w:w="15" w:type="dxa"/>
            <w:bottom w:w="15" w:type="dxa"/>
            <w:right w:w="15" w:type="dxa"/>
          </w:tblCellMar>
        </w:tblPrEx>
        <w:trPr>
          <w:trHeight w:val="696"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一般公共服务支出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16.85</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6.05</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10.80</w:t>
            </w:r>
          </w:p>
        </w:tc>
      </w:tr>
      <w:tr>
        <w:tblPrEx>
          <w:tblCellMar>
            <w:top w:w="15" w:type="dxa"/>
            <w:left w:w="15" w:type="dxa"/>
            <w:bottom w:w="15" w:type="dxa"/>
            <w:right w:w="15" w:type="dxa"/>
          </w:tblCellMar>
        </w:tblPrEx>
        <w:trPr>
          <w:trHeight w:val="70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20199</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其他一般公共服务支出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16.85</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6.05</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10.80</w:t>
            </w:r>
          </w:p>
        </w:tc>
      </w:tr>
      <w:tr>
        <w:tblPrEx>
          <w:tblCellMar>
            <w:top w:w="15" w:type="dxa"/>
            <w:left w:w="15" w:type="dxa"/>
            <w:bottom w:w="15" w:type="dxa"/>
            <w:right w:w="15" w:type="dxa"/>
          </w:tblCellMar>
        </w:tblPrEx>
        <w:trPr>
          <w:trHeight w:val="781"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2019999</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其他一般公共服务支出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16.85</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6.05</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10.80</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文化旅游体育与传媒支出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1,492.79</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101.14</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1,391.65</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20701</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文化和旅游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529.94</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101.14</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428.80</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2070101</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行政运行</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101.14</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101.14</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2070102</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一般行政管理事务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40.00</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40.00</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2070108</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文化活动</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2070111</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文化创作与保护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13.00</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13.00</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2070199</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其他文化和旅游支出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360.80</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360.80</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20702</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文物</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177.29</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177.29</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2070202</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一般行政管理事务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1.22</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1.22</w:t>
            </w:r>
          </w:p>
        </w:tc>
      </w:tr>
      <w:tr>
        <w:tblPrEx>
          <w:tblCellMar>
            <w:top w:w="15" w:type="dxa"/>
            <w:left w:w="15" w:type="dxa"/>
            <w:bottom w:w="15" w:type="dxa"/>
            <w:right w:w="15" w:type="dxa"/>
          </w:tblCellMar>
        </w:tblPrEx>
        <w:trPr>
          <w:trHeight w:val="45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2070204</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文物保护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176.07</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176.07</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20703</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体育</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781.18</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781.18</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2070305</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体育竞赛</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671.89</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671.89</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2070307</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体育场馆</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36.00</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36.00</w:t>
            </w:r>
          </w:p>
        </w:tc>
      </w:tr>
      <w:tr>
        <w:tblPrEx>
          <w:tblCellMar>
            <w:top w:w="15" w:type="dxa"/>
            <w:left w:w="15" w:type="dxa"/>
            <w:bottom w:w="15" w:type="dxa"/>
            <w:right w:w="15" w:type="dxa"/>
          </w:tblCellMar>
        </w:tblPrEx>
        <w:trPr>
          <w:trHeight w:val="414"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2070308</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群众体育</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23.29</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23.29</w:t>
            </w: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2070399</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其他体育支出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50.00</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50.00</w:t>
            </w: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20799</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4.38</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4.38</w:t>
            </w: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2079999</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其他文化旅游体育与传媒支出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4.38</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r>
              <w:rPr>
                <w:rFonts w:hint="eastAsia" w:ascii="仿宋_GB2312" w:hAnsi="仿宋_GB2312" w:eastAsia="仿宋_GB2312" w:cs="仿宋_GB2312"/>
                <w:color w:val="000000"/>
                <w:sz w:val="18"/>
                <w:szCs w:val="18"/>
                <w:lang w:val="en-US" w:eastAsia="zh-CN"/>
              </w:rPr>
              <w:t>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4.38</w:t>
            </w: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13.09</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13.09</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20805</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13.09</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13.09</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2080505</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13.09</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13.09</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卫生健康支出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4.97</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4.97</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21011</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行政事业单位医疗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4.97</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4.97</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r>
              <w:rPr>
                <w:rFonts w:hint="eastAsia" w:ascii="仿宋_GB2312" w:hAnsi="仿宋_GB2312" w:eastAsia="仿宋_GB2312" w:cs="仿宋_GB2312"/>
                <w:color w:val="000000"/>
                <w:sz w:val="18"/>
                <w:szCs w:val="18"/>
                <w:lang w:val="en-US" w:eastAsia="zh-CN"/>
              </w:rPr>
              <w:t>0</w:t>
            </w:r>
          </w:p>
        </w:tc>
      </w:tr>
      <w:tr>
        <w:tblPrEx>
          <w:tblCellMar>
            <w:top w:w="15" w:type="dxa"/>
            <w:left w:w="15" w:type="dxa"/>
            <w:bottom w:w="15" w:type="dxa"/>
            <w:right w:w="15" w:type="dxa"/>
          </w:tblCellMar>
        </w:tblPrEx>
        <w:trPr>
          <w:trHeight w:val="42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2101101</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行政单位医疗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4.97</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4.97</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18"/>
                <w:szCs w:val="18"/>
                <w:u w:val="none"/>
                <w:lang w:val="en-US" w:eastAsia="zh-CN" w:bidi="ar"/>
              </w:rPr>
            </w:pPr>
            <w:r>
              <w:rPr>
                <w:rFonts w:hint="eastAsia" w:ascii="仿宋_GB2312" w:hAnsi="仿宋_GB2312" w:eastAsia="仿宋_GB2312" w:cs="仿宋_GB2312"/>
                <w:color w:val="000000"/>
                <w:sz w:val="18"/>
                <w:szCs w:val="18"/>
                <w:lang w:val="en-US" w:eastAsia="zh-CN"/>
              </w:rPr>
              <w:t>0</w:t>
            </w:r>
          </w:p>
        </w:tc>
      </w:tr>
    </w:tbl>
    <w:p>
      <w:pPr>
        <w:keepNext w:val="0"/>
        <w:keepLines w:val="0"/>
        <w:widowControl/>
        <w:suppressLineNumbers w:val="0"/>
        <w:jc w:val="left"/>
        <w:textAlignment w:val="center"/>
        <w:rPr>
          <w:rFonts w:hint="default" w:ascii="仿宋_GB2312" w:hAnsi="仿宋_GB2312" w:eastAsia="仿宋_GB2312" w:cs="仿宋_GB2312"/>
          <w:sz w:val="21"/>
          <w:szCs w:val="24"/>
          <w:lang w:val="en-US"/>
        </w:rPr>
      </w:pPr>
      <w:r>
        <w:rPr>
          <w:rFonts w:hint="eastAsia" w:ascii="宋体" w:hAnsi="宋体" w:eastAsia="宋体" w:cs="宋体"/>
          <w:i w:val="0"/>
          <w:color w:val="000000"/>
          <w:kern w:val="0"/>
          <w:sz w:val="22"/>
          <w:szCs w:val="22"/>
          <w:u w:val="none"/>
          <w:lang w:val="en-US" w:eastAsia="zh-CN" w:bidi="ar"/>
        </w:rPr>
        <w:t>注：本表反映部门本年度一般公共预算财政拨款实际支出情况。本表金额转换为万元时，因四舍五入可能存在尾差。</w:t>
      </w:r>
    </w:p>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jc w:val="center"/>
        <w:rPr>
          <w:rFonts w:hint="eastAsia" w:ascii="宋体" w:hAnsi="宋体" w:eastAsia="宋体" w:cs="宋体"/>
          <w:b/>
          <w:bCs/>
          <w:sz w:val="32"/>
          <w:szCs w:val="32"/>
        </w:rPr>
      </w:pPr>
      <w:r>
        <w:rPr>
          <w:rFonts w:hint="eastAsia" w:ascii="宋体" w:hAnsi="宋体" w:eastAsia="宋体" w:cs="宋体"/>
          <w:b/>
          <w:bCs/>
          <w:sz w:val="32"/>
          <w:szCs w:val="32"/>
        </w:rPr>
        <w:t>一般公共预算财政拨款基本支出决算表（按经济分类科目）</w:t>
      </w:r>
    </w:p>
    <w:p>
      <w:pPr>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公开06表</w:t>
      </w:r>
    </w:p>
    <w:p>
      <w:pPr>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编制部门：                                                       金额单位：万元</w:t>
      </w:r>
    </w:p>
    <w:tbl>
      <w:tblPr>
        <w:tblStyle w:val="6"/>
        <w:tblW w:w="0" w:type="auto"/>
        <w:tblInd w:w="0" w:type="dxa"/>
        <w:tblLayout w:type="fixed"/>
        <w:tblCellMar>
          <w:top w:w="15" w:type="dxa"/>
          <w:left w:w="15" w:type="dxa"/>
          <w:bottom w:w="15" w:type="dxa"/>
          <w:right w:w="15" w:type="dxa"/>
        </w:tblCellMar>
      </w:tblPr>
      <w:tblGrid>
        <w:gridCol w:w="1062"/>
        <w:gridCol w:w="1857"/>
        <w:gridCol w:w="1462"/>
        <w:gridCol w:w="1463"/>
        <w:gridCol w:w="1406"/>
        <w:gridCol w:w="1050"/>
      </w:tblGrid>
      <w:tr>
        <w:tblPrEx>
          <w:tblCellMar>
            <w:top w:w="15" w:type="dxa"/>
            <w:left w:w="15" w:type="dxa"/>
            <w:bottom w:w="15" w:type="dxa"/>
            <w:right w:w="15" w:type="dxa"/>
          </w:tblCellMar>
        </w:tblPrEx>
        <w:trPr>
          <w:trHeight w:val="406" w:hRule="atLeast"/>
        </w:trPr>
        <w:tc>
          <w:tcPr>
            <w:tcW w:w="29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    目</w:t>
            </w: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本年支出合计</w:t>
            </w:r>
          </w:p>
        </w:tc>
        <w:tc>
          <w:tcPr>
            <w:tcW w:w="14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人员经费</w:t>
            </w:r>
          </w:p>
        </w:tc>
        <w:tc>
          <w:tcPr>
            <w:tcW w:w="14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公用经费</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备注</w:t>
            </w:r>
          </w:p>
        </w:tc>
      </w:tr>
      <w:tr>
        <w:tblPrEx>
          <w:tblCellMar>
            <w:top w:w="15" w:type="dxa"/>
            <w:left w:w="15" w:type="dxa"/>
            <w:bottom w:w="15" w:type="dxa"/>
            <w:right w:w="15" w:type="dxa"/>
          </w:tblCellMar>
        </w:tblPrEx>
        <w:trPr>
          <w:trHeight w:val="723"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经济分类科目编码</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科目名称</w:t>
            </w: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14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14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29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合计</w:t>
            </w:r>
          </w:p>
        </w:tc>
        <w:tc>
          <w:tcPr>
            <w:tcW w:w="146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125.24</w:t>
            </w:r>
          </w:p>
        </w:tc>
        <w:tc>
          <w:tcPr>
            <w:tcW w:w="146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108.97</w:t>
            </w:r>
          </w:p>
        </w:tc>
        <w:tc>
          <w:tcPr>
            <w:tcW w:w="140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16.27</w:t>
            </w:r>
          </w:p>
        </w:tc>
        <w:tc>
          <w:tcPr>
            <w:tcW w:w="1050" w:type="dxa"/>
            <w:tcBorders>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工资福利支出</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108.97</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108.97</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30101</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30.75</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30.75</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30102</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21.45</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21.45</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30103</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奖金</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20.84</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20.84</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30108</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13.09</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13.09</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30109</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2.18</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2.18</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30110</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4.97</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4.97</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30113</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15.69</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15.69</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商品和服务支出</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16.27</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30201</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30205</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水费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0.47</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30206</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电费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30211</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30215</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0.41</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30216</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0.39</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30217</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0.17</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30231</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06"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30239</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6.91</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bl>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注：本表反映部门本年度一般公共预算财政拨款基本支出明细情况。本表金额转换为万元时，因四舍五入可能存在尾差。</w:t>
      </w:r>
    </w:p>
    <w:p/>
    <w:p/>
    <w:p/>
    <w:p>
      <w:pPr>
        <w:jc w:val="center"/>
        <w:rPr>
          <w:rFonts w:hint="eastAsia" w:ascii="宋体" w:hAnsi="宋体" w:eastAsia="宋体" w:cs="宋体"/>
          <w:b/>
          <w:bCs/>
          <w:sz w:val="32"/>
          <w:szCs w:val="32"/>
        </w:rPr>
      </w:pPr>
      <w:r>
        <w:rPr>
          <w:rFonts w:hint="eastAsia" w:ascii="宋体" w:hAnsi="宋体" w:eastAsia="宋体" w:cs="宋体"/>
          <w:b/>
          <w:bCs/>
          <w:sz w:val="32"/>
          <w:szCs w:val="32"/>
        </w:rPr>
        <w:t>一般公共预算财政拨款“三公”经费</w:t>
      </w:r>
    </w:p>
    <w:p>
      <w:pPr>
        <w:jc w:val="center"/>
        <w:rPr>
          <w:rFonts w:hint="eastAsia" w:ascii="宋体" w:hAnsi="宋体" w:eastAsia="宋体" w:cs="宋体"/>
          <w:b/>
          <w:bCs/>
          <w:sz w:val="32"/>
          <w:szCs w:val="32"/>
        </w:rPr>
      </w:pPr>
      <w:r>
        <w:rPr>
          <w:rFonts w:hint="eastAsia" w:ascii="宋体" w:hAnsi="宋体" w:eastAsia="宋体" w:cs="宋体"/>
          <w:b/>
          <w:bCs/>
          <w:sz w:val="32"/>
          <w:szCs w:val="32"/>
        </w:rPr>
        <w:t>及会议费、培训费支出决算表</w:t>
      </w:r>
    </w:p>
    <w:p>
      <w:pPr>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公开07表</w:t>
      </w:r>
    </w:p>
    <w:p>
      <w:pPr>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编制部门：                                                       金额单位：万元</w:t>
      </w:r>
    </w:p>
    <w:tbl>
      <w:tblPr>
        <w:tblStyle w:val="6"/>
        <w:tblW w:w="0" w:type="auto"/>
        <w:tblInd w:w="0" w:type="dxa"/>
        <w:tblLayout w:type="fixed"/>
        <w:tblCellMar>
          <w:top w:w="15" w:type="dxa"/>
          <w:left w:w="15" w:type="dxa"/>
          <w:bottom w:w="15" w:type="dxa"/>
          <w:right w:w="15" w:type="dxa"/>
        </w:tblCellMar>
      </w:tblPr>
      <w:tblGrid>
        <w:gridCol w:w="1079"/>
        <w:gridCol w:w="865"/>
        <w:gridCol w:w="1162"/>
        <w:gridCol w:w="881"/>
        <w:gridCol w:w="750"/>
        <w:gridCol w:w="1013"/>
        <w:gridCol w:w="1069"/>
        <w:gridCol w:w="731"/>
        <w:gridCol w:w="769"/>
      </w:tblGrid>
      <w:tr>
        <w:tblPrEx>
          <w:tblCellMar>
            <w:top w:w="15" w:type="dxa"/>
            <w:left w:w="15" w:type="dxa"/>
            <w:bottom w:w="15" w:type="dxa"/>
            <w:right w:w="15" w:type="dxa"/>
          </w:tblCellMar>
        </w:tblPrEx>
        <w:trPr>
          <w:trHeight w:val="726" w:hRule="atLeast"/>
        </w:trPr>
        <w:tc>
          <w:tcPr>
            <w:tcW w:w="10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项目</w:t>
            </w:r>
          </w:p>
        </w:tc>
        <w:tc>
          <w:tcPr>
            <w:tcW w:w="5740" w:type="dxa"/>
            <w:gridSpan w:val="6"/>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一般公共预算财政拨款安排的“三公”经费</w:t>
            </w:r>
          </w:p>
        </w:tc>
        <w:tc>
          <w:tcPr>
            <w:tcW w:w="7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会议费</w:t>
            </w:r>
          </w:p>
        </w:tc>
        <w:tc>
          <w:tcPr>
            <w:tcW w:w="7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865"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小计</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因公出国（境）费用</w:t>
            </w:r>
          </w:p>
        </w:tc>
        <w:tc>
          <w:tcPr>
            <w:tcW w:w="8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公务接待费</w:t>
            </w:r>
          </w:p>
        </w:tc>
        <w:tc>
          <w:tcPr>
            <w:tcW w:w="28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公务用车购置及运行维护费</w:t>
            </w: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7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753" w:hRule="atLeast"/>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865"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8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小计</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公务用车购置费</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公务用车运行维护费</w:t>
            </w: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7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726" w:hRule="atLeast"/>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6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r>
      <w:tr>
        <w:tblPrEx>
          <w:tblCellMar>
            <w:top w:w="15" w:type="dxa"/>
            <w:left w:w="15" w:type="dxa"/>
            <w:bottom w:w="15" w:type="dxa"/>
            <w:right w:w="15" w:type="dxa"/>
          </w:tblCellMar>
        </w:tblPrEx>
        <w:trPr>
          <w:trHeight w:val="726" w:hRule="atLeast"/>
        </w:trPr>
        <w:tc>
          <w:tcPr>
            <w:tcW w:w="107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预算数</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2.96</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决算数</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2.09</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0.17</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0.41</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0.39</w:t>
            </w:r>
          </w:p>
        </w:tc>
      </w:tr>
    </w:tbl>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本表反映部门本年度一般公共预算财政拨款“三公”经费、会议费、培训费的支出预决算情况。其中，预算数为全年预算数，反映按规定程序调整后的预算数；决算数是包括当年一般公共预算财政拨款和以前年度结转资金安排的实际支出。本表金额转换为万元时，因四舍五入可能存在尾差。</w:t>
      </w:r>
    </w:p>
    <w:p>
      <w:pPr>
        <w:rPr>
          <w:rFonts w:hint="eastAsia" w:ascii="仿宋_GB2312" w:hAnsi="仿宋_GB2312" w:eastAsia="仿宋_GB2312" w:cs="仿宋_GB2312"/>
        </w:rPr>
      </w:pPr>
    </w:p>
    <w:p/>
    <w:p/>
    <w:p/>
    <w:p/>
    <w:p/>
    <w:p/>
    <w:p/>
    <w:p/>
    <w:p>
      <w:pPr>
        <w:jc w:val="center"/>
        <w:rPr>
          <w:rFonts w:hint="eastAsia" w:ascii="宋体" w:hAnsi="宋体" w:eastAsia="宋体" w:cs="宋体"/>
          <w:b/>
          <w:bCs/>
          <w:sz w:val="32"/>
          <w:szCs w:val="32"/>
        </w:rPr>
      </w:pPr>
      <w:r>
        <w:rPr>
          <w:rFonts w:hint="eastAsia" w:ascii="宋体" w:hAnsi="宋体" w:eastAsia="宋体" w:cs="宋体"/>
          <w:b/>
          <w:bCs/>
          <w:sz w:val="32"/>
          <w:szCs w:val="32"/>
        </w:rPr>
        <w:t>政府性基金预算财政拨款收入支出决算表</w:t>
      </w:r>
    </w:p>
    <w:p>
      <w:pPr>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公开08表</w:t>
      </w:r>
    </w:p>
    <w:p>
      <w:pPr>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编制部门：                                                       金额单位：万元</w:t>
      </w:r>
    </w:p>
    <w:tbl>
      <w:tblPr>
        <w:tblStyle w:val="6"/>
        <w:tblW w:w="0" w:type="auto"/>
        <w:tblInd w:w="0" w:type="dxa"/>
        <w:tblLayout w:type="fixed"/>
        <w:tblCellMar>
          <w:top w:w="15" w:type="dxa"/>
          <w:left w:w="15" w:type="dxa"/>
          <w:bottom w:w="15" w:type="dxa"/>
          <w:right w:w="15" w:type="dxa"/>
        </w:tblCellMar>
      </w:tblPr>
      <w:tblGrid>
        <w:gridCol w:w="1023"/>
        <w:gridCol w:w="1258"/>
        <w:gridCol w:w="1132"/>
        <w:gridCol w:w="990"/>
        <w:gridCol w:w="930"/>
        <w:gridCol w:w="1049"/>
        <w:gridCol w:w="1024"/>
        <w:gridCol w:w="931"/>
      </w:tblGrid>
      <w:tr>
        <w:tblPrEx>
          <w:tblCellMar>
            <w:top w:w="15" w:type="dxa"/>
            <w:left w:w="15" w:type="dxa"/>
            <w:bottom w:w="15" w:type="dxa"/>
            <w:right w:w="15" w:type="dxa"/>
          </w:tblCellMar>
        </w:tblPrEx>
        <w:trPr>
          <w:trHeight w:val="491" w:hRule="atLeast"/>
        </w:trPr>
        <w:tc>
          <w:tcPr>
            <w:tcW w:w="22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    目</w:t>
            </w:r>
          </w:p>
        </w:tc>
        <w:tc>
          <w:tcPr>
            <w:tcW w:w="11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年初结转</w:t>
            </w:r>
          </w:p>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和结余</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本年收入</w:t>
            </w:r>
          </w:p>
        </w:tc>
        <w:tc>
          <w:tcPr>
            <w:tcW w:w="3003" w:type="dxa"/>
            <w:gridSpan w:val="3"/>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本年支出</w:t>
            </w:r>
          </w:p>
        </w:tc>
        <w:tc>
          <w:tcPr>
            <w:tcW w:w="9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功能分类科目编码</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科目名称</w:t>
            </w:r>
          </w:p>
        </w:tc>
        <w:tc>
          <w:tcPr>
            <w:tcW w:w="113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小计</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基本支出</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项目支出</w:t>
            </w:r>
          </w:p>
        </w:tc>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22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合计</w:t>
            </w:r>
          </w:p>
        </w:tc>
        <w:tc>
          <w:tcPr>
            <w:tcW w:w="1132" w:type="dxa"/>
            <w:tcBorders>
              <w:top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2296003</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112.92</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bl>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
      <w:pPr>
        <w:jc w:val="center"/>
        <w:rPr>
          <w:rFonts w:hint="eastAsia" w:ascii="宋体" w:hAnsi="宋体" w:eastAsia="宋体" w:cs="宋体"/>
          <w:b/>
          <w:bCs/>
          <w:sz w:val="32"/>
          <w:szCs w:val="32"/>
        </w:rPr>
      </w:pPr>
      <w:r>
        <w:rPr>
          <w:rFonts w:hint="eastAsia" w:ascii="宋体" w:hAnsi="宋体" w:eastAsia="宋体" w:cs="宋体"/>
          <w:b/>
          <w:bCs/>
          <w:sz w:val="32"/>
          <w:szCs w:val="32"/>
          <w:lang w:eastAsia="zh-CN"/>
        </w:rPr>
        <w:t>国有资本经营</w:t>
      </w:r>
      <w:r>
        <w:rPr>
          <w:rFonts w:hint="eastAsia" w:ascii="宋体" w:hAnsi="宋体" w:eastAsia="宋体" w:cs="宋体"/>
          <w:b/>
          <w:bCs/>
          <w:sz w:val="32"/>
          <w:szCs w:val="32"/>
        </w:rPr>
        <w:t>预算财政拨款支出决算表</w:t>
      </w:r>
    </w:p>
    <w:p>
      <w:pPr>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公开0</w:t>
      </w:r>
      <w:r>
        <w:rPr>
          <w:rFonts w:hint="eastAsia" w:ascii="仿宋_GB2312" w:hAnsi="仿宋_GB2312" w:eastAsia="仿宋_GB2312" w:cs="仿宋_GB2312"/>
          <w:b/>
          <w:bCs/>
          <w:sz w:val="21"/>
          <w:szCs w:val="21"/>
          <w:lang w:val="en-US" w:eastAsia="zh-CN"/>
        </w:rPr>
        <w:t>9</w:t>
      </w:r>
      <w:r>
        <w:rPr>
          <w:rFonts w:hint="eastAsia" w:ascii="仿宋_GB2312" w:hAnsi="仿宋_GB2312" w:eastAsia="仿宋_GB2312" w:cs="仿宋_GB2312"/>
          <w:b/>
          <w:bCs/>
          <w:sz w:val="21"/>
          <w:szCs w:val="21"/>
        </w:rPr>
        <w:t>表</w:t>
      </w:r>
    </w:p>
    <w:p>
      <w:pPr>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编制部门：                                                       金额单位：万元</w:t>
      </w:r>
    </w:p>
    <w:tbl>
      <w:tblPr>
        <w:tblStyle w:val="6"/>
        <w:tblW w:w="0" w:type="auto"/>
        <w:tblInd w:w="0" w:type="dxa"/>
        <w:tblLayout w:type="fixed"/>
        <w:tblCellMar>
          <w:top w:w="15" w:type="dxa"/>
          <w:left w:w="15" w:type="dxa"/>
          <w:bottom w:w="15" w:type="dxa"/>
          <w:right w:w="15" w:type="dxa"/>
        </w:tblCellMar>
      </w:tblPr>
      <w:tblGrid>
        <w:gridCol w:w="1935"/>
        <w:gridCol w:w="2100"/>
        <w:gridCol w:w="1183"/>
        <w:gridCol w:w="1534"/>
        <w:gridCol w:w="1566"/>
      </w:tblGrid>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    目</w:t>
            </w:r>
          </w:p>
        </w:tc>
        <w:tc>
          <w:tcPr>
            <w:tcW w:w="4283" w:type="dxa"/>
            <w:gridSpan w:val="3"/>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本年支出</w:t>
            </w:r>
          </w:p>
        </w:tc>
      </w:tr>
      <w:tr>
        <w:tblPrEx>
          <w:tblCellMar>
            <w:top w:w="15" w:type="dxa"/>
            <w:left w:w="15" w:type="dxa"/>
            <w:bottom w:w="15" w:type="dxa"/>
            <w:right w:w="15" w:type="dxa"/>
          </w:tblCellMar>
        </w:tblPrEx>
        <w:trPr>
          <w:trHeight w:val="889"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功能分类</w:t>
            </w:r>
          </w:p>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科目编码</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科目名称</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小计</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基本支出</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项目支出</w:t>
            </w:r>
          </w:p>
        </w:tc>
      </w:tr>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合计</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15" w:type="dxa"/>
            <w:left w:w="15" w:type="dxa"/>
            <w:bottom w:w="15" w:type="dxa"/>
            <w:right w:w="15" w:type="dxa"/>
          </w:tblCellMar>
        </w:tblPrEx>
        <w:trPr>
          <w:trHeight w:val="514"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bl>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注：本表反映部门本年度国有资本经营预算财政拨款支出情况。本表金额转换为万元时，因四舍五入可能存在尾差。</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jc w:val="center"/>
        <w:rPr>
          <w:rFonts w:hint="eastAsia" w:ascii="黑体" w:hAnsi="宋体" w:eastAsia="黑体"/>
          <w:color w:val="000000"/>
          <w:kern w:val="0"/>
          <w:sz w:val="44"/>
          <w:szCs w:val="44"/>
        </w:rPr>
      </w:pPr>
    </w:p>
    <w:p>
      <w:pPr>
        <w:ind w:firstLine="883" w:firstLineChars="200"/>
        <w:jc w:val="both"/>
        <w:rPr>
          <w:rFonts w:hint="eastAsia" w:asciiTheme="majorEastAsia" w:hAnsiTheme="majorEastAsia" w:eastAsiaTheme="majorEastAsia" w:cstheme="majorEastAsia"/>
          <w:b/>
          <w:bCs/>
          <w:color w:val="000000"/>
          <w:kern w:val="0"/>
          <w:sz w:val="44"/>
          <w:szCs w:val="44"/>
        </w:rPr>
      </w:pPr>
      <w:r>
        <w:rPr>
          <w:rFonts w:hint="eastAsia" w:asciiTheme="majorEastAsia" w:hAnsiTheme="majorEastAsia" w:eastAsiaTheme="majorEastAsia" w:cstheme="majorEastAsia"/>
          <w:b/>
          <w:bCs/>
          <w:color w:val="000000"/>
          <w:kern w:val="0"/>
          <w:sz w:val="44"/>
          <w:szCs w:val="44"/>
        </w:rPr>
        <w:t xml:space="preserve">第三部分 </w:t>
      </w:r>
      <w:r>
        <w:rPr>
          <w:rFonts w:hint="eastAsia" w:asciiTheme="majorEastAsia" w:hAnsiTheme="majorEastAsia" w:eastAsiaTheme="majorEastAsia" w:cstheme="majorEastAsia"/>
          <w:b/>
          <w:bCs/>
          <w:color w:val="000000"/>
          <w:kern w:val="0"/>
          <w:sz w:val="44"/>
          <w:szCs w:val="44"/>
          <w:lang w:eastAsia="zh-CN"/>
        </w:rPr>
        <w:t>202</w:t>
      </w:r>
      <w:r>
        <w:rPr>
          <w:rFonts w:hint="eastAsia" w:asciiTheme="majorEastAsia" w:hAnsiTheme="majorEastAsia" w:eastAsiaTheme="majorEastAsia" w:cstheme="majorEastAsia"/>
          <w:b/>
          <w:bCs/>
          <w:color w:val="000000"/>
          <w:kern w:val="0"/>
          <w:sz w:val="44"/>
          <w:szCs w:val="44"/>
          <w:lang w:val="en-US" w:eastAsia="zh-CN"/>
        </w:rPr>
        <w:t>1</w:t>
      </w:r>
      <w:r>
        <w:rPr>
          <w:rFonts w:hint="eastAsia" w:asciiTheme="majorEastAsia" w:hAnsiTheme="majorEastAsia" w:eastAsiaTheme="majorEastAsia" w:cstheme="majorEastAsia"/>
          <w:b/>
          <w:bCs/>
          <w:color w:val="000000"/>
          <w:kern w:val="0"/>
          <w:sz w:val="44"/>
          <w:szCs w:val="44"/>
          <w:lang w:eastAsia="zh-CN"/>
        </w:rPr>
        <w:t>年</w:t>
      </w:r>
      <w:r>
        <w:rPr>
          <w:rFonts w:hint="eastAsia" w:asciiTheme="majorEastAsia" w:hAnsiTheme="majorEastAsia" w:eastAsiaTheme="majorEastAsia" w:cstheme="majorEastAsia"/>
          <w:b/>
          <w:bCs/>
          <w:color w:val="000000"/>
          <w:kern w:val="0"/>
          <w:sz w:val="44"/>
          <w:szCs w:val="44"/>
        </w:rPr>
        <w:t>部门决算情况说明</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宋体" w:eastAsia="黑体"/>
          <w:color w:val="000000"/>
          <w:kern w:val="0"/>
          <w:sz w:val="44"/>
          <w:szCs w:val="44"/>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一、收入支出决算总体情况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 w:eastAsia="仿宋_GB2312"/>
          <w:szCs w:val="32"/>
          <w:lang w:eastAsia="zh-CN"/>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 w:eastAsia="仿宋_GB2312"/>
          <w:szCs w:val="32"/>
        </w:rPr>
      </w:pPr>
      <w:r>
        <w:rPr>
          <w:rFonts w:hint="eastAsia" w:ascii="仿宋_GB2312" w:hAnsi="仿宋" w:eastAsia="仿宋_GB2312"/>
          <w:szCs w:val="32"/>
        </w:rPr>
        <w:drawing>
          <wp:inline distT="0" distB="0" distL="114300" distR="114300">
            <wp:extent cx="5080000" cy="2406015"/>
            <wp:effectExtent l="4445" t="4445" r="20955" b="889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spacing w:line="500" w:lineRule="exact"/>
        <w:ind w:firstLine="640" w:firstLineChars="200"/>
        <w:jc w:val="left"/>
        <w:rPr>
          <w:rFonts w:hint="eastAsia" w:ascii="仿宋_GB2312" w:hAnsi="仿宋" w:eastAsia="仿宋_GB2312"/>
          <w:szCs w:val="32"/>
          <w:lang w:eastAsia="zh-CN"/>
        </w:rPr>
      </w:pPr>
      <w:r>
        <w:rPr>
          <w:rFonts w:hint="eastAsia" w:ascii="仿宋_GB2312" w:hAnsi="仿宋" w:eastAsia="仿宋_GB2312"/>
          <w:szCs w:val="32"/>
          <w:lang w:val="en-US" w:eastAsia="zh-CN"/>
        </w:rPr>
        <w:t>2021年度收</w:t>
      </w:r>
      <w:r>
        <w:rPr>
          <w:rFonts w:hint="eastAsia" w:ascii="仿宋_GB2312" w:hAnsi="仿宋" w:eastAsia="仿宋_GB2312"/>
          <w:szCs w:val="32"/>
        </w:rPr>
        <w:t>入</w:t>
      </w:r>
      <w:r>
        <w:rPr>
          <w:rFonts w:hint="eastAsia" w:ascii="仿宋_GB2312" w:hAnsi="仿宋" w:eastAsia="仿宋_GB2312"/>
          <w:szCs w:val="32"/>
          <w:lang w:val="en-US" w:eastAsia="zh-CN"/>
        </w:rPr>
        <w:t>1640.62</w:t>
      </w:r>
      <w:r>
        <w:rPr>
          <w:rFonts w:hint="eastAsia" w:ascii="仿宋_GB2312" w:hAnsi="仿宋" w:eastAsia="仿宋_GB2312"/>
          <w:szCs w:val="32"/>
        </w:rPr>
        <w:t>万元，20</w:t>
      </w:r>
      <w:r>
        <w:rPr>
          <w:rFonts w:hint="eastAsia" w:ascii="仿宋_GB2312" w:hAnsi="仿宋" w:eastAsia="仿宋_GB2312"/>
          <w:szCs w:val="32"/>
          <w:lang w:val="en-US" w:eastAsia="zh-CN"/>
        </w:rPr>
        <w:t>20</w:t>
      </w:r>
      <w:r>
        <w:rPr>
          <w:rFonts w:hint="eastAsia" w:ascii="仿宋_GB2312" w:hAnsi="仿宋" w:eastAsia="仿宋_GB2312"/>
          <w:szCs w:val="32"/>
        </w:rPr>
        <w:t>年收入</w:t>
      </w:r>
      <w:r>
        <w:rPr>
          <w:rFonts w:hint="eastAsia" w:ascii="仿宋_GB2312" w:hAnsi="仿宋" w:eastAsia="仿宋_GB2312"/>
          <w:szCs w:val="32"/>
          <w:lang w:val="en-US" w:eastAsia="zh-CN"/>
        </w:rPr>
        <w:t>1793.69</w:t>
      </w:r>
      <w:r>
        <w:rPr>
          <w:rFonts w:hint="eastAsia" w:ascii="仿宋_GB2312" w:hAnsi="仿宋" w:eastAsia="仿宋_GB2312"/>
          <w:szCs w:val="32"/>
        </w:rPr>
        <w:t>万元，20</w:t>
      </w:r>
      <w:r>
        <w:rPr>
          <w:rFonts w:hint="eastAsia" w:ascii="仿宋_GB2312" w:hAnsi="仿宋" w:eastAsia="仿宋_GB2312"/>
          <w:szCs w:val="32"/>
          <w:lang w:val="en-US" w:eastAsia="zh-CN"/>
        </w:rPr>
        <w:t>21</w:t>
      </w:r>
      <w:r>
        <w:rPr>
          <w:rFonts w:hint="eastAsia" w:ascii="仿宋_GB2312" w:hAnsi="仿宋" w:eastAsia="仿宋_GB2312"/>
          <w:szCs w:val="32"/>
        </w:rPr>
        <w:t>年比20</w:t>
      </w:r>
      <w:r>
        <w:rPr>
          <w:rFonts w:hint="eastAsia" w:ascii="仿宋_GB2312" w:hAnsi="仿宋" w:eastAsia="仿宋_GB2312"/>
          <w:szCs w:val="32"/>
          <w:lang w:val="en-US" w:eastAsia="zh-CN"/>
        </w:rPr>
        <w:t>20</w:t>
      </w:r>
      <w:r>
        <w:rPr>
          <w:rFonts w:hint="eastAsia" w:ascii="仿宋_GB2312" w:hAnsi="仿宋" w:eastAsia="仿宋_GB2312"/>
          <w:szCs w:val="32"/>
        </w:rPr>
        <w:t>年减少</w:t>
      </w:r>
      <w:r>
        <w:rPr>
          <w:rFonts w:hint="eastAsia" w:ascii="仿宋_GB2312" w:hAnsi="仿宋" w:eastAsia="仿宋_GB2312"/>
          <w:szCs w:val="32"/>
          <w:lang w:val="en-US" w:eastAsia="zh-CN"/>
        </w:rPr>
        <w:t>153.07</w:t>
      </w:r>
      <w:r>
        <w:rPr>
          <w:rFonts w:hint="eastAsia" w:ascii="仿宋_GB2312" w:hAnsi="仿宋" w:eastAsia="仿宋_GB2312"/>
          <w:szCs w:val="32"/>
        </w:rPr>
        <w:t>万元，主要是机构改革单位转隶项目减少</w:t>
      </w:r>
      <w:r>
        <w:rPr>
          <w:rFonts w:hint="eastAsia" w:ascii="仿宋_GB2312" w:hAnsi="仿宋" w:eastAsia="仿宋_GB2312"/>
          <w:szCs w:val="32"/>
          <w:lang w:eastAsia="zh-CN"/>
        </w:rPr>
        <w:t>和压缩经费。</w:t>
      </w:r>
    </w:p>
    <w:p>
      <w:pPr>
        <w:widowControl/>
        <w:spacing w:line="500" w:lineRule="exact"/>
        <w:ind w:firstLine="640" w:firstLineChars="200"/>
        <w:jc w:val="left"/>
        <w:rPr>
          <w:rFonts w:hint="default" w:ascii="仿宋_GB2312" w:hAnsi="仿宋" w:eastAsia="仿宋_GB2312"/>
          <w:szCs w:val="32"/>
          <w:lang w:val="en-US" w:eastAsia="zh-CN"/>
        </w:rPr>
      </w:pPr>
      <w:r>
        <w:rPr>
          <w:rFonts w:hint="eastAsia" w:ascii="仿宋_GB2312" w:hAnsi="仿宋" w:eastAsia="仿宋_GB2312"/>
          <w:szCs w:val="32"/>
        </w:rPr>
        <w:t>20</w:t>
      </w:r>
      <w:r>
        <w:rPr>
          <w:rFonts w:hint="eastAsia" w:ascii="仿宋_GB2312" w:hAnsi="仿宋" w:eastAsia="仿宋_GB2312"/>
          <w:szCs w:val="32"/>
          <w:lang w:val="en-US" w:eastAsia="zh-CN"/>
        </w:rPr>
        <w:t>21</w:t>
      </w:r>
      <w:r>
        <w:rPr>
          <w:rFonts w:hint="eastAsia" w:ascii="仿宋_GB2312" w:hAnsi="仿宋" w:eastAsia="仿宋_GB2312"/>
          <w:szCs w:val="32"/>
        </w:rPr>
        <w:t>度年支出</w:t>
      </w:r>
      <w:r>
        <w:rPr>
          <w:rFonts w:hint="eastAsia" w:ascii="仿宋_GB2312" w:hAnsi="仿宋" w:eastAsia="仿宋_GB2312"/>
          <w:szCs w:val="32"/>
          <w:lang w:val="en-US" w:eastAsia="zh-CN"/>
        </w:rPr>
        <w:t>1640.62</w:t>
      </w:r>
      <w:r>
        <w:rPr>
          <w:rFonts w:hint="eastAsia" w:ascii="仿宋_GB2312" w:hAnsi="仿宋" w:eastAsia="仿宋_GB2312"/>
          <w:szCs w:val="32"/>
        </w:rPr>
        <w:t>万元，20</w:t>
      </w:r>
      <w:r>
        <w:rPr>
          <w:rFonts w:hint="eastAsia" w:ascii="仿宋_GB2312" w:hAnsi="仿宋" w:eastAsia="仿宋_GB2312"/>
          <w:szCs w:val="32"/>
          <w:lang w:val="en-US" w:eastAsia="zh-CN"/>
        </w:rPr>
        <w:t>20</w:t>
      </w:r>
      <w:r>
        <w:rPr>
          <w:rFonts w:hint="eastAsia" w:ascii="仿宋_GB2312" w:hAnsi="仿宋" w:eastAsia="仿宋_GB2312"/>
          <w:szCs w:val="32"/>
        </w:rPr>
        <w:t>年支出21</w:t>
      </w:r>
      <w:r>
        <w:rPr>
          <w:rFonts w:hint="eastAsia" w:ascii="仿宋_GB2312" w:hAnsi="仿宋" w:eastAsia="仿宋_GB2312"/>
          <w:szCs w:val="32"/>
          <w:lang w:val="en-US" w:eastAsia="zh-CN"/>
        </w:rPr>
        <w:t>83.69</w:t>
      </w:r>
      <w:r>
        <w:rPr>
          <w:rFonts w:hint="eastAsia" w:ascii="仿宋_GB2312" w:hAnsi="仿宋" w:eastAsia="仿宋_GB2312"/>
          <w:szCs w:val="32"/>
        </w:rPr>
        <w:t>万元，20</w:t>
      </w:r>
      <w:r>
        <w:rPr>
          <w:rFonts w:hint="eastAsia" w:ascii="仿宋_GB2312" w:hAnsi="仿宋" w:eastAsia="仿宋_GB2312"/>
          <w:szCs w:val="32"/>
          <w:lang w:val="en-US" w:eastAsia="zh-CN"/>
        </w:rPr>
        <w:t>21</w:t>
      </w:r>
      <w:r>
        <w:rPr>
          <w:rFonts w:hint="eastAsia" w:ascii="仿宋_GB2312" w:hAnsi="仿宋" w:eastAsia="仿宋_GB2312"/>
          <w:szCs w:val="32"/>
        </w:rPr>
        <w:t>年比20</w:t>
      </w:r>
      <w:r>
        <w:rPr>
          <w:rFonts w:hint="eastAsia" w:ascii="仿宋_GB2312" w:hAnsi="仿宋" w:eastAsia="仿宋_GB2312"/>
          <w:szCs w:val="32"/>
          <w:lang w:val="en-US" w:eastAsia="zh-CN"/>
        </w:rPr>
        <w:t>20</w:t>
      </w:r>
      <w:r>
        <w:rPr>
          <w:rFonts w:hint="eastAsia" w:ascii="仿宋_GB2312" w:hAnsi="仿宋" w:eastAsia="仿宋_GB2312"/>
          <w:szCs w:val="32"/>
        </w:rPr>
        <w:t>年</w:t>
      </w:r>
      <w:r>
        <w:rPr>
          <w:rFonts w:hint="eastAsia" w:ascii="仿宋_GB2312" w:hAnsi="仿宋" w:eastAsia="仿宋_GB2312"/>
          <w:szCs w:val="32"/>
          <w:lang w:eastAsia="zh-CN"/>
        </w:rPr>
        <w:t>减少</w:t>
      </w:r>
      <w:r>
        <w:rPr>
          <w:rFonts w:hint="eastAsia" w:ascii="仿宋_GB2312" w:hAnsi="仿宋" w:eastAsia="仿宋_GB2312"/>
          <w:szCs w:val="32"/>
          <w:lang w:val="en-US" w:eastAsia="zh-CN"/>
        </w:rPr>
        <w:t>543.07</w:t>
      </w:r>
      <w:r>
        <w:rPr>
          <w:rFonts w:hint="eastAsia" w:ascii="仿宋_GB2312" w:hAnsi="仿宋" w:eastAsia="仿宋_GB2312"/>
          <w:szCs w:val="32"/>
        </w:rPr>
        <w:t>万元，主要是</w:t>
      </w:r>
      <w:r>
        <w:rPr>
          <w:rFonts w:hint="eastAsia" w:ascii="仿宋_GB2312" w:hAnsi="仿宋" w:eastAsia="仿宋_GB2312"/>
          <w:szCs w:val="32"/>
          <w:lang w:val="en-US" w:eastAsia="zh-CN"/>
        </w:rPr>
        <w:t>2020年十四运建设项目的完成和压缩经费。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w:t>
      </w:r>
      <w:r>
        <w:rPr>
          <w:rFonts w:hint="eastAsia" w:asciiTheme="minorEastAsia" w:hAnsiTheme="minorEastAsia" w:eastAsiaTheme="minorEastAsia" w:cstheme="minorEastAsia"/>
          <w:b/>
          <w:bCs/>
          <w:color w:val="000000"/>
          <w:kern w:val="0"/>
          <w:sz w:val="32"/>
          <w:szCs w:val="32"/>
          <w:lang w:bidi="ar"/>
        </w:rPr>
        <w:t>、收入决算情况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360" w:lineRule="auto"/>
        <w:ind w:left="320" w:leftChars="100" w:firstLine="0" w:firstLineChars="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eastAsia="zh-CN" w:bidi="ar"/>
        </w:rPr>
        <w:drawing>
          <wp:inline distT="0" distB="0" distL="114300" distR="114300">
            <wp:extent cx="5652135" cy="2176780"/>
            <wp:effectExtent l="4445" t="4445" r="20320"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eastAsia="zh-CN"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收入合计</w:t>
      </w:r>
      <w:r>
        <w:rPr>
          <w:rFonts w:hint="eastAsia" w:ascii="仿宋_GB2312" w:hAnsi="仿宋" w:eastAsia="仿宋_GB2312"/>
          <w:szCs w:val="32"/>
          <w:lang w:val="en-US" w:eastAsia="zh-CN"/>
        </w:rPr>
        <w:t>1640.62</w:t>
      </w:r>
      <w:r>
        <w:rPr>
          <w:rFonts w:ascii="仿宋_GB2312" w:hAnsi="宋体" w:eastAsia="仿宋_GB2312" w:cs="仿宋_GB2312"/>
          <w:color w:val="000000"/>
          <w:kern w:val="0"/>
          <w:sz w:val="32"/>
          <w:szCs w:val="32"/>
          <w:lang w:bidi="ar"/>
        </w:rPr>
        <w:t>万元，其中：财政拨款收</w:t>
      </w:r>
      <w:r>
        <w:rPr>
          <w:rFonts w:hint="eastAsia" w:ascii="仿宋_GB2312" w:hAnsi="宋体" w:eastAsia="仿宋_GB2312" w:cs="仿宋_GB2312"/>
          <w:color w:val="000000"/>
          <w:kern w:val="0"/>
          <w:sz w:val="32"/>
          <w:szCs w:val="32"/>
          <w:lang w:eastAsia="zh-CN" w:bidi="ar"/>
        </w:rPr>
        <w:t>入</w:t>
      </w:r>
      <w:r>
        <w:rPr>
          <w:rFonts w:hint="eastAsia" w:ascii="仿宋_GB2312" w:hAnsi="仿宋" w:eastAsia="仿宋_GB2312"/>
          <w:szCs w:val="32"/>
          <w:lang w:val="en-US" w:eastAsia="zh-CN"/>
        </w:rPr>
        <w:t>1640.62</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%；事业收入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%；经营收入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%；其他收入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rPr>
      </w:pPr>
      <w:r>
        <w:rPr>
          <w:rFonts w:hint="eastAsia" w:ascii="黑体" w:hAnsi="黑体" w:eastAsia="黑体"/>
          <w:color w:val="000000"/>
          <w:kern w:val="0"/>
          <w:sz w:val="32"/>
          <w:szCs w:val="32"/>
          <w:lang w:bidi="ar"/>
        </w:rPr>
        <w:t>三、</w:t>
      </w:r>
      <w:r>
        <w:rPr>
          <w:rFonts w:hint="eastAsia" w:asciiTheme="minorEastAsia" w:hAnsiTheme="minorEastAsia" w:eastAsiaTheme="minorEastAsia" w:cstheme="minorEastAsia"/>
          <w:b/>
          <w:bCs/>
          <w:color w:val="000000"/>
          <w:kern w:val="0"/>
          <w:sz w:val="32"/>
          <w:szCs w:val="32"/>
          <w:lang w:bidi="ar"/>
        </w:rPr>
        <w:t>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eastAsia="zh-CN" w:bidi="ar"/>
        </w:rPr>
        <w:drawing>
          <wp:inline distT="0" distB="0" distL="114300" distR="114300">
            <wp:extent cx="5080000" cy="2025015"/>
            <wp:effectExtent l="4445" t="4445" r="20955" b="889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eastAsia="zh-CN" w:bidi="ar"/>
        </w:rPr>
        <w:t>202</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eastAsia="zh-CN"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支出合计</w:t>
      </w:r>
      <w:r>
        <w:rPr>
          <w:rFonts w:hint="eastAsia" w:ascii="仿宋_GB2312" w:hAnsi="仿宋" w:eastAsia="仿宋_GB2312"/>
          <w:szCs w:val="32"/>
          <w:lang w:val="en-US" w:eastAsia="zh-CN"/>
        </w:rPr>
        <w:t>1640.62</w:t>
      </w:r>
      <w:r>
        <w:rPr>
          <w:rFonts w:ascii="仿宋_GB2312" w:hAnsi="宋体" w:eastAsia="仿宋_GB2312" w:cs="仿宋_GB2312"/>
          <w:color w:val="000000"/>
          <w:kern w:val="0"/>
          <w:sz w:val="32"/>
          <w:szCs w:val="32"/>
          <w:lang w:bidi="ar"/>
        </w:rPr>
        <w:t>万元，其中：基本支出</w:t>
      </w:r>
      <w:r>
        <w:rPr>
          <w:rFonts w:hint="eastAsia" w:ascii="仿宋_GB2312" w:hAnsi="宋体" w:eastAsia="仿宋_GB2312" w:cs="仿宋_GB2312"/>
          <w:color w:val="000000"/>
          <w:kern w:val="0"/>
          <w:sz w:val="32"/>
          <w:szCs w:val="32"/>
          <w:lang w:val="en-US" w:eastAsia="zh-CN" w:bidi="ar"/>
        </w:rPr>
        <w:t>125.24</w:t>
      </w:r>
      <w:r>
        <w:rPr>
          <w:rFonts w:ascii="仿宋_GB2312" w:hAnsi="宋体" w:eastAsia="仿宋_GB2312" w:cs="仿宋_GB2312"/>
          <w:color w:val="000000"/>
          <w:kern w:val="0"/>
          <w:sz w:val="32"/>
          <w:szCs w:val="32"/>
          <w:lang w:bidi="ar"/>
        </w:rPr>
        <w:t>万元，</w:t>
      </w:r>
      <w:r>
        <w:rPr>
          <w:rFonts w:ascii="仿宋_GB2312" w:hAnsi="宋体" w:eastAsia="仿宋_GB2312" w:cs="仿宋_GB2312"/>
          <w:color w:val="000000" w:themeColor="text1"/>
          <w:kern w:val="0"/>
          <w:sz w:val="32"/>
          <w:szCs w:val="32"/>
          <w:lang w:bidi="ar"/>
          <w14:textFill>
            <w14:solidFill>
              <w14:schemeClr w14:val="tx1"/>
            </w14:solidFill>
          </w14:textFill>
        </w:rPr>
        <w:t>占</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8</w:t>
      </w:r>
      <w:r>
        <w:rPr>
          <w:rFonts w:ascii="仿宋_GB2312" w:hAnsi="宋体" w:eastAsia="仿宋_GB2312" w:cs="仿宋_GB2312"/>
          <w:color w:val="000000" w:themeColor="text1"/>
          <w:kern w:val="0"/>
          <w:sz w:val="32"/>
          <w:szCs w:val="32"/>
          <w:lang w:bidi="ar"/>
          <w14:textFill>
            <w14:solidFill>
              <w14:schemeClr w14:val="tx1"/>
            </w14:solidFill>
          </w14:textFill>
        </w:rPr>
        <w:t>%</w:t>
      </w:r>
      <w:r>
        <w:rPr>
          <w:rFonts w:ascii="仿宋_GB2312" w:hAnsi="宋体" w:eastAsia="仿宋_GB2312" w:cs="仿宋_GB2312"/>
          <w:color w:val="000000"/>
          <w:kern w:val="0"/>
          <w:sz w:val="32"/>
          <w:szCs w:val="32"/>
          <w:lang w:bidi="ar"/>
        </w:rPr>
        <w:t>；项目支出</w:t>
      </w:r>
      <w:r>
        <w:rPr>
          <w:rFonts w:hint="eastAsia" w:ascii="仿宋_GB2312" w:hAnsi="宋体" w:eastAsia="仿宋_GB2312" w:cs="仿宋_GB2312"/>
          <w:color w:val="000000"/>
          <w:kern w:val="0"/>
          <w:sz w:val="32"/>
          <w:szCs w:val="32"/>
          <w:lang w:val="en-US" w:eastAsia="zh-CN" w:bidi="ar"/>
        </w:rPr>
        <w:t>1515.38</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92</w:t>
      </w:r>
      <w:r>
        <w:rPr>
          <w:rFonts w:ascii="仿宋_GB2312" w:hAnsi="宋体" w:eastAsia="仿宋_GB2312" w:cs="仿宋_GB2312"/>
          <w:color w:val="000000"/>
          <w:kern w:val="0"/>
          <w:sz w:val="32"/>
          <w:szCs w:val="32"/>
          <w:lang w:bidi="ar"/>
        </w:rPr>
        <w:t>%；经营支出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黑体" w:hAnsi="黑体" w:eastAsia="黑体"/>
          <w:color w:val="000000"/>
          <w:kern w:val="0"/>
          <w:sz w:val="32"/>
          <w:szCs w:val="32"/>
          <w:lang w:bidi="ar"/>
        </w:rPr>
        <w:t>四</w:t>
      </w:r>
      <w:r>
        <w:rPr>
          <w:rFonts w:hint="eastAsia" w:asciiTheme="minorEastAsia" w:hAnsiTheme="minorEastAsia" w:eastAsiaTheme="minorEastAsia" w:cstheme="minorEastAsia"/>
          <w:b/>
          <w:bCs/>
          <w:color w:val="000000"/>
          <w:kern w:val="0"/>
          <w:sz w:val="32"/>
          <w:szCs w:val="32"/>
          <w:lang w:bidi="ar"/>
        </w:rPr>
        <w:t>、财政拨款收入支出决算总体情况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drawing>
          <wp:inline distT="0" distB="0" distL="114300" distR="114300">
            <wp:extent cx="5080000" cy="2251075"/>
            <wp:effectExtent l="5080" t="4445" r="20320" b="1143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年度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收入</w:t>
      </w:r>
      <w:r>
        <w:rPr>
          <w:rFonts w:hint="eastAsia" w:ascii="仿宋_GB2312" w:hAnsi="仿宋" w:eastAsia="仿宋_GB2312"/>
          <w:sz w:val="32"/>
          <w:szCs w:val="32"/>
          <w:lang w:val="en-US" w:eastAsia="zh-CN"/>
        </w:rPr>
        <w:t>为</w:t>
      </w:r>
      <w:r>
        <w:rPr>
          <w:rFonts w:hint="eastAsia" w:ascii="仿宋_GB2312" w:hAnsi="仿宋" w:eastAsia="仿宋_GB2312"/>
          <w:szCs w:val="32"/>
          <w:lang w:val="en-US" w:eastAsia="zh-CN"/>
        </w:rPr>
        <w:t>1640.62万元</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2020年相比减少了153.07</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hint="eastAsia" w:ascii="仿宋_GB2312" w:hAnsi="仿宋" w:eastAsia="仿宋_GB2312"/>
          <w:sz w:val="32"/>
          <w:szCs w:val="32"/>
        </w:rPr>
        <w:t>比上年</w:t>
      </w:r>
      <w:r>
        <w:rPr>
          <w:rFonts w:hint="eastAsia" w:ascii="仿宋_GB2312" w:hAnsi="仿宋" w:eastAsia="仿宋_GB2312"/>
          <w:sz w:val="32"/>
          <w:szCs w:val="32"/>
          <w:lang w:val="en-US" w:eastAsia="zh-CN"/>
        </w:rPr>
        <w:t>减少9%</w:t>
      </w:r>
      <w:r>
        <w:rPr>
          <w:rFonts w:hint="eastAsia" w:ascii="仿宋_GB2312" w:hAnsi="仿宋" w:eastAsia="仿宋_GB2312"/>
          <w:sz w:val="32"/>
          <w:szCs w:val="32"/>
        </w:rPr>
        <w:t>，</w:t>
      </w:r>
      <w:r>
        <w:rPr>
          <w:rFonts w:hint="eastAsia" w:ascii="仿宋_GB2312" w:hAnsi="仿宋" w:eastAsia="仿宋_GB2312"/>
          <w:sz w:val="32"/>
          <w:szCs w:val="32"/>
          <w:lang w:eastAsia="zh-CN"/>
        </w:rPr>
        <w:t>主要原因是</w:t>
      </w:r>
      <w:r>
        <w:rPr>
          <w:rFonts w:hint="eastAsia" w:ascii="仿宋_GB2312" w:hAnsi="仿宋" w:eastAsia="仿宋_GB2312"/>
          <w:sz w:val="32"/>
          <w:szCs w:val="32"/>
          <w:lang w:val="en-US" w:eastAsia="zh-CN"/>
        </w:rPr>
        <w:t>2020年</w:t>
      </w:r>
      <w:r>
        <w:rPr>
          <w:rFonts w:hint="eastAsia" w:ascii="仿宋_GB2312" w:hAnsi="仿宋" w:eastAsia="仿宋_GB2312"/>
          <w:sz w:val="32"/>
          <w:szCs w:val="32"/>
          <w:lang w:eastAsia="zh-CN"/>
        </w:rPr>
        <w:t>十四运场馆</w:t>
      </w:r>
      <w:r>
        <w:rPr>
          <w:rFonts w:hint="eastAsia" w:ascii="仿宋_GB2312" w:hAnsi="仿宋" w:eastAsia="仿宋_GB2312"/>
          <w:sz w:val="32"/>
          <w:szCs w:val="32"/>
          <w:lang w:val="en-US" w:eastAsia="zh-CN"/>
        </w:rPr>
        <w:t>建设项目的竣工和压缩经费</w:t>
      </w:r>
      <w:r>
        <w:rPr>
          <w:rFonts w:hint="eastAsia" w:ascii="仿宋_GB2312" w:hAnsi="仿宋"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年度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支出</w:t>
      </w:r>
      <w:r>
        <w:rPr>
          <w:rFonts w:hint="eastAsia" w:ascii="仿宋_GB2312" w:hAnsi="仿宋" w:eastAsia="仿宋_GB2312"/>
          <w:sz w:val="32"/>
          <w:szCs w:val="32"/>
          <w:lang w:val="en-US" w:eastAsia="zh-CN"/>
        </w:rPr>
        <w:t>为1640.62</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2020年相比减少</w:t>
      </w:r>
      <w:r>
        <w:rPr>
          <w:rFonts w:hint="eastAsia" w:ascii="仿宋_GB2312" w:hAnsi="仿宋" w:eastAsia="仿宋_GB2312"/>
          <w:sz w:val="32"/>
          <w:szCs w:val="32"/>
          <w:lang w:eastAsia="zh-CN"/>
        </w:rPr>
        <w:t>了</w:t>
      </w:r>
      <w:r>
        <w:rPr>
          <w:rFonts w:hint="eastAsia" w:ascii="仿宋_GB2312" w:hAnsi="仿宋" w:eastAsia="仿宋_GB2312"/>
          <w:sz w:val="32"/>
          <w:szCs w:val="32"/>
          <w:lang w:val="en-US" w:eastAsia="zh-CN"/>
        </w:rPr>
        <w:t>543.07</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hint="eastAsia" w:ascii="仿宋_GB2312" w:hAnsi="仿宋" w:eastAsia="仿宋_GB2312"/>
          <w:sz w:val="32"/>
          <w:szCs w:val="32"/>
        </w:rPr>
        <w:t>比上年</w:t>
      </w:r>
      <w:r>
        <w:rPr>
          <w:rFonts w:hint="eastAsia" w:ascii="仿宋_GB2312" w:hAnsi="仿宋" w:eastAsia="仿宋_GB2312"/>
          <w:sz w:val="32"/>
          <w:szCs w:val="32"/>
          <w:lang w:val="en-US" w:eastAsia="zh-CN"/>
        </w:rPr>
        <w:t>减少25%</w:t>
      </w:r>
      <w:r>
        <w:rPr>
          <w:rFonts w:hint="eastAsia" w:ascii="仿宋_GB2312" w:hAnsi="仿宋" w:eastAsia="仿宋_GB2312"/>
          <w:sz w:val="32"/>
          <w:szCs w:val="32"/>
        </w:rPr>
        <w:t>，</w:t>
      </w:r>
      <w:r>
        <w:rPr>
          <w:rFonts w:hint="eastAsia" w:ascii="仿宋_GB2312" w:hAnsi="仿宋" w:eastAsia="仿宋_GB2312"/>
          <w:sz w:val="32"/>
          <w:szCs w:val="32"/>
          <w:lang w:eastAsia="zh-CN"/>
        </w:rPr>
        <w:t>主要原因是</w:t>
      </w:r>
      <w:r>
        <w:rPr>
          <w:rFonts w:hint="eastAsia" w:ascii="仿宋_GB2312" w:hAnsi="仿宋" w:eastAsia="仿宋_GB2312"/>
          <w:sz w:val="32"/>
          <w:szCs w:val="32"/>
          <w:lang w:val="en-US" w:eastAsia="zh-CN"/>
        </w:rPr>
        <w:t>2020年</w:t>
      </w:r>
      <w:r>
        <w:rPr>
          <w:rFonts w:hint="eastAsia" w:ascii="仿宋_GB2312" w:hAnsi="仿宋" w:eastAsia="仿宋_GB2312"/>
          <w:sz w:val="32"/>
          <w:szCs w:val="32"/>
          <w:lang w:eastAsia="zh-CN"/>
        </w:rPr>
        <w:t>十四运场馆建设</w:t>
      </w:r>
      <w:r>
        <w:rPr>
          <w:rFonts w:hint="eastAsia" w:ascii="仿宋_GB2312" w:hAnsi="仿宋" w:eastAsia="仿宋_GB2312"/>
          <w:sz w:val="32"/>
          <w:szCs w:val="32"/>
          <w:lang w:val="en-US" w:eastAsia="zh-CN"/>
        </w:rPr>
        <w:t>项目已竣工和项目减少。</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五、一般公共预算财政拨款支出决算情况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outlineLvl w:val="9"/>
        <w:rPr>
          <w:rFonts w:hint="eastAsia" w:ascii="楷体_GB2312" w:hAnsi="宋体" w:eastAsia="楷体_GB2312" w:cs="楷体_GB2312"/>
          <w:b/>
          <w:color w:val="000000"/>
          <w:kern w:val="0"/>
          <w:sz w:val="32"/>
          <w:szCs w:val="32"/>
          <w:lang w:eastAsia="zh-CN"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drawing>
          <wp:inline distT="0" distB="0" distL="114300" distR="114300">
            <wp:extent cx="5139055" cy="2167890"/>
            <wp:effectExtent l="5080" t="4445" r="18415" b="1841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eastAsia="zh-CN"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1527.7</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93</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w:t>
      </w:r>
      <w:r>
        <w:rPr>
          <w:rFonts w:hint="eastAsia" w:ascii="仿宋_GB2312" w:hAnsi="宋体" w:eastAsia="仿宋_GB2312" w:cs="仿宋_GB2312"/>
          <w:color w:val="000000"/>
          <w:kern w:val="0"/>
          <w:sz w:val="32"/>
          <w:szCs w:val="32"/>
          <w:lang w:val="en-US" w:eastAsia="zh-CN" w:bidi="ar"/>
        </w:rPr>
        <w:t>减少了655.99</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val="en-US" w:eastAsia="zh-CN" w:bidi="ar"/>
        </w:rPr>
        <w:t>减少30</w:t>
      </w:r>
      <w:r>
        <w:rPr>
          <w:rFonts w:ascii="仿宋_GB2312" w:hAnsi="宋体" w:eastAsia="仿宋_GB2312" w:cs="仿宋_GB2312"/>
          <w:color w:val="000000"/>
          <w:kern w:val="0"/>
          <w:sz w:val="32"/>
          <w:szCs w:val="32"/>
          <w:lang w:bidi="ar"/>
        </w:rPr>
        <w:t>%，主要</w:t>
      </w:r>
      <w:r>
        <w:rPr>
          <w:rFonts w:hint="eastAsia" w:ascii="仿宋_GB2312" w:hAnsi="宋体" w:eastAsia="仿宋_GB2312" w:cs="仿宋_GB2312"/>
          <w:color w:val="000000"/>
          <w:kern w:val="0"/>
          <w:sz w:val="32"/>
          <w:szCs w:val="32"/>
          <w:lang w:bidi="ar"/>
        </w:rPr>
        <w:t>原因是</w:t>
      </w:r>
      <w:r>
        <w:rPr>
          <w:rFonts w:hint="eastAsia" w:ascii="仿宋_GB2312" w:hAnsi="仿宋" w:eastAsia="仿宋_GB2312"/>
          <w:sz w:val="32"/>
          <w:szCs w:val="32"/>
          <w:lang w:val="en-US" w:eastAsia="zh-CN"/>
        </w:rPr>
        <w:t>项目减少（2020年十四运场馆建设竣工），压缩经费</w:t>
      </w:r>
      <w:r>
        <w:rPr>
          <w:rFonts w:hint="eastAsia" w:ascii="仿宋_GB2312" w:hAnsi="仿宋"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color w:val="000000" w:themeColor="text1"/>
          <w14:textFill>
            <w14:solidFill>
              <w14:schemeClr w14:val="tx1"/>
            </w14:solidFill>
          </w14:textFill>
        </w:rPr>
      </w:pPr>
      <w:r>
        <w:rPr>
          <w:rFonts w:hint="eastAsia" w:ascii="仿宋_GB2312" w:hAnsi="宋体" w:eastAsia="仿宋_GB2312" w:cs="仿宋_GB2312"/>
          <w:color w:val="000000"/>
          <w:kern w:val="0"/>
          <w:sz w:val="32"/>
          <w:szCs w:val="32"/>
          <w:lang w:eastAsia="zh-CN" w:bidi="ar"/>
        </w:rPr>
        <w:t>202</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eastAsia="zh-CN"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w:t>
      </w:r>
      <w:r>
        <w:rPr>
          <w:rFonts w:ascii="仿宋_GB2312" w:hAnsi="宋体" w:eastAsia="仿宋_GB2312" w:cs="仿宋_GB2312"/>
          <w:color w:val="000000" w:themeColor="text1"/>
          <w:kern w:val="0"/>
          <w:sz w:val="32"/>
          <w:szCs w:val="32"/>
          <w:lang w:bidi="ar"/>
          <w14:textFill>
            <w14:solidFill>
              <w14:schemeClr w14:val="tx1"/>
            </w14:solidFill>
          </w14:textFill>
        </w:rPr>
        <w:t>算为</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148.89</w:t>
      </w:r>
      <w:r>
        <w:rPr>
          <w:rFonts w:ascii="仿宋_GB2312" w:hAnsi="宋体" w:eastAsia="仿宋_GB2312" w:cs="仿宋_GB2312"/>
          <w:color w:val="000000" w:themeColor="text1"/>
          <w:kern w:val="0"/>
          <w:sz w:val="32"/>
          <w:szCs w:val="32"/>
          <w:lang w:bidi="ar"/>
          <w14:textFill>
            <w14:solidFill>
              <w14:schemeClr w14:val="tx1"/>
            </w14:solidFill>
          </w14:textFill>
        </w:rPr>
        <w:t>万元，支出决算为</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1527.7</w:t>
      </w:r>
      <w:r>
        <w:rPr>
          <w:rFonts w:ascii="仿宋_GB2312" w:hAnsi="宋体" w:eastAsia="仿宋_GB2312" w:cs="仿宋_GB2312"/>
          <w:color w:val="000000" w:themeColor="text1"/>
          <w:kern w:val="0"/>
          <w:sz w:val="32"/>
          <w:szCs w:val="32"/>
          <w:lang w:bidi="ar"/>
          <w14:textFill>
            <w14:solidFill>
              <w14:schemeClr w14:val="tx1"/>
            </w14:solidFill>
          </w14:textFill>
        </w:rPr>
        <w:t>万元，完成年初预算的</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1026</w:t>
      </w:r>
      <w:r>
        <w:rPr>
          <w:rFonts w:ascii="仿宋_GB2312" w:hAnsi="宋体" w:eastAsia="仿宋_GB2312" w:cs="仿宋_GB2312"/>
          <w:color w:val="000000" w:themeColor="text1"/>
          <w:kern w:val="0"/>
          <w:sz w:val="32"/>
          <w:szCs w:val="32"/>
          <w:lang w:bidi="ar"/>
          <w14:textFill>
            <w14:solidFill>
              <w14:schemeClr w14:val="tx1"/>
            </w14:solidFill>
          </w14:textFill>
        </w:rPr>
        <w:t>%。</w:t>
      </w:r>
      <w:r>
        <w:rPr>
          <w:rFonts w:hint="eastAsia" w:ascii="仿宋_GB2312" w:hAnsi="宋体" w:eastAsia="仿宋_GB2312" w:cs="仿宋_GB2312"/>
          <w:color w:val="000000" w:themeColor="text1"/>
          <w:kern w:val="0"/>
          <w:sz w:val="32"/>
          <w:szCs w:val="32"/>
          <w:lang w:bidi="ar"/>
          <w14:textFill>
            <w14:solidFill>
              <w14:schemeClr w14:val="tx1"/>
            </w14:solidFill>
          </w14:textFill>
        </w:rPr>
        <w:t>按照政府功能分类科目，</w:t>
      </w:r>
      <w:r>
        <w:rPr>
          <w:rFonts w:ascii="仿宋_GB2312" w:hAnsi="宋体" w:eastAsia="仿宋_GB2312" w:cs="仿宋_GB2312"/>
          <w:color w:val="000000" w:themeColor="text1"/>
          <w:kern w:val="0"/>
          <w:sz w:val="32"/>
          <w:szCs w:val="32"/>
          <w:lang w:bidi="ar"/>
          <w14:textFill>
            <w14:solidFill>
              <w14:schemeClr w14:val="tx1"/>
            </w14:solidFill>
          </w14:textFill>
        </w:rPr>
        <w:t xml:space="preserve">其中： </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3" w:firstLineChars="200"/>
        <w:jc w:val="left"/>
        <w:textAlignment w:val="auto"/>
        <w:outlineLvl w:val="9"/>
        <w:rPr>
          <w:rFonts w:hint="default" w:ascii="仿宋_GB2312" w:hAnsi="宋体" w:eastAsia="仿宋_GB2312" w:cs="仿宋_GB2312"/>
          <w:color w:val="000000" w:themeColor="text1"/>
          <w:kern w:val="0"/>
          <w:sz w:val="32"/>
          <w:szCs w:val="32"/>
          <w:lang w:val="en-US" w:eastAsia="zh-CN" w:bidi="ar"/>
          <w14:textFill>
            <w14:solidFill>
              <w14:schemeClr w14:val="tx1"/>
            </w14:solidFill>
          </w14:textFill>
        </w:rPr>
      </w:pPr>
      <w:r>
        <w:rPr>
          <w:rFonts w:ascii="仿宋_GB2312" w:hAnsi="宋体" w:eastAsia="仿宋_GB2312" w:cs="仿宋_GB2312"/>
          <w:b/>
          <w:color w:val="000000" w:themeColor="text1"/>
          <w:kern w:val="0"/>
          <w:sz w:val="32"/>
          <w:szCs w:val="32"/>
          <w:lang w:bidi="ar"/>
          <w14:textFill>
            <w14:solidFill>
              <w14:schemeClr w14:val="tx1"/>
            </w14:solidFill>
          </w14:textFill>
        </w:rPr>
        <w:t>一般公共服务支出</w:t>
      </w:r>
      <w:r>
        <w:rPr>
          <w:rFonts w:ascii="仿宋_GB2312" w:hAnsi="宋体" w:eastAsia="仿宋_GB2312" w:cs="仿宋_GB2312"/>
          <w:color w:val="000000" w:themeColor="text1"/>
          <w:kern w:val="0"/>
          <w:sz w:val="32"/>
          <w:szCs w:val="32"/>
          <w:lang w:bidi="ar"/>
          <w14:textFill>
            <w14:solidFill>
              <w14:schemeClr w14:val="tx1"/>
            </w14:solidFill>
          </w14:textFill>
        </w:rPr>
        <w:t>年初预算为</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0</w:t>
      </w:r>
      <w:r>
        <w:rPr>
          <w:rFonts w:ascii="仿宋_GB2312" w:hAnsi="宋体" w:eastAsia="仿宋_GB2312" w:cs="仿宋_GB2312"/>
          <w:color w:val="000000" w:themeColor="text1"/>
          <w:kern w:val="0"/>
          <w:sz w:val="32"/>
          <w:szCs w:val="32"/>
          <w:lang w:bidi="ar"/>
          <w14:textFill>
            <w14:solidFill>
              <w14:schemeClr w14:val="tx1"/>
            </w14:solidFill>
          </w14:textFill>
        </w:rPr>
        <w:t>万元，支出决算为</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16.85</w:t>
      </w:r>
      <w:r>
        <w:rPr>
          <w:rFonts w:ascii="仿宋_GB2312" w:hAnsi="宋体" w:eastAsia="仿宋_GB2312" w:cs="仿宋_GB2312"/>
          <w:color w:val="000000" w:themeColor="text1"/>
          <w:kern w:val="0"/>
          <w:sz w:val="32"/>
          <w:szCs w:val="32"/>
          <w:lang w:bidi="ar"/>
          <w14:textFill>
            <w14:solidFill>
              <w14:schemeClr w14:val="tx1"/>
            </w14:solidFill>
          </w14:textFill>
        </w:rPr>
        <w:t>万元，完成年初预算的</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0</w:t>
      </w:r>
      <w:r>
        <w:rPr>
          <w:rFonts w:ascii="仿宋_GB2312" w:hAnsi="宋体" w:eastAsia="仿宋_GB2312" w:cs="仿宋_GB2312"/>
          <w:color w:val="000000" w:themeColor="text1"/>
          <w:kern w:val="0"/>
          <w:sz w:val="32"/>
          <w:szCs w:val="32"/>
          <w:lang w:bidi="ar"/>
          <w14:textFill>
            <w14:solidFill>
              <w14:schemeClr w14:val="tx1"/>
            </w14:solidFill>
          </w14:textFill>
        </w:rPr>
        <w:t>%。决算数</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高于</w:t>
      </w:r>
      <w:r>
        <w:rPr>
          <w:rFonts w:ascii="仿宋_GB2312" w:hAnsi="宋体" w:eastAsia="仿宋_GB2312" w:cs="仿宋_GB2312"/>
          <w:color w:val="000000" w:themeColor="text1"/>
          <w:kern w:val="0"/>
          <w:sz w:val="32"/>
          <w:szCs w:val="32"/>
          <w:lang w:bidi="ar"/>
          <w14:textFill>
            <w14:solidFill>
              <w14:schemeClr w14:val="tx1"/>
            </w14:solidFill>
          </w14:textFill>
        </w:rPr>
        <w:t>预算数</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主要原因是年初未做预算。</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仿宋_GB2312" w:hAnsi="宋体"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文化旅游体育与传媒支出年初预算</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131.95万元，支出决算为1492.79万元，完成年初预算的1131%，决算数高于预算数主要原因为体育项目费用增加。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3.社会保障和就业支出年初预算13.92万元，</w:t>
      </w:r>
      <w:r>
        <w:rPr>
          <w:rFonts w:ascii="仿宋_GB2312" w:hAnsi="宋体" w:eastAsia="仿宋_GB2312" w:cs="仿宋_GB2312"/>
          <w:color w:val="000000" w:themeColor="text1"/>
          <w:kern w:val="0"/>
          <w:sz w:val="32"/>
          <w:szCs w:val="32"/>
          <w:lang w:bidi="ar"/>
          <w14:textFill>
            <w14:solidFill>
              <w14:schemeClr w14:val="tx1"/>
            </w14:solidFill>
          </w14:textFill>
        </w:rPr>
        <w:t>决算数</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为13.09万元，完成年初预算的94%，决算数小于预算数原因是人员变动</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4.卫生健康支出年初预算3.02万元，支出决算为4.97万元，完成年初预算的165%，决算数大于预算数原因是预算追加</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color w:val="000000"/>
          <w:kern w:val="0"/>
          <w:sz w:val="32"/>
          <w:szCs w:val="32"/>
          <w:lang w:bidi="ar"/>
        </w:rPr>
        <w:t>六、一般公共预算财政拨款基本支出决算情况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202</w:t>
      </w:r>
      <w:r>
        <w:rPr>
          <w:rFonts w:hint="eastAsia" w:ascii="仿宋_GB2312" w:hAnsi="仿宋_GB2312" w:eastAsia="仿宋_GB2312" w:cs="仿宋_GB2312"/>
          <w:color w:val="000000"/>
          <w:kern w:val="0"/>
          <w:sz w:val="31"/>
          <w:szCs w:val="31"/>
          <w:lang w:val="en-US" w:eastAsia="zh-CN" w:bidi="ar"/>
        </w:rPr>
        <w:t>1</w:t>
      </w:r>
      <w:r>
        <w:rPr>
          <w:rFonts w:hint="eastAsia" w:ascii="仿宋_GB2312" w:hAnsi="仿宋_GB2312" w:eastAsia="仿宋_GB2312" w:cs="仿宋_GB2312"/>
          <w:color w:val="000000"/>
          <w:kern w:val="0"/>
          <w:sz w:val="31"/>
          <w:szCs w:val="31"/>
          <w:lang w:eastAsia="zh-CN" w:bidi="ar"/>
        </w:rPr>
        <w:t>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125.24</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108.97</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16.27</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Cs w:val="32"/>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color w:val="000000"/>
          <w:kern w:val="0"/>
          <w:sz w:val="32"/>
          <w:szCs w:val="32"/>
          <w:lang w:val="en-US" w:eastAsia="zh-CN" w:bidi="ar"/>
        </w:rPr>
        <w:t>108.97</w:t>
      </w:r>
      <w:r>
        <w:rPr>
          <w:rFonts w:ascii="仿宋_GB2312" w:hAnsi="宋体" w:eastAsia="仿宋_GB2312" w:cs="仿宋_GB2312"/>
          <w:color w:val="000000"/>
          <w:kern w:val="0"/>
          <w:sz w:val="32"/>
          <w:szCs w:val="32"/>
          <w:lang w:bidi="ar"/>
        </w:rPr>
        <w:t>万元，主要包括</w:t>
      </w:r>
      <w:r>
        <w:rPr>
          <w:rFonts w:ascii="仿宋_GB2312" w:hAnsi="宋体" w:eastAsia="仿宋_GB2312" w:cs="仿宋_GB2312"/>
          <w:color w:val="000000"/>
          <w:kern w:val="0"/>
          <w:szCs w:val="32"/>
        </w:rPr>
        <w:t>基本工资</w:t>
      </w:r>
      <w:r>
        <w:rPr>
          <w:rFonts w:hint="eastAsia" w:ascii="仿宋_GB2312" w:hAnsi="宋体" w:eastAsia="仿宋_GB2312" w:cs="仿宋_GB2312"/>
          <w:color w:val="000000"/>
          <w:kern w:val="0"/>
          <w:szCs w:val="32"/>
          <w:lang w:val="en-US" w:eastAsia="zh-CN"/>
        </w:rPr>
        <w:t>30.75</w:t>
      </w:r>
      <w:r>
        <w:rPr>
          <w:rFonts w:hint="eastAsia" w:ascii="仿宋_GB2312" w:hAnsi="宋体" w:eastAsia="仿宋_GB2312" w:cs="仿宋_GB2312"/>
          <w:color w:val="000000"/>
          <w:kern w:val="0"/>
          <w:szCs w:val="32"/>
        </w:rPr>
        <w:t>万元，津补贴</w:t>
      </w:r>
      <w:r>
        <w:rPr>
          <w:rFonts w:hint="eastAsia" w:ascii="仿宋_GB2312" w:hAnsi="宋体" w:eastAsia="仿宋_GB2312" w:cs="仿宋_GB2312"/>
          <w:color w:val="000000"/>
          <w:kern w:val="0"/>
          <w:szCs w:val="32"/>
          <w:lang w:val="en-US" w:eastAsia="zh-CN"/>
        </w:rPr>
        <w:t>21.45</w:t>
      </w:r>
      <w:r>
        <w:rPr>
          <w:rFonts w:hint="eastAsia" w:ascii="仿宋_GB2312" w:hAnsi="宋体" w:eastAsia="仿宋_GB2312" w:cs="仿宋_GB2312"/>
          <w:color w:val="000000"/>
          <w:kern w:val="0"/>
          <w:szCs w:val="32"/>
        </w:rPr>
        <w:t>万元，奖金</w:t>
      </w:r>
      <w:r>
        <w:rPr>
          <w:rFonts w:hint="eastAsia" w:ascii="仿宋_GB2312" w:hAnsi="宋体" w:eastAsia="仿宋_GB2312" w:cs="仿宋_GB2312"/>
          <w:color w:val="000000"/>
          <w:kern w:val="0"/>
          <w:szCs w:val="32"/>
          <w:lang w:val="en-US" w:eastAsia="zh-CN"/>
        </w:rPr>
        <w:t>20.84</w:t>
      </w:r>
      <w:r>
        <w:rPr>
          <w:rFonts w:hint="eastAsia" w:ascii="仿宋_GB2312" w:hAnsi="宋体" w:eastAsia="仿宋_GB2312" w:cs="仿宋_GB2312"/>
          <w:color w:val="000000"/>
          <w:kern w:val="0"/>
          <w:szCs w:val="32"/>
        </w:rPr>
        <w:t>万元，机关养老保险</w:t>
      </w:r>
      <w:r>
        <w:rPr>
          <w:rFonts w:hint="eastAsia" w:ascii="仿宋_GB2312" w:hAnsi="宋体" w:eastAsia="仿宋_GB2312" w:cs="仿宋_GB2312"/>
          <w:color w:val="000000"/>
          <w:kern w:val="0"/>
          <w:szCs w:val="32"/>
          <w:lang w:val="en-US" w:eastAsia="zh-CN"/>
        </w:rPr>
        <w:t>13.09</w:t>
      </w:r>
      <w:r>
        <w:rPr>
          <w:rFonts w:hint="eastAsia" w:ascii="仿宋_GB2312" w:hAnsi="宋体" w:eastAsia="仿宋_GB2312" w:cs="仿宋_GB2312"/>
          <w:color w:val="000000"/>
          <w:kern w:val="0"/>
          <w:szCs w:val="32"/>
        </w:rPr>
        <w:t>万元，职业年金</w:t>
      </w:r>
      <w:r>
        <w:rPr>
          <w:rFonts w:hint="eastAsia" w:ascii="仿宋_GB2312" w:hAnsi="宋体" w:eastAsia="仿宋_GB2312" w:cs="仿宋_GB2312"/>
          <w:color w:val="000000"/>
          <w:kern w:val="0"/>
          <w:szCs w:val="32"/>
          <w:lang w:val="en-US" w:eastAsia="zh-CN"/>
        </w:rPr>
        <w:t>2.18</w:t>
      </w:r>
      <w:r>
        <w:rPr>
          <w:rFonts w:hint="eastAsia" w:ascii="仿宋_GB2312" w:hAnsi="宋体" w:eastAsia="仿宋_GB2312" w:cs="仿宋_GB2312"/>
          <w:color w:val="000000"/>
          <w:kern w:val="0"/>
          <w:szCs w:val="32"/>
        </w:rPr>
        <w:t>万元，职工医疗保险</w:t>
      </w:r>
      <w:r>
        <w:rPr>
          <w:rFonts w:hint="eastAsia" w:ascii="仿宋_GB2312" w:hAnsi="宋体" w:eastAsia="仿宋_GB2312" w:cs="仿宋_GB2312"/>
          <w:color w:val="000000"/>
          <w:kern w:val="0"/>
          <w:szCs w:val="32"/>
          <w:lang w:val="en-US" w:eastAsia="zh-CN"/>
        </w:rPr>
        <w:t>4.97</w:t>
      </w:r>
      <w:r>
        <w:rPr>
          <w:rFonts w:hint="eastAsia" w:ascii="仿宋_GB2312" w:hAnsi="宋体" w:eastAsia="仿宋_GB2312" w:cs="仿宋_GB2312"/>
          <w:color w:val="000000"/>
          <w:kern w:val="0"/>
          <w:szCs w:val="32"/>
        </w:rPr>
        <w:t>万元，住房公积金</w:t>
      </w:r>
      <w:r>
        <w:rPr>
          <w:rFonts w:hint="eastAsia" w:ascii="仿宋_GB2312" w:hAnsi="宋体" w:eastAsia="仿宋_GB2312" w:cs="仿宋_GB2312"/>
          <w:color w:val="000000"/>
          <w:kern w:val="0"/>
          <w:szCs w:val="32"/>
          <w:lang w:val="en-US" w:eastAsia="zh-CN"/>
        </w:rPr>
        <w:t>15.69</w:t>
      </w:r>
      <w:r>
        <w:rPr>
          <w:rFonts w:hint="eastAsia" w:ascii="仿宋_GB2312" w:hAnsi="宋体" w:eastAsia="仿宋_GB2312" w:cs="仿宋_GB2312"/>
          <w:color w:val="000000"/>
          <w:kern w:val="0"/>
          <w:szCs w:val="32"/>
        </w:rPr>
        <w:t>万元。</w:t>
      </w:r>
    </w:p>
    <w:p>
      <w:pPr>
        <w:widowControl/>
        <w:spacing w:line="560" w:lineRule="exact"/>
        <w:ind w:firstLine="643" w:firstLineChars="200"/>
        <w:jc w:val="left"/>
        <w:rPr>
          <w:rFonts w:hint="default" w:eastAsia="仿宋_GB2312"/>
          <w:lang w:val="en-US" w:eastAsia="zh-CN"/>
        </w:rPr>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16.27</w:t>
      </w:r>
      <w:r>
        <w:rPr>
          <w:rFonts w:ascii="仿宋_GB2312" w:hAnsi="宋体" w:eastAsia="仿宋_GB2312" w:cs="仿宋_GB2312"/>
          <w:color w:val="000000"/>
          <w:kern w:val="0"/>
          <w:sz w:val="32"/>
          <w:szCs w:val="32"/>
          <w:lang w:bidi="ar"/>
        </w:rPr>
        <w:t>万元，主要包括</w:t>
      </w:r>
      <w:r>
        <w:rPr>
          <w:rFonts w:ascii="仿宋_GB2312" w:hAnsi="宋体" w:eastAsia="仿宋_GB2312" w:cs="仿宋_GB2312"/>
          <w:color w:val="000000"/>
          <w:kern w:val="0"/>
          <w:szCs w:val="32"/>
        </w:rPr>
        <w:t>办公费</w:t>
      </w:r>
      <w:r>
        <w:rPr>
          <w:rFonts w:hint="eastAsia" w:ascii="仿宋_GB2312" w:hAnsi="宋体" w:eastAsia="仿宋_GB2312" w:cs="仿宋_GB2312"/>
          <w:color w:val="000000"/>
          <w:kern w:val="0"/>
          <w:szCs w:val="32"/>
          <w:lang w:val="en-US" w:eastAsia="zh-CN"/>
        </w:rPr>
        <w:t>1</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水费</w:t>
      </w:r>
      <w:r>
        <w:rPr>
          <w:rFonts w:hint="eastAsia" w:ascii="仿宋_GB2312" w:hAnsi="宋体" w:eastAsia="仿宋_GB2312" w:cs="仿宋_GB2312"/>
          <w:color w:val="000000"/>
          <w:kern w:val="0"/>
          <w:szCs w:val="32"/>
          <w:lang w:val="en-US" w:eastAsia="zh-CN"/>
        </w:rPr>
        <w:t>0.47</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val="en-US" w:eastAsia="zh-CN"/>
        </w:rPr>
        <w:t>电</w:t>
      </w:r>
      <w:r>
        <w:rPr>
          <w:rFonts w:hint="eastAsia" w:ascii="仿宋_GB2312" w:hAnsi="宋体" w:eastAsia="仿宋_GB2312" w:cs="仿宋_GB2312"/>
          <w:color w:val="000000"/>
          <w:kern w:val="0"/>
          <w:szCs w:val="32"/>
        </w:rPr>
        <w:t>费</w:t>
      </w:r>
      <w:r>
        <w:rPr>
          <w:rFonts w:hint="eastAsia" w:ascii="仿宋_GB2312" w:hAnsi="宋体" w:eastAsia="仿宋_GB2312" w:cs="仿宋_GB2312"/>
          <w:color w:val="000000"/>
          <w:kern w:val="0"/>
          <w:szCs w:val="32"/>
          <w:lang w:val="en-US" w:eastAsia="zh-CN"/>
        </w:rPr>
        <w:t>3</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val="en-US" w:eastAsia="zh-CN"/>
        </w:rPr>
        <w:t>差旅费2</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val="en-US" w:eastAsia="zh-CN"/>
        </w:rPr>
        <w:t>会议费0.41</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val="en-US" w:eastAsia="zh-CN"/>
        </w:rPr>
        <w:t>培训费0.39</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val="en-US" w:eastAsia="zh-CN"/>
        </w:rPr>
        <w:t>公务接待费0.17万元，</w:t>
      </w:r>
      <w:r>
        <w:rPr>
          <w:rFonts w:hint="eastAsia" w:ascii="仿宋_GB2312" w:hAnsi="宋体" w:eastAsia="仿宋_GB2312" w:cs="仿宋_GB2312"/>
          <w:color w:val="000000"/>
          <w:kern w:val="0"/>
          <w:szCs w:val="32"/>
        </w:rPr>
        <w:t>公务用车运行经费</w:t>
      </w:r>
      <w:r>
        <w:rPr>
          <w:rFonts w:hint="eastAsia" w:ascii="仿宋_GB2312" w:hAnsi="宋体" w:eastAsia="仿宋_GB2312" w:cs="仿宋_GB2312"/>
          <w:color w:val="000000"/>
          <w:kern w:val="0"/>
          <w:szCs w:val="32"/>
          <w:lang w:val="en-US" w:eastAsia="zh-CN"/>
        </w:rPr>
        <w:t>1.92</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，其他</w:t>
      </w:r>
      <w:r>
        <w:rPr>
          <w:rFonts w:hint="eastAsia" w:ascii="仿宋_GB2312" w:hAnsi="宋体" w:eastAsia="仿宋_GB2312" w:cs="仿宋_GB2312"/>
          <w:color w:val="000000"/>
          <w:kern w:val="0"/>
          <w:szCs w:val="32"/>
          <w:lang w:val="en-US" w:eastAsia="zh-CN"/>
        </w:rPr>
        <w:t>交通费用6.91万元。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七、一般公共预算财政拨款“三公”经费及会议费、培训费支出决算情况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eastAsia="zh-CN"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2.96</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2.09</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71</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val="en-US" w:eastAsia="zh-CN" w:bidi="ar"/>
        </w:rPr>
        <w:t>减少</w:t>
      </w:r>
      <w:r>
        <w:rPr>
          <w:rFonts w:hint="eastAsia" w:ascii="仿宋_GB2312" w:hAnsi="宋体" w:eastAsia="仿宋_GB2312" w:cs="仿宋_GB2312"/>
          <w:color w:val="000000"/>
          <w:kern w:val="0"/>
          <w:sz w:val="32"/>
          <w:szCs w:val="32"/>
          <w:lang w:eastAsia="zh-CN" w:bidi="ar"/>
        </w:rPr>
        <w:t>了</w:t>
      </w:r>
      <w:r>
        <w:rPr>
          <w:rFonts w:hint="eastAsia" w:ascii="仿宋_GB2312" w:hAnsi="宋体" w:eastAsia="仿宋_GB2312" w:cs="仿宋_GB2312"/>
          <w:color w:val="000000"/>
          <w:kern w:val="0"/>
          <w:sz w:val="32"/>
          <w:szCs w:val="32"/>
          <w:lang w:val="en-US" w:eastAsia="zh-CN" w:bidi="ar"/>
        </w:rPr>
        <w:t>0.87</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压缩经费</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eastAsia="zh-CN" w:bidi="ar"/>
        </w:rPr>
        <w:drawing>
          <wp:inline distT="0" distB="0" distL="114300" distR="114300">
            <wp:extent cx="5080000" cy="2644775"/>
            <wp:effectExtent l="4445" t="4445" r="20955" b="177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eastAsia="zh-CN"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1.92</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92</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0.17</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8</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年度</w:t>
      </w:r>
      <w:r>
        <w:rPr>
          <w:rFonts w:hint="eastAsia" w:ascii="仿宋_GB2312" w:hAnsi="仿宋" w:eastAsia="仿宋_GB2312"/>
          <w:sz w:val="32"/>
          <w:szCs w:val="32"/>
        </w:rPr>
        <w:t>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无出国出境人员</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年度</w:t>
      </w:r>
      <w:r>
        <w:rPr>
          <w:rFonts w:hint="eastAsia" w:ascii="仿宋_GB2312" w:hAnsi="仿宋" w:eastAsia="仿宋_GB2312"/>
          <w:sz w:val="32"/>
          <w:szCs w:val="32"/>
        </w:rPr>
        <w:t>购置车辆</w:t>
      </w:r>
      <w:r>
        <w:rPr>
          <w:rFonts w:hint="eastAsia" w:ascii="仿宋_GB2312" w:hAnsi="仿宋" w:eastAsia="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无购置车辆</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年度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2.55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1.92</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76</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0.63</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val="en-US" w:eastAsia="zh-CN" w:bidi="ar"/>
        </w:rPr>
        <w:t>,主要原因是用车量减少。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lang w:val="en-US" w:eastAsia="zh-CN"/>
        </w:rPr>
        <w:t>4.</w:t>
      </w: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年初</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0.41</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0.17</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41</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0.24</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接待次数减少</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年度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0.39</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0.39</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年初无预算培训费</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年度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0.41</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0.41</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年初无预算会议费</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八、政府性基金预算财政拨款收入支出情况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w:t>
      </w:r>
      <w:r>
        <w:rPr>
          <w:rFonts w:hint="eastAsia" w:ascii="仿宋_GB2312" w:hAnsi="仿宋_GB2312" w:eastAsia="仿宋_GB2312" w:cs="仿宋_GB2312"/>
          <w:sz w:val="32"/>
          <w:szCs w:val="32"/>
          <w:lang w:eastAsia="zh-CN"/>
        </w:rPr>
        <w:t>政府性基金预算财政拨款收入为</w:t>
      </w:r>
      <w:r>
        <w:rPr>
          <w:rFonts w:hint="eastAsia" w:ascii="仿宋_GB2312" w:hAnsi="仿宋_GB2312" w:eastAsia="仿宋_GB2312" w:cs="仿宋_GB2312"/>
          <w:sz w:val="32"/>
          <w:szCs w:val="32"/>
          <w:lang w:val="en-US" w:eastAsia="zh-CN"/>
        </w:rPr>
        <w:t>112.92万元，支出决算为112.92万元，主要用于体彩公益金项目。</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九、国有资本经营财政拨款收</w:t>
      </w:r>
      <w:r>
        <w:rPr>
          <w:rFonts w:hint="eastAsia" w:asciiTheme="minorEastAsia" w:hAnsiTheme="minorEastAsia" w:eastAsiaTheme="minorEastAsia" w:cstheme="minorEastAsia"/>
          <w:b/>
          <w:bCs/>
          <w:color w:val="000000"/>
          <w:kern w:val="0"/>
          <w:sz w:val="32"/>
          <w:szCs w:val="32"/>
          <w:lang w:eastAsia="zh-CN" w:bidi="ar"/>
        </w:rPr>
        <w:t>入</w:t>
      </w:r>
      <w:r>
        <w:rPr>
          <w:rFonts w:hint="eastAsia" w:asciiTheme="minorEastAsia" w:hAnsiTheme="minorEastAsia" w:eastAsiaTheme="minorEastAsia" w:cstheme="minorEastAsia"/>
          <w:b/>
          <w:bCs/>
          <w:color w:val="000000"/>
          <w:kern w:val="0"/>
          <w:sz w:val="32"/>
          <w:szCs w:val="32"/>
          <w:lang w:bidi="ar"/>
        </w:rPr>
        <w:t>支</w:t>
      </w:r>
      <w:r>
        <w:rPr>
          <w:rFonts w:hint="eastAsia" w:asciiTheme="minorEastAsia" w:hAnsiTheme="minorEastAsia" w:eastAsiaTheme="minorEastAsia" w:cstheme="minorEastAsia"/>
          <w:b/>
          <w:bCs/>
          <w:color w:val="000000"/>
          <w:kern w:val="0"/>
          <w:sz w:val="32"/>
          <w:szCs w:val="32"/>
          <w:lang w:eastAsia="zh-CN" w:bidi="ar"/>
        </w:rPr>
        <w:t>出</w:t>
      </w:r>
      <w:r>
        <w:rPr>
          <w:rFonts w:hint="eastAsia" w:asciiTheme="minorEastAsia" w:hAnsiTheme="minorEastAsia" w:eastAsiaTheme="minorEastAsia" w:cstheme="minorEastAsia"/>
          <w:b/>
          <w:bCs/>
          <w:color w:val="000000"/>
          <w:kern w:val="0"/>
          <w:sz w:val="32"/>
          <w:szCs w:val="32"/>
          <w:lang w:bidi="ar"/>
        </w:rPr>
        <w:t>情况</w:t>
      </w:r>
      <w:r>
        <w:rPr>
          <w:rFonts w:hint="eastAsia" w:asciiTheme="minorEastAsia" w:hAnsiTheme="minorEastAsia" w:eastAsiaTheme="minorEastAsia" w:cstheme="minorEastAsia"/>
          <w:b/>
          <w:bCs/>
          <w:color w:val="000000"/>
          <w:kern w:val="0"/>
          <w:sz w:val="32"/>
          <w:szCs w:val="32"/>
          <w:lang w:eastAsia="zh-CN" w:bidi="ar"/>
        </w:rPr>
        <w:t>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本部门无国有资本经营决算拨款收支</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themeColor="text1"/>
          <w:kern w:val="0"/>
          <w:sz w:val="32"/>
          <w:szCs w:val="32"/>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32"/>
          <w:szCs w:val="32"/>
          <w:lang w:bidi="ar"/>
          <w14:textFill>
            <w14:solidFill>
              <w14:schemeClr w14:val="tx1"/>
            </w14:solidFill>
          </w14:textFill>
        </w:rPr>
        <w:t>十、</w:t>
      </w:r>
      <w:r>
        <w:rPr>
          <w:rFonts w:hint="eastAsia" w:asciiTheme="minorEastAsia" w:hAnsiTheme="minorEastAsia" w:eastAsiaTheme="minorEastAsia" w:cstheme="minorEastAsia"/>
          <w:b/>
          <w:bCs/>
          <w:color w:val="000000" w:themeColor="text1"/>
          <w:kern w:val="0"/>
          <w:sz w:val="32"/>
          <w:szCs w:val="32"/>
          <w:lang w:eastAsia="zh-CN" w:bidi="ar"/>
          <w14:textFill>
            <w14:solidFill>
              <w14:schemeClr w14:val="tx1"/>
            </w14:solidFill>
          </w14:textFill>
        </w:rPr>
        <w:t>机关运行经费支出</w:t>
      </w:r>
      <w:r>
        <w:rPr>
          <w:rFonts w:hint="eastAsia" w:asciiTheme="minorEastAsia" w:hAnsiTheme="minorEastAsia" w:eastAsiaTheme="minorEastAsia" w:cstheme="minorEastAsia"/>
          <w:b/>
          <w:bCs/>
          <w:color w:val="000000" w:themeColor="text1"/>
          <w:kern w:val="0"/>
          <w:sz w:val="32"/>
          <w:szCs w:val="32"/>
          <w:lang w:bidi="ar"/>
          <w14:textFill>
            <w14:solidFill>
              <w14:schemeClr w14:val="tx1"/>
            </w14:solidFill>
          </w14:textFill>
        </w:rPr>
        <w:t>情况</w:t>
      </w:r>
      <w:r>
        <w:rPr>
          <w:rFonts w:hint="eastAsia" w:asciiTheme="minorEastAsia" w:hAnsiTheme="minorEastAsia" w:eastAsiaTheme="minorEastAsia" w:cstheme="minorEastAsia"/>
          <w:b/>
          <w:bCs/>
          <w:color w:val="000000" w:themeColor="text1"/>
          <w:kern w:val="0"/>
          <w:sz w:val="32"/>
          <w:szCs w:val="32"/>
          <w:lang w:eastAsia="zh-CN" w:bidi="ar"/>
          <w14:textFill>
            <w14:solidFill>
              <w14:schemeClr w14:val="tx1"/>
            </w14:solidFill>
          </w14:textFill>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kern w:val="0"/>
          <w:sz w:val="31"/>
          <w:szCs w:val="31"/>
          <w:lang w:bidi="ar"/>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年机关运行经费预算为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0万元，支出决算为0万元，</w:t>
      </w:r>
      <w:r>
        <w:rPr>
          <w:rFonts w:ascii="仿宋_GB2312" w:hAnsi="宋体" w:eastAsia="仿宋_GB2312" w:cs="仿宋_GB2312"/>
          <w:color w:val="000000" w:themeColor="text1"/>
          <w:kern w:val="0"/>
          <w:sz w:val="32"/>
          <w:szCs w:val="32"/>
          <w:lang w:bidi="ar"/>
          <w14:textFill>
            <w14:solidFill>
              <w14:schemeClr w14:val="tx1"/>
            </w14:solidFill>
          </w14:textFill>
        </w:rPr>
        <w:t>完成预算的</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0</w:t>
      </w:r>
      <w:r>
        <w:rPr>
          <w:rFonts w:ascii="仿宋_GB2312" w:hAnsi="宋体" w:eastAsia="仿宋_GB2312" w:cs="仿宋_GB2312"/>
          <w:color w:val="000000" w:themeColor="text1"/>
          <w:kern w:val="0"/>
          <w:sz w:val="32"/>
          <w:szCs w:val="32"/>
          <w:lang w:bidi="ar"/>
          <w14:textFill>
            <w14:solidFill>
              <w14:schemeClr w14:val="tx1"/>
            </w14:solidFill>
          </w14:textFill>
        </w:rPr>
        <w:t>%</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w:t>
      </w:r>
      <w:r>
        <w:rPr>
          <w:rFonts w:ascii="仿宋_GB2312" w:hAnsi="宋体" w:eastAsia="仿宋_GB2312" w:cs="仿宋_GB2312"/>
          <w:color w:val="000000" w:themeColor="text1"/>
          <w:kern w:val="0"/>
          <w:sz w:val="32"/>
          <w:szCs w:val="32"/>
          <w:lang w:bidi="ar"/>
          <w14:textFill>
            <w14:solidFill>
              <w14:schemeClr w14:val="tx1"/>
            </w14:solidFill>
          </w14:textFill>
        </w:rPr>
        <w:t>决算数</w:t>
      </w:r>
      <w:r>
        <w:rPr>
          <w:rFonts w:hint="eastAsia" w:ascii="仿宋_GB2312" w:hAnsi="宋体" w:eastAsia="仿宋_GB2312" w:cs="仿宋_GB2312"/>
          <w:color w:val="000000" w:themeColor="text1"/>
          <w:kern w:val="0"/>
          <w:sz w:val="32"/>
          <w:szCs w:val="32"/>
          <w:lang w:bidi="ar"/>
          <w14:textFill>
            <w14:solidFill>
              <w14:schemeClr w14:val="tx1"/>
            </w14:solidFill>
          </w14:textFill>
        </w:rPr>
        <w:t>较</w:t>
      </w:r>
      <w:r>
        <w:rPr>
          <w:rFonts w:ascii="仿宋_GB2312" w:hAnsi="宋体" w:eastAsia="仿宋_GB2312" w:cs="仿宋_GB2312"/>
          <w:color w:val="000000" w:themeColor="text1"/>
          <w:kern w:val="0"/>
          <w:sz w:val="32"/>
          <w:szCs w:val="32"/>
          <w:lang w:bidi="ar"/>
          <w14:textFill>
            <w14:solidFill>
              <w14:schemeClr w14:val="tx1"/>
            </w14:solidFill>
          </w14:textFill>
        </w:rPr>
        <w:t>预算数</w:t>
      </w:r>
      <w:r>
        <w:rPr>
          <w:rFonts w:hint="eastAsia" w:ascii="仿宋_GB2312" w:hAnsi="宋体" w:eastAsia="仿宋_GB2312" w:cs="仿宋_GB2312"/>
          <w:color w:val="000000" w:themeColor="text1"/>
          <w:kern w:val="0"/>
          <w:sz w:val="32"/>
          <w:szCs w:val="32"/>
          <w:lang w:bidi="ar"/>
          <w14:textFill>
            <w14:solidFill>
              <w14:schemeClr w14:val="tx1"/>
            </w14:solidFill>
          </w14:textFill>
        </w:rPr>
        <w:t>减少（增加）</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0</w:t>
      </w:r>
      <w:r>
        <w:rPr>
          <w:rFonts w:hint="eastAsia" w:ascii="仿宋_GB2312" w:hAnsi="宋体" w:eastAsia="仿宋_GB2312" w:cs="仿宋_GB2312"/>
          <w:color w:val="000000" w:themeColor="text1"/>
          <w:kern w:val="0"/>
          <w:sz w:val="32"/>
          <w:szCs w:val="32"/>
          <w:lang w:bidi="ar"/>
          <w14:textFill>
            <w14:solidFill>
              <w14:schemeClr w14:val="tx1"/>
            </w14:solidFill>
          </w14:textFill>
        </w:rPr>
        <w:t>万元，</w:t>
      </w:r>
      <w:r>
        <w:rPr>
          <w:rFonts w:ascii="仿宋_GB2312" w:hAnsi="宋体" w:eastAsia="仿宋_GB2312" w:cs="仿宋_GB2312"/>
          <w:color w:val="000000" w:themeColor="text1"/>
          <w:kern w:val="0"/>
          <w:sz w:val="32"/>
          <w:szCs w:val="32"/>
          <w:lang w:bidi="ar"/>
          <w14:textFill>
            <w14:solidFill>
              <w14:schemeClr w14:val="tx1"/>
            </w14:solidFill>
          </w14:textFill>
        </w:rPr>
        <w:t>主要原因是</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无机关运行经费</w:t>
      </w:r>
      <w:r>
        <w:rPr>
          <w:rFonts w:hint="eastAsia" w:ascii="仿宋_GB2312" w:hAnsi="宋体" w:eastAsia="仿宋_GB2312" w:cs="仿宋_GB2312"/>
          <w:color w:val="000000" w:themeColor="text1"/>
          <w:kern w:val="0"/>
          <w:sz w:val="32"/>
          <w:szCs w:val="32"/>
          <w:lang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一</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政府采购支出</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w:t>
      </w:r>
      <w:r>
        <w:rPr>
          <w:rFonts w:hint="eastAsia" w:ascii="仿宋_GB2312" w:hAnsi="仿宋_GB2312" w:eastAsia="仿宋_GB2312" w:cs="仿宋_GB2312"/>
          <w:sz w:val="32"/>
          <w:szCs w:val="32"/>
          <w:lang w:eastAsia="zh-CN"/>
        </w:rPr>
        <w:t>政府采购支出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二</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国有资产占用及购置</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截</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至</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年末，本部门机关及所属单位实有车辆1辆，其中副部（省）级以上领导用车0辆，主要领导干部用车0辆，机要通信用车0辆，应急保障用车0辆，执法执勤用车1辆，特种专业技术用车0辆，离退休干部用车0辆，其他用车0辆。单价</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万元以上的通用设备0台（套）；单价</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100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万元以上的专用设备0台（</w:t>
      </w:r>
      <w:r>
        <w:rPr>
          <w:rFonts w:hint="eastAsia" w:ascii="仿宋_GB2312" w:hAnsi="仿宋_GB2312" w:eastAsia="仿宋_GB2312" w:cs="仿宋_GB2312"/>
          <w:sz w:val="32"/>
          <w:szCs w:val="32"/>
          <w:highlight w:val="none"/>
          <w:lang w:val="en-US" w:eastAsia="zh-CN"/>
        </w:rPr>
        <w:t>套）。</w:t>
      </w:r>
      <w:r>
        <w:rPr>
          <w:rFonts w:hint="default" w:ascii="仿宋_GB2312" w:hAnsi="仿宋_GB2312" w:eastAsia="仿宋_GB2312" w:cs="仿宋_GB2312"/>
          <w:sz w:val="32"/>
          <w:szCs w:val="32"/>
          <w:highlight w:val="none"/>
          <w:lang w:val="en-US" w:eastAsia="zh-CN"/>
        </w:rPr>
        <w:t>2020</w:t>
      </w:r>
      <w:r>
        <w:rPr>
          <w:rFonts w:hint="eastAsia" w:ascii="仿宋_GB2312" w:hAnsi="仿宋_GB2312" w:eastAsia="仿宋_GB2312" w:cs="仿宋_GB2312"/>
          <w:sz w:val="32"/>
          <w:szCs w:val="32"/>
          <w:highlight w:val="none"/>
          <w:lang w:val="en-US" w:eastAsia="zh-CN"/>
        </w:rPr>
        <w:t xml:space="preserve">年当年购置车辆0辆；购置单价 </w:t>
      </w:r>
      <w:r>
        <w:rPr>
          <w:rFonts w:hint="default"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lang w:val="en-US" w:eastAsia="zh-CN"/>
        </w:rPr>
        <w:t xml:space="preserve">万元 以上的通用设备0台（套）；购置单价 </w:t>
      </w:r>
      <w:r>
        <w:rPr>
          <w:rFonts w:hint="default"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en-US" w:eastAsia="zh-CN"/>
        </w:rPr>
        <w:t>万元以上的专用设备0台（套）。（</w:t>
      </w:r>
      <w:r>
        <w:rPr>
          <w:rFonts w:hint="eastAsia" w:ascii="仿宋_GB2312" w:hAnsi="仿宋_GB2312" w:eastAsia="仿宋_GB2312" w:cs="仿宋_GB2312"/>
          <w:sz w:val="32"/>
          <w:szCs w:val="32"/>
          <w:highlight w:val="none"/>
        </w:rPr>
        <w:t>如没有填0</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三</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预算绩效</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lang w:val="en-US" w:eastAsia="zh-CN"/>
        </w:rPr>
        <w:t>竞赛</w:t>
      </w:r>
      <w:r>
        <w:rPr>
          <w:rFonts w:hint="eastAsia" w:ascii="仿宋_GB2312" w:hAnsi="仿宋_GB2312" w:eastAsia="仿宋_GB2312" w:cs="仿宋_GB2312"/>
          <w:sz w:val="32"/>
          <w:szCs w:val="32"/>
          <w:lang w:eastAsia="zh-CN"/>
        </w:rPr>
        <w:t>项目</w:t>
      </w:r>
      <w:r>
        <w:rPr>
          <w:rFonts w:ascii="仿宋_GB2312" w:hAnsi="仿宋_GB2312" w:eastAsia="仿宋_GB2312" w:cs="仿宋_GB2312"/>
          <w:sz w:val="32"/>
          <w:szCs w:val="32"/>
        </w:rPr>
        <w:t>，共涉及资金</w:t>
      </w:r>
      <w:r>
        <w:rPr>
          <w:rFonts w:hint="eastAsia" w:ascii="仿宋_GB2312" w:hAnsi="仿宋_GB2312" w:eastAsia="仿宋_GB2312" w:cs="仿宋_GB2312"/>
          <w:sz w:val="32"/>
          <w:szCs w:val="32"/>
          <w:lang w:val="en-US" w:eastAsia="zh-CN"/>
        </w:rPr>
        <w:t>523.89</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37</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kern w:val="0"/>
          <w:sz w:val="31"/>
          <w:szCs w:val="31"/>
          <w:lang w:bidi="ar"/>
        </w:rPr>
        <w:t>组织对20</w:t>
      </w:r>
      <w:r>
        <w:rPr>
          <w:rFonts w:hint="eastAsia" w:ascii="仿宋_GB2312" w:hAnsi="仿宋_GB2312" w:eastAsia="仿宋_GB2312" w:cs="仿宋_GB2312"/>
          <w:color w:val="000000"/>
          <w:kern w:val="0"/>
          <w:sz w:val="31"/>
          <w:szCs w:val="31"/>
          <w:lang w:val="en-US" w:eastAsia="zh-CN" w:bidi="ar"/>
        </w:rPr>
        <w:t>21</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涉及项目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kern w:val="0"/>
          <w:sz w:val="31"/>
          <w:szCs w:val="31"/>
          <w:lang w:eastAsia="zh-CN" w:bidi="ar"/>
        </w:rPr>
        <w:t>个，</w:t>
      </w:r>
      <w:r>
        <w:rPr>
          <w:rFonts w:ascii="仿宋_GB2312" w:hAnsi="仿宋_GB2312" w:eastAsia="仿宋_GB2312" w:cs="仿宋_GB2312"/>
          <w:color w:val="000000"/>
          <w:kern w:val="0"/>
          <w:sz w:val="31"/>
          <w:szCs w:val="31"/>
          <w:lang w:bidi="ar"/>
        </w:rPr>
        <w:t>共涉及资金</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万元，占政府性基金预算项目支出总额的</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部门整体进行了绩效自评，涉及资金</w:t>
      </w:r>
      <w:r>
        <w:rPr>
          <w:rFonts w:hint="eastAsia" w:ascii="仿宋_GB2312" w:hAnsi="宋体" w:eastAsia="仿宋_GB2312" w:cs="仿宋_GB2312"/>
          <w:color w:val="000000"/>
          <w:kern w:val="0"/>
          <w:sz w:val="32"/>
          <w:szCs w:val="32"/>
          <w:lang w:val="en-US" w:eastAsia="zh-CN" w:bidi="ar"/>
        </w:rPr>
        <w:t>1515.38</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highlight w:val="none"/>
          <w:lang w:bidi="ar"/>
        </w:rPr>
      </w:pPr>
      <w:r>
        <w:rPr>
          <w:rFonts w:hint="eastAsia" w:ascii="仿宋_GB2312" w:hAnsi="仿宋_GB2312" w:eastAsia="仿宋_GB2312" w:cs="仿宋_GB2312"/>
          <w:color w:val="000000"/>
          <w:kern w:val="0"/>
          <w:sz w:val="31"/>
          <w:szCs w:val="31"/>
          <w:lang w:eastAsia="zh-CN" w:bidi="ar"/>
        </w:rPr>
        <w:t>体育建设</w:t>
      </w:r>
      <w:r>
        <w:rPr>
          <w:rFonts w:ascii="仿宋_GB2312" w:hAnsi="仿宋_GB2312" w:eastAsia="仿宋_GB2312" w:cs="仿宋_GB2312"/>
          <w:color w:val="000000"/>
          <w:kern w:val="0"/>
          <w:sz w:val="31"/>
          <w:szCs w:val="31"/>
          <w:lang w:bidi="ar"/>
        </w:rPr>
        <w:t>项目绩效自评综述：根据年初设定的绩效目标，</w:t>
      </w:r>
      <w:r>
        <w:rPr>
          <w:rFonts w:hint="eastAsia" w:ascii="仿宋_GB2312" w:hAnsi="仿宋_GB2312" w:eastAsia="仿宋_GB2312" w:cs="仿宋_GB2312"/>
          <w:color w:val="000000"/>
          <w:kern w:val="0"/>
          <w:sz w:val="31"/>
          <w:szCs w:val="31"/>
          <w:lang w:eastAsia="zh-CN" w:bidi="ar"/>
        </w:rPr>
        <w:t>本部门整体</w:t>
      </w:r>
      <w:r>
        <w:rPr>
          <w:rFonts w:hint="eastAsia"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lang w:bidi="ar"/>
        </w:rPr>
        <w:t>或部门机关</w:t>
      </w:r>
      <w:r>
        <w:rPr>
          <w:rFonts w:hint="eastAsia" w:ascii="仿宋_GB2312" w:hAnsi="仿宋_GB2312" w:eastAsia="仿宋_GB2312" w:cs="仿宋_GB2312"/>
          <w:color w:val="000000"/>
          <w:kern w:val="0"/>
          <w:sz w:val="31"/>
          <w:szCs w:val="31"/>
          <w:lang w:eastAsia="zh-CN" w:bidi="ar"/>
        </w:rPr>
        <w:t>本级，</w:t>
      </w:r>
      <w:r>
        <w:rPr>
          <w:rFonts w:hint="eastAsia" w:ascii="仿宋_GB2312" w:hAnsi="仿宋_GB2312" w:eastAsia="仿宋_GB2312" w:cs="仿宋_GB2312"/>
          <w:color w:val="000000"/>
          <w:kern w:val="0"/>
          <w:sz w:val="31"/>
          <w:szCs w:val="31"/>
          <w:lang w:bidi="ar"/>
        </w:rPr>
        <w:t>或所属二级单位</w:t>
      </w:r>
      <w:r>
        <w:rPr>
          <w:rFonts w:hint="eastAsia" w:ascii="仿宋_GB2312" w:hAnsi="仿宋_GB2312" w:eastAsia="仿宋_GB2312" w:cs="仿宋_GB2312"/>
          <w:color w:val="000000"/>
          <w:kern w:val="0"/>
          <w:sz w:val="31"/>
          <w:szCs w:val="31"/>
          <w:lang w:val="en-US" w:eastAsia="zh-CN" w:bidi="ar"/>
        </w:rPr>
        <w:t>）2021年度整体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96</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523.89</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523.89</w:t>
      </w:r>
      <w:r>
        <w:rPr>
          <w:rFonts w:ascii="仿宋_GB2312" w:hAnsi="仿宋_GB2312" w:eastAsia="仿宋_GB2312" w:cs="仿宋_GB2312"/>
          <w:color w:val="000000"/>
          <w:kern w:val="0"/>
          <w:sz w:val="31"/>
          <w:szCs w:val="31"/>
          <w:lang w:bidi="ar"/>
        </w:rPr>
        <w:t>万元，</w:t>
      </w:r>
      <w:r>
        <w:rPr>
          <w:rFonts w:ascii="仿宋_GB2312" w:hAnsi="仿宋_GB2312" w:eastAsia="仿宋_GB2312" w:cs="仿宋_GB2312"/>
          <w:color w:val="000000"/>
          <w:kern w:val="0"/>
          <w:sz w:val="31"/>
          <w:szCs w:val="31"/>
          <w:highlight w:val="none"/>
          <w:lang w:bidi="ar"/>
        </w:rPr>
        <w:t>完成预算的</w:t>
      </w:r>
      <w:r>
        <w:rPr>
          <w:rFonts w:hint="eastAsia" w:ascii="仿宋_GB2312" w:hAnsi="仿宋_GB2312" w:eastAsia="仿宋_GB2312" w:cs="仿宋_GB2312"/>
          <w:color w:val="000000"/>
          <w:kern w:val="0"/>
          <w:sz w:val="31"/>
          <w:szCs w:val="31"/>
          <w:highlight w:val="none"/>
          <w:lang w:val="en-US" w:eastAsia="zh-CN" w:bidi="ar"/>
        </w:rPr>
        <w:t>100</w:t>
      </w:r>
      <w:r>
        <w:rPr>
          <w:rFonts w:ascii="仿宋_GB2312" w:hAnsi="仿宋_GB2312" w:eastAsia="仿宋_GB2312" w:cs="仿宋_GB2312"/>
          <w:color w:val="000000"/>
          <w:kern w:val="0"/>
          <w:sz w:val="31"/>
          <w:szCs w:val="31"/>
          <w:highlight w:val="none"/>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eastAsia="仿宋_GB2312"/>
          <w:sz w:val="32"/>
          <w:szCs w:val="32"/>
          <w:lang w:eastAsia="zh-CN"/>
        </w:rPr>
      </w:pPr>
      <w:r>
        <w:rPr>
          <w:rFonts w:hint="eastAsia" w:ascii="仿宋_GB2312" w:hAnsi="仿宋_GB2312" w:eastAsia="仿宋_GB2312" w:cs="仿宋_GB2312"/>
          <w:color w:val="000000"/>
          <w:kern w:val="0"/>
          <w:sz w:val="31"/>
          <w:szCs w:val="31"/>
          <w:lang w:eastAsia="zh-CN" w:bidi="ar"/>
        </w:rPr>
        <w:t>项目绩效目标完成情况</w:t>
      </w:r>
      <w:r>
        <w:rPr>
          <w:rFonts w:ascii="仿宋_GB2312" w:hAnsi="仿宋_GB2312" w:eastAsia="仿宋_GB2312" w:cs="仿宋_GB2312"/>
          <w:color w:val="000000"/>
          <w:kern w:val="0"/>
          <w:sz w:val="31"/>
          <w:szCs w:val="31"/>
          <w:lang w:bidi="ar"/>
        </w:rPr>
        <w:t>：围绕“精彩圆满”目标，营造全民全运氛围。全力推进“十四运会”竞赛组织，抽调80%的班子成员、60%的中层和干部加入竞委会，在竞赛组织、行政接待、综合协调、反兴奋剂、体育展示、场地环境等6个核心处室，全力开展备赛工作，9月10-21日，成功举办十四运会攀岩、滑板比赛，共产生10枚金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eastAsia="仿宋_GB2312"/>
          <w:sz w:val="32"/>
          <w:szCs w:val="32"/>
          <w:lang w:eastAsia="zh-CN"/>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bookmarkStart w:id="0" w:name="_1662907161"/>
      <w:bookmarkEnd w:id="0"/>
      <w:bookmarkStart w:id="1" w:name="_1662907596"/>
      <w:bookmarkEnd w:id="1"/>
      <w:bookmarkStart w:id="2" w:name="_1662907080"/>
      <w:bookmarkEnd w:id="2"/>
      <w:r>
        <w:rPr>
          <w:rFonts w:hint="eastAsia" w:ascii="仿宋_GB2312" w:hAnsi="仿宋_GB2312" w:eastAsia="仿宋_GB2312" w:cs="仿宋_GB2312"/>
          <w:color w:val="000000"/>
          <w:sz w:val="31"/>
          <w:szCs w:val="31"/>
          <w:lang w:bidi="ar"/>
        </w:rPr>
        <w:object>
          <v:shape id="_x0000_i1025" o:spt="75" type="#_x0000_t75" style="height:641.2pt;width:385.5pt;" o:ole="t" filled="f" o:preferrelative="t" stroked="f" coordsize="21600,21600">
            <v:path/>
            <v:fill on="f" focussize="0,0"/>
            <v:stroke on="f"/>
            <v:imagedata r:id="rId14" o:title=""/>
            <o:lock v:ext="edit" aspectratio="f"/>
            <w10:wrap type="none"/>
            <w10:anchorlock/>
          </v:shape>
          <o:OLEObject Type="Embed" ProgID="Excel.Sheet.12" ShapeID="_x0000_i1025" DrawAspect="Content" ObjectID="_1468075725" r:id="rId13">
            <o:LockedField>false</o:LockedField>
          </o:OLEObject>
        </w:object>
      </w:r>
    </w:p>
    <w:p>
      <w:pPr>
        <w:widowControl/>
        <w:jc w:val="left"/>
        <w:rPr>
          <w:rFonts w:hint="eastAsia" w:ascii="仿宋_GB2312" w:hAnsi="仿宋_GB2312" w:eastAsia="仿宋_GB2312" w:cs="仿宋_GB2312"/>
          <w:color w:val="000000"/>
          <w:kern w:val="0"/>
          <w:sz w:val="31"/>
          <w:szCs w:val="31"/>
          <w:lang w:bidi="ar"/>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本部门整体</w:t>
      </w:r>
      <w:r>
        <w:rPr>
          <w:rFonts w:hint="eastAsia" w:ascii="仿宋_GB2312" w:hAnsi="仿宋_GB2312" w:eastAsia="仿宋_GB2312" w:cs="仿宋_GB2312"/>
          <w:color w:val="000000"/>
          <w:kern w:val="0"/>
          <w:sz w:val="31"/>
          <w:szCs w:val="31"/>
          <w:lang w:val="en-US" w:eastAsia="zh-CN" w:bidi="ar"/>
        </w:rPr>
        <w:t>2021年度整体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96</w:t>
      </w:r>
      <w:r>
        <w:rPr>
          <w:rFonts w:ascii="仿宋_GB2312" w:hAnsi="仿宋_GB2312" w:eastAsia="仿宋_GB2312" w:cs="仿宋_GB2312"/>
          <w:color w:val="000000"/>
          <w:kern w:val="0"/>
          <w:sz w:val="31"/>
          <w:szCs w:val="31"/>
          <w:lang w:bidi="ar"/>
        </w:rPr>
        <w:t>分。全年预算数</w:t>
      </w:r>
      <w:r>
        <w:rPr>
          <w:rFonts w:hint="eastAsia" w:ascii="仿宋_GB2312" w:hAnsi="宋体" w:eastAsia="仿宋_GB2312" w:cs="仿宋_GB2312"/>
          <w:color w:val="000000"/>
          <w:kern w:val="0"/>
          <w:sz w:val="32"/>
          <w:szCs w:val="32"/>
          <w:lang w:val="en-US" w:eastAsia="zh-CN" w:bidi="ar"/>
        </w:rPr>
        <w:t>1515.38</w:t>
      </w:r>
      <w:r>
        <w:rPr>
          <w:rFonts w:ascii="仿宋_GB2312" w:hAnsi="仿宋_GB2312" w:eastAsia="仿宋_GB2312" w:cs="仿宋_GB2312"/>
          <w:color w:val="000000"/>
          <w:kern w:val="0"/>
          <w:sz w:val="31"/>
          <w:szCs w:val="31"/>
          <w:lang w:bidi="ar"/>
        </w:rPr>
        <w:t>万元，执行数</w:t>
      </w:r>
      <w:r>
        <w:rPr>
          <w:rFonts w:hint="eastAsia" w:ascii="仿宋_GB2312" w:hAnsi="宋体" w:eastAsia="仿宋_GB2312" w:cs="仿宋_GB2312"/>
          <w:color w:val="000000"/>
          <w:kern w:val="0"/>
          <w:sz w:val="32"/>
          <w:szCs w:val="32"/>
          <w:lang w:val="en-US" w:eastAsia="zh-CN" w:bidi="ar"/>
        </w:rPr>
        <w:t>1515.38</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widowControl/>
        <w:spacing w:line="560" w:lineRule="exact"/>
        <w:ind w:firstLine="622"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b/>
          <w:bCs/>
          <w:color w:val="000000"/>
          <w:kern w:val="0"/>
          <w:sz w:val="31"/>
          <w:szCs w:val="31"/>
          <w:lang w:bidi="ar"/>
        </w:rPr>
        <w:t>1</w:t>
      </w:r>
      <w:r>
        <w:rPr>
          <w:rFonts w:hint="eastAsia"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体育</w:t>
      </w:r>
      <w:r>
        <w:rPr>
          <w:rFonts w:hint="eastAsia" w:ascii="仿宋_GB2312" w:hAnsi="仿宋_GB2312" w:eastAsia="仿宋_GB2312" w:cs="仿宋_GB2312"/>
          <w:color w:val="000000"/>
          <w:kern w:val="0"/>
          <w:sz w:val="31"/>
          <w:szCs w:val="31"/>
          <w:lang w:val="en-US" w:eastAsia="zh-CN" w:bidi="ar"/>
        </w:rPr>
        <w:t>活动</w:t>
      </w:r>
      <w:r>
        <w:rPr>
          <w:rFonts w:ascii="仿宋_GB2312" w:hAnsi="仿宋_GB2312" w:eastAsia="仿宋_GB2312" w:cs="仿宋_GB2312"/>
          <w:color w:val="000000"/>
          <w:kern w:val="0"/>
          <w:sz w:val="31"/>
          <w:szCs w:val="31"/>
          <w:lang w:bidi="ar"/>
        </w:rPr>
        <w:t>项目绩效自评综述：根据年初设定的绩效目标，项目自评得分</w:t>
      </w:r>
      <w:r>
        <w:rPr>
          <w:rFonts w:hint="eastAsia" w:ascii="仿宋_GB2312" w:hAnsi="仿宋_GB2312" w:eastAsia="仿宋_GB2312" w:cs="仿宋_GB2312"/>
          <w:color w:val="000000"/>
          <w:kern w:val="0"/>
          <w:sz w:val="31"/>
          <w:szCs w:val="31"/>
          <w:lang w:bidi="ar"/>
        </w:rPr>
        <w:t>100</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904.9</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904.9</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bidi="ar"/>
        </w:rPr>
        <w:t>100</w:t>
      </w:r>
      <w:r>
        <w:rPr>
          <w:rFonts w:ascii="仿宋_GB2312" w:hAnsi="仿宋_GB2312" w:eastAsia="仿宋_GB2312" w:cs="仿宋_GB2312"/>
          <w:color w:val="000000"/>
          <w:kern w:val="0"/>
          <w:sz w:val="31"/>
          <w:szCs w:val="31"/>
          <w:lang w:bidi="ar"/>
        </w:rPr>
        <w:t>%。</w:t>
      </w:r>
    </w:p>
    <w:p>
      <w:pPr>
        <w:widowControl/>
        <w:spacing w:line="560" w:lineRule="exact"/>
        <w:ind w:firstLine="620" w:firstLineChars="200"/>
        <w:jc w:val="left"/>
        <w:rPr>
          <w:rFonts w:hint="default"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val="en-US" w:eastAsia="zh-CN" w:bidi="ar"/>
        </w:rPr>
        <w:t>全力推进“十四运会”竞赛组织，抽调80%的班子成员、60%的中层和干部加入竞委会，在竞赛组织、行政接待、综合协调、反兴奋剂、体育展示、场地环境等6个核心处室，全力开展备赛工作，9月10-21日，成功举办十四运会攀岩、滑板比赛，共产生10枚金牌。积极营造全民全运氛围，推进全民健身惠民工程，投资100万对新华路街办、凤凰路街办8个社区全民健身设施进行提升改造；对全区7个行政村配备全民健身路径A类型6套，新建笼式篮球场2个，截至目前，开展国民体质监测2300余人。竞技体育成绩突出，全年开展线上线下体育活动11场次，组队参加陕西省第三届全民健身运动会，以4个一等奖和1个三等奖的优异成绩荣获“陕西省第三届全民健身运动会全民健身活力县”称号。</w:t>
      </w:r>
    </w:p>
    <w:p>
      <w:pPr>
        <w:widowControl/>
        <w:spacing w:line="560" w:lineRule="exact"/>
        <w:ind w:firstLine="622" w:firstLineChars="200"/>
        <w:jc w:val="left"/>
        <w:rPr>
          <w:rFonts w:hint="eastAsia" w:ascii="仿宋_GB2312" w:hAnsi="仿宋_GB2312" w:eastAsia="仿宋_GB2312" w:cs="仿宋_GB2312"/>
          <w:b/>
          <w:bCs/>
          <w:color w:val="000000"/>
          <w:kern w:val="0"/>
          <w:sz w:val="31"/>
          <w:szCs w:val="31"/>
          <w:lang w:bidi="ar"/>
        </w:rPr>
      </w:pPr>
      <w:r>
        <w:rPr>
          <w:rFonts w:hint="eastAsia" w:ascii="仿宋_GB2312" w:hAnsi="仿宋_GB2312" w:eastAsia="仿宋_GB2312" w:cs="仿宋_GB2312"/>
          <w:b/>
          <w:bCs/>
          <w:color w:val="000000"/>
          <w:kern w:val="0"/>
          <w:sz w:val="31"/>
          <w:szCs w:val="31"/>
          <w:lang w:val="en-US" w:eastAsia="zh-CN" w:bidi="ar"/>
        </w:rPr>
        <w:t>2</w:t>
      </w:r>
      <w:r>
        <w:rPr>
          <w:rFonts w:hint="eastAsia" w:ascii="仿宋_GB2312" w:hAnsi="仿宋_GB2312" w:eastAsia="仿宋_GB2312" w:cs="仿宋_GB2312"/>
          <w:b/>
          <w:bCs/>
          <w:color w:val="000000"/>
          <w:kern w:val="0"/>
          <w:sz w:val="31"/>
          <w:szCs w:val="31"/>
          <w:lang w:bidi="ar"/>
        </w:rPr>
        <w:t>.</w:t>
      </w:r>
      <w:r>
        <w:rPr>
          <w:rFonts w:hint="eastAsia" w:ascii="仿宋_GB2312" w:hAnsi="仿宋_GB2312" w:eastAsia="仿宋_GB2312" w:cs="仿宋_GB2312"/>
          <w:b w:val="0"/>
          <w:bCs w:val="0"/>
          <w:color w:val="000000"/>
          <w:kern w:val="0"/>
          <w:sz w:val="31"/>
          <w:szCs w:val="31"/>
          <w:lang w:eastAsia="zh-CN" w:bidi="ar"/>
        </w:rPr>
        <w:t>文化</w:t>
      </w:r>
      <w:r>
        <w:rPr>
          <w:rFonts w:hint="eastAsia" w:ascii="仿宋_GB2312" w:hAnsi="仿宋_GB2312" w:eastAsia="仿宋_GB2312" w:cs="仿宋_GB2312"/>
          <w:b w:val="0"/>
          <w:bCs w:val="0"/>
          <w:color w:val="000000"/>
          <w:kern w:val="0"/>
          <w:sz w:val="31"/>
          <w:szCs w:val="31"/>
          <w:lang w:bidi="ar"/>
        </w:rPr>
        <w:t>旅游项目绩效自评综述：根据年初设定的绩效目标，项目自评得分100分。项目全年预算</w:t>
      </w:r>
      <w:r>
        <w:rPr>
          <w:rFonts w:hint="eastAsia" w:ascii="仿宋_GB2312" w:hAnsi="仿宋_GB2312" w:eastAsia="仿宋_GB2312" w:cs="仿宋_GB2312"/>
          <w:b w:val="0"/>
          <w:bCs w:val="0"/>
          <w:color w:val="000000"/>
          <w:kern w:val="0"/>
          <w:sz w:val="31"/>
          <w:szCs w:val="31"/>
          <w:lang w:eastAsia="zh-CN" w:bidi="ar"/>
        </w:rPr>
        <w:t>、</w:t>
      </w:r>
      <w:r>
        <w:rPr>
          <w:rFonts w:hint="eastAsia" w:ascii="仿宋_GB2312" w:hAnsi="仿宋_GB2312" w:eastAsia="仿宋_GB2312" w:cs="仿宋_GB2312"/>
          <w:b w:val="0"/>
          <w:bCs w:val="0"/>
          <w:color w:val="000000"/>
          <w:kern w:val="0"/>
          <w:sz w:val="31"/>
          <w:szCs w:val="31"/>
          <w:lang w:val="en-US" w:eastAsia="zh-CN" w:bidi="ar"/>
        </w:rPr>
        <w:t>433.18</w:t>
      </w:r>
      <w:r>
        <w:rPr>
          <w:rFonts w:hint="eastAsia" w:ascii="仿宋_GB2312" w:hAnsi="仿宋_GB2312" w:eastAsia="仿宋_GB2312" w:cs="仿宋_GB2312"/>
          <w:b w:val="0"/>
          <w:bCs w:val="0"/>
          <w:color w:val="000000"/>
          <w:kern w:val="0"/>
          <w:sz w:val="31"/>
          <w:szCs w:val="31"/>
          <w:lang w:bidi="ar"/>
        </w:rPr>
        <w:t>万元，执行数</w:t>
      </w:r>
      <w:r>
        <w:rPr>
          <w:rFonts w:hint="eastAsia" w:ascii="仿宋_GB2312" w:hAnsi="仿宋_GB2312" w:eastAsia="仿宋_GB2312" w:cs="仿宋_GB2312"/>
          <w:b w:val="0"/>
          <w:bCs w:val="0"/>
          <w:color w:val="000000"/>
          <w:kern w:val="0"/>
          <w:sz w:val="31"/>
          <w:szCs w:val="31"/>
          <w:lang w:val="en-US" w:eastAsia="zh-CN" w:bidi="ar"/>
        </w:rPr>
        <w:t>433.18</w:t>
      </w:r>
      <w:r>
        <w:rPr>
          <w:rFonts w:hint="eastAsia" w:ascii="仿宋_GB2312" w:hAnsi="仿宋_GB2312" w:eastAsia="仿宋_GB2312" w:cs="仿宋_GB2312"/>
          <w:b w:val="0"/>
          <w:bCs w:val="0"/>
          <w:color w:val="000000"/>
          <w:kern w:val="0"/>
          <w:sz w:val="31"/>
          <w:szCs w:val="31"/>
          <w:lang w:bidi="ar"/>
        </w:rPr>
        <w:t>万元，完成预算的100%。</w:t>
      </w:r>
    </w:p>
    <w:p>
      <w:pPr>
        <w:spacing w:line="580" w:lineRule="exact"/>
        <w:ind w:firstLine="620" w:firstLineChars="200"/>
        <w:rPr>
          <w:rFonts w:ascii="Times New Roman" w:hAnsi="Times New Roman" w:eastAsia="仿宋_GB2312" w:cs="Times New Roman"/>
          <w:bCs/>
          <w:color w:val="0D0D0D" w:themeColor="text1" w:themeTint="F2"/>
          <w:sz w:val="32"/>
          <w:szCs w:val="32"/>
          <w14:textFill>
            <w14:solidFill>
              <w14:schemeClr w14:val="tx1">
                <w14:lumMod w14:val="95000"/>
                <w14:lumOff w14:val="5000"/>
              </w14:schemeClr>
            </w14:solidFill>
          </w14:textFill>
        </w:rPr>
      </w:pPr>
      <w:r>
        <w:rPr>
          <w:rFonts w:ascii="仿宋_GB2312" w:hAnsi="仿宋_GB2312" w:eastAsia="仿宋_GB2312" w:cs="仿宋_GB2312"/>
          <w:color w:val="000000"/>
          <w:kern w:val="0"/>
          <w:sz w:val="31"/>
          <w:szCs w:val="31"/>
          <w:lang w:bidi="ar"/>
        </w:rPr>
        <w:t>主要产出和效果：</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西安阎良·中国航空文化博览园</w:t>
      </w:r>
      <w:r>
        <w:rPr>
          <w:rFonts w:ascii="Times New Roman" w:hAnsi="Times New Roman" w:eastAsia="仿宋_GB2312" w:cs="Times New Roman"/>
          <w:bCs/>
          <w:color w:val="0D0D0D" w:themeColor="text1" w:themeTint="F2"/>
          <w:sz w:val="32"/>
          <w:szCs w:val="32"/>
          <w14:textFill>
            <w14:solidFill>
              <w14:schemeClr w14:val="tx1">
                <w14:lumMod w14:val="95000"/>
                <w14:lumOff w14:val="5000"/>
              </w14:schemeClr>
            </w14:solidFill>
          </w14:textFill>
        </w:rPr>
        <w:t>、飞翔梦航空科教文化示范园区、</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石川河综合展示服务中心等文旅</w:t>
      </w:r>
      <w:r>
        <w:rPr>
          <w:rFonts w:ascii="Times New Roman" w:hAnsi="Times New Roman" w:eastAsia="仿宋_GB2312" w:cs="Times New Roman"/>
          <w:bCs/>
          <w:color w:val="0D0D0D" w:themeColor="text1" w:themeTint="F2"/>
          <w:sz w:val="32"/>
          <w:szCs w:val="32"/>
          <w14:textFill>
            <w14:solidFill>
              <w14:schemeClr w14:val="tx1">
                <w14:lumMod w14:val="95000"/>
                <w14:lumOff w14:val="5000"/>
              </w14:schemeClr>
            </w14:solidFill>
          </w14:textFill>
        </w:rPr>
        <w:t>项目持续推进</w:t>
      </w:r>
      <w:r>
        <w:rPr>
          <w:rFonts w:hint="eastAsia" w:ascii="Times New Roman" w:hAnsi="Times New Roman" w:eastAsia="仿宋_GB2312" w:cs="Times New Roman"/>
          <w:bCs/>
          <w:color w:val="0D0D0D" w:themeColor="text1" w:themeTint="F2"/>
          <w:sz w:val="32"/>
          <w:szCs w:val="32"/>
          <w:lang w:eastAsia="zh-CN"/>
          <w14:textFill>
            <w14:solidFill>
              <w14:schemeClr w14:val="tx1">
                <w14:lumMod w14:val="95000"/>
                <w14:lumOff w14:val="5000"/>
              </w14:schemeClr>
            </w14:solidFill>
          </w14:textFill>
        </w:rPr>
        <w:t>，</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深入开展“服务十四运·奉献我的城”主题实践活动</w:t>
      </w:r>
      <w:r>
        <w:rPr>
          <w:rFonts w:ascii="Times New Roman" w:hAnsi="Times New Roman" w:eastAsia="仿宋_GB2312" w:cs="Times New Roman"/>
          <w:bCs/>
          <w:color w:val="0D0D0D" w:themeColor="text1" w:themeTint="F2"/>
          <w:sz w:val="32"/>
          <w:szCs w:val="32"/>
          <w14:textFill>
            <w14:solidFill>
              <w14:schemeClr w14:val="tx1">
                <w14:lumMod w14:val="95000"/>
                <w14:lumOff w14:val="5000"/>
              </w14:schemeClr>
            </w14:solidFill>
          </w14:textFill>
        </w:rPr>
        <w:t>，获得西安市“永远跟党走”红色故事讲解员大赛志愿组三等奖、</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2021西安市旅游商品大赛 “最佳创意奖”，入选西安市“金口碑·最人气”星级饭店和 “2021西安最佳人气旅行社名单”，举办阎良区文旅行业“塑美创佳争优”活动</w:t>
      </w:r>
      <w:r>
        <w:rPr>
          <w:rFonts w:hint="eastAsia"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r>
        <w:rPr>
          <w:rFonts w:ascii="Times New Roman" w:hAnsi="Times New Roman" w:eastAsia="仿宋_GB2312" w:cs="Times New Roman"/>
          <w:bCs/>
          <w:color w:val="0D0D0D" w:themeColor="text1" w:themeTint="F2"/>
          <w:sz w:val="32"/>
          <w:szCs w:val="32"/>
          <w14:textFill>
            <w14:solidFill>
              <w14:schemeClr w14:val="tx1">
                <w14:lumMod w14:val="95000"/>
                <w14:lumOff w14:val="5000"/>
              </w14:schemeClr>
            </w14:solidFill>
          </w14:textFill>
        </w:rPr>
        <w:t>圆满举办山东民俗节、梨花节、甜瓜节、羊乳文化节、火龙果节等品牌活动；发布“庆华诞、迎全运、助振兴”精品旅游线路4条，“西安阎良极限运动体验之旅”入选国家体育总局和国家文旅部联合发布的“2021年国庆假期体育旅游精品线路”，推出特色工业旅游景区景点3处；赴珠海、海口参加市文旅局组织的2021西安城市营销路演活动。截至目前，我区接待游客3</w:t>
      </w:r>
      <w:r>
        <w:rPr>
          <w:rFonts w:hint="eastAsia" w:ascii="Times New Roman" w:hAnsi="Times New Roman" w:eastAsia="仿宋_GB2312" w:cs="Times New Roman"/>
          <w:bCs/>
          <w:color w:val="0D0D0D" w:themeColor="text1" w:themeTint="F2"/>
          <w:sz w:val="32"/>
          <w:szCs w:val="32"/>
          <w14:textFill>
            <w14:solidFill>
              <w14:schemeClr w14:val="tx1">
                <w14:lumMod w14:val="95000"/>
                <w14:lumOff w14:val="5000"/>
              </w14:schemeClr>
            </w14:solidFill>
          </w14:textFill>
        </w:rPr>
        <w:t>92</w:t>
      </w:r>
      <w:r>
        <w:rPr>
          <w:rFonts w:ascii="Times New Roman" w:hAnsi="Times New Roman" w:eastAsia="仿宋_GB2312" w:cs="Times New Roman"/>
          <w:bCs/>
          <w:color w:val="0D0D0D" w:themeColor="text1" w:themeTint="F2"/>
          <w:sz w:val="32"/>
          <w:szCs w:val="32"/>
          <w14:textFill>
            <w14:solidFill>
              <w14:schemeClr w14:val="tx1">
                <w14:lumMod w14:val="95000"/>
                <w14:lumOff w14:val="5000"/>
              </w14:schemeClr>
            </w14:solidFill>
          </w14:textFill>
        </w:rPr>
        <w:t>万人次，实现旅游业总收入11.</w:t>
      </w:r>
      <w:r>
        <w:rPr>
          <w:rFonts w:hint="eastAsia" w:ascii="Times New Roman" w:hAnsi="Times New Roman" w:eastAsia="仿宋_GB2312" w:cs="Times New Roman"/>
          <w:bCs/>
          <w:color w:val="0D0D0D" w:themeColor="text1" w:themeTint="F2"/>
          <w:sz w:val="32"/>
          <w:szCs w:val="32"/>
          <w14:textFill>
            <w14:solidFill>
              <w14:schemeClr w14:val="tx1">
                <w14:lumMod w14:val="95000"/>
                <w14:lumOff w14:val="5000"/>
              </w14:schemeClr>
            </w14:solidFill>
          </w14:textFill>
        </w:rPr>
        <w:t>86</w:t>
      </w:r>
      <w:r>
        <w:rPr>
          <w:rFonts w:ascii="Times New Roman" w:hAnsi="Times New Roman" w:eastAsia="仿宋_GB2312" w:cs="Times New Roman"/>
          <w:bCs/>
          <w:color w:val="0D0D0D" w:themeColor="text1" w:themeTint="F2"/>
          <w:sz w:val="32"/>
          <w:szCs w:val="32"/>
          <w14:textFill>
            <w14:solidFill>
              <w14:schemeClr w14:val="tx1">
                <w14:lumMod w14:val="95000"/>
                <w14:lumOff w14:val="5000"/>
              </w14:schemeClr>
            </w14:solidFill>
          </w14:textFill>
        </w:rPr>
        <w:t>亿元。</w:t>
      </w:r>
    </w:p>
    <w:p>
      <w:pPr>
        <w:widowControl/>
        <w:spacing w:line="560" w:lineRule="exact"/>
        <w:ind w:firstLine="622" w:firstLineChars="200"/>
        <w:jc w:val="left"/>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3.</w:t>
      </w:r>
      <w:r>
        <w:rPr>
          <w:rFonts w:hint="eastAsia" w:ascii="仿宋_GB2312" w:hAnsi="仿宋_GB2312" w:eastAsia="仿宋_GB2312" w:cs="仿宋_GB2312"/>
          <w:b w:val="0"/>
          <w:bCs w:val="0"/>
          <w:color w:val="000000"/>
          <w:kern w:val="0"/>
          <w:sz w:val="31"/>
          <w:szCs w:val="31"/>
          <w:lang w:val="en-US" w:eastAsia="zh-CN" w:bidi="ar"/>
        </w:rPr>
        <w:t>文物旅游规划编制项目：根据年初设定的绩效目标，项目自评得分100分。项目全年预算数177.29万元，执行数177.29万元，完成预算的100%。</w:t>
      </w:r>
    </w:p>
    <w:p>
      <w:pPr>
        <w:spacing w:line="580" w:lineRule="exact"/>
        <w:ind w:firstLine="620" w:firstLineChars="200"/>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b w:val="0"/>
          <w:bCs w:val="0"/>
          <w:color w:val="000000"/>
          <w:kern w:val="0"/>
          <w:sz w:val="31"/>
          <w:szCs w:val="31"/>
          <w:lang w:val="en-US" w:eastAsia="zh-CN" w:bidi="ar"/>
        </w:rPr>
        <w:t>完善文物保护体制机制，成立阎良区文物保护管理所（阎良区为内涵栎阳城遗址文物保护管理所），加强全区文物保护工作的人、财、物投入。保障重点项目建设，做好区级重点项目文勘办理工作，持续推进栎阳城遗址保护利用，完善《栎阳城遗址保护总体规划》，建成6000平方米的秦汉栎阳城遗址保护展示厅，接待区内外参观群众4000余人，启动遗址安防升级改造项目。夯实文物安全责任，以“两办”名义印发《西安市阎良区关于加强文物保护利用改革的实施方案》；加强汛期栎阳桥安全巡查，印发《栎阳桥加固保护工作实施方案》，召开栎阳桥应急保护专题会3次，为古桥本体加固奠定基础；开展义和遗址保护范围和建设控制地带的划定工作；与各街办和公安阎良分局，建立文物安全联动机制，开展田野文物巡查41次，全年无文物安全事件发生。</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bidi="ar"/>
        </w:rPr>
      </w:pPr>
    </w:p>
    <w:p>
      <w:pPr>
        <w:spacing w:line="58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p>
    <w:p>
      <w:pPr>
        <w:spacing w:line="580" w:lineRule="exact"/>
        <w:ind w:firstLine="620" w:firstLineChars="200"/>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项目总体评价：</w:t>
      </w:r>
    </w:p>
    <w:p>
      <w:pPr>
        <w:spacing w:line="58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1.项目的实施进度，按照预算目标，100%完成了项目的工作进度。</w:t>
      </w:r>
    </w:p>
    <w:p>
      <w:pPr>
        <w:spacing w:line="58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2.项目完成质量，2021年预算资金严格按照预算实施，完成质量良好。</w:t>
      </w:r>
    </w:p>
    <w:p>
      <w:pPr>
        <w:spacing w:line="58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3.项目的效益性，通过项目的实施，完成了十四运攀岩滑板项目的比赛，也完成了举</w:t>
      </w:r>
    </w:p>
    <w:p>
      <w:pPr>
        <w:spacing w:line="58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办全年群众文化体育活动要求场次的工作目标。</w:t>
      </w:r>
    </w:p>
    <w:p>
      <w:pPr>
        <w:spacing w:line="58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项目实施对经济和社会的影响。通过文化体育活动活动的实施以及旅游宣传文物保护工作，提升了我区特色文化内涵，宣传了阎良，传承了文化遗产，丰富了广大人民群众的精神文化生活的同时，产生了重大的积极的社会效应、得到社会各界的广泛认可；带动了我的相关产业的发展，产生了一定的经济效益。</w:t>
      </w:r>
    </w:p>
    <w:p>
      <w:pPr>
        <w:spacing w:line="58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p>
    <w:p>
      <w:pPr>
        <w:spacing w:line="58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下一步改进措施：</w:t>
      </w:r>
    </w:p>
    <w:p>
      <w:pPr>
        <w:spacing w:line="58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1.加强预算和决算的执行工作。严格按照《预算法》的规定编制部门预算，坚决杜绝虚列财政收入和支出。 </w:t>
      </w:r>
    </w:p>
    <w:p>
      <w:pPr>
        <w:spacing w:line="58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加强财务管理。严格按照《会计法》和会计制度的规定，进一步加强会计工作的规范化，建立健全财务内部管理制度，按规定设置会计科目，进行帐务处理。1、加强专项资金的管理。对专项资金，注重资金使用效益，实行财政专户管理，确保专款专用。2、加强支出管理。要建立和完善支出管理有关制度，建立和完善费用报销制度。通过建章立制，从严控制开支，坚决制止铺张浪费。对不真实、不合理、不合法的票据，不予报销入帐。3、加强固定资产的管理。建立健全固定资产相关帐簿，加强对固定资产的管理，防止国有资产流失。</w:t>
      </w:r>
    </w:p>
    <w:p>
      <w:pPr>
        <w:spacing w:line="58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3.加强制度建设。在现有制度的基础上进一步健全完善内部管控制度体系。</w:t>
      </w:r>
    </w:p>
    <w:p>
      <w:pPr>
        <w:spacing w:line="580" w:lineRule="exact"/>
        <w:ind w:firstLine="620" w:firstLineChars="200"/>
        <w:rPr>
          <w:rFonts w:hint="default" w:ascii="仿宋_GB2312" w:hAnsi="仿宋_GB2312" w:eastAsia="仿宋_GB2312" w:cs="仿宋_GB2312"/>
          <w:b w:val="0"/>
          <w:bCs w:val="0"/>
          <w:color w:val="000000"/>
          <w:kern w:val="0"/>
          <w:sz w:val="31"/>
          <w:szCs w:val="31"/>
          <w:lang w:val="en-US" w:eastAsia="zh-CN" w:bidi="ar"/>
        </w:rPr>
      </w:pPr>
    </w:p>
    <w:p>
      <w:pPr>
        <w:widowControl/>
        <w:jc w:val="left"/>
        <w:rPr>
          <w:rFonts w:hint="eastAsia" w:ascii="黑体" w:hAnsi="黑体" w:eastAsia="黑体"/>
          <w:color w:val="000000"/>
          <w:kern w:val="0"/>
          <w:sz w:val="32"/>
          <w:szCs w:val="32"/>
          <w:lang w:bidi="ar"/>
        </w:rPr>
        <w:sectPr>
          <w:pgSz w:w="16838" w:h="11906" w:orient="landscape"/>
          <w:pgMar w:top="1800" w:right="1440" w:bottom="1800" w:left="1440" w:header="851" w:footer="992" w:gutter="0"/>
          <w:cols w:space="425" w:num="1"/>
          <w:docGrid w:type="lines" w:linePitch="312" w:charSpace="0"/>
        </w:sectPr>
      </w:pPr>
      <w:r>
        <w:rPr>
          <w:rFonts w:hint="eastAsia" w:ascii="仿宋_GB2312" w:hAnsi="仿宋_GB2312" w:eastAsia="仿宋_GB2312" w:cs="仿宋_GB2312"/>
          <w:color w:val="000000"/>
          <w:kern w:val="0"/>
          <w:sz w:val="31"/>
          <w:szCs w:val="31"/>
          <w:lang w:bidi="ar"/>
        </w:rPr>
        <w:object>
          <v:shape id="_x0000_i1026" o:spt="75" type="#_x0000_t75" style="height:966.3pt;width:697.55pt;" o:ole="t" filled="f" o:preferrelative="t" stroked="f" coordsize="21600,21600">
            <v:path/>
            <v:fill on="f" focussize="0,0"/>
            <v:stroke on="f"/>
            <v:imagedata r:id="rId16" o:title=""/>
            <o:lock v:ext="edit" aspectratio="f"/>
            <w10:wrap type="none"/>
            <w10:anchorlock/>
          </v:shape>
          <o:OLEObject Type="Embed" ProgID="Excel.Sheet.12" ShapeID="_x0000_i1026" DrawAspect="Content" ObjectID="_1468075726" r:id="rId15">
            <o:LockedField>false</o:LockedField>
          </o:OLEObject>
        </w:object>
      </w:r>
      <w:bookmarkStart w:id="3" w:name="_1662907696"/>
      <w:bookmarkEnd w:id="3"/>
    </w:p>
    <w:p>
      <w:pPr>
        <w:numPr>
          <w:ilvl w:val="0"/>
          <w:numId w:val="0"/>
        </w:numPr>
        <w:ind w:firstLine="1760" w:firstLineChars="400"/>
        <w:jc w:val="both"/>
        <w:rPr>
          <w:rFonts w:hint="eastAsia" w:ascii="黑体" w:hAnsi="宋体" w:eastAsia="黑体"/>
          <w:color w:val="000000"/>
          <w:kern w:val="0"/>
          <w:sz w:val="44"/>
          <w:szCs w:val="44"/>
        </w:rPr>
      </w:pPr>
      <w:r>
        <w:rPr>
          <w:rFonts w:hint="eastAsia" w:ascii="黑体" w:hAnsi="宋体" w:eastAsia="黑体"/>
          <w:color w:val="000000"/>
          <w:kern w:val="0"/>
          <w:sz w:val="44"/>
          <w:szCs w:val="44"/>
          <w:lang w:eastAsia="zh-CN"/>
        </w:rPr>
        <w:t>第四部分</w:t>
      </w:r>
      <w:r>
        <w:rPr>
          <w:rFonts w:hint="eastAsia" w:ascii="黑体" w:hAnsi="宋体" w:eastAsia="黑体"/>
          <w:color w:val="000000"/>
          <w:kern w:val="0"/>
          <w:sz w:val="44"/>
          <w:szCs w:val="44"/>
        </w:rPr>
        <w:t>专业名词解释</w:t>
      </w:r>
    </w:p>
    <w:p>
      <w:pPr>
        <w:numPr>
          <w:ilvl w:val="0"/>
          <w:numId w:val="0"/>
        </w:numPr>
        <w:jc w:val="center"/>
        <w:rPr>
          <w:rFonts w:hint="eastAsia"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示例：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调整预算数：</w:t>
      </w:r>
      <w:r>
        <w:rPr>
          <w:rFonts w:hint="eastAsia" w:ascii="仿宋_GB2312" w:hAnsi="宋体" w:eastAsia="仿宋_GB2312"/>
          <w:bCs/>
          <w:sz w:val="32"/>
          <w:szCs w:val="32"/>
          <w:highlight w:val="none"/>
        </w:rPr>
        <w:t>填列经调整后的全年预算数，包括年初预算数和预算调增调减数</w:t>
      </w:r>
      <w:r>
        <w:rPr>
          <w:rFonts w:hint="eastAsia" w:ascii="仿宋_GB2312" w:eastAsia="仿宋_GB2312"/>
          <w:bCs/>
          <w:sz w:val="32"/>
          <w:szCs w:val="32"/>
          <w:highlight w:val="none"/>
        </w:rPr>
        <w:t>，即：调整预算数＝年初预算数＋预算调增数－预算调减数</w:t>
      </w:r>
      <w:r>
        <w:rPr>
          <w:rFonts w:hint="eastAsia" w:ascii="仿宋_GB2312" w:hAnsi="宋体" w:eastAsia="仿宋_GB2312"/>
          <w:bCs/>
          <w:sz w:val="32"/>
          <w:szCs w:val="32"/>
          <w:highlight w:val="none"/>
        </w:rPr>
        <w:t>。</w:t>
      </w:r>
    </w:p>
    <w:p>
      <w:pPr>
        <w:widowControl/>
        <w:ind w:firstLine="620" w:firstLineChars="200"/>
        <w:jc w:val="left"/>
        <w:rPr>
          <w:rFonts w:hint="eastAsia" w:ascii="仿宋_GB2312" w:hAnsi="仿宋_GB2312" w:eastAsia="仿宋_GB2312" w:cs="仿宋_GB2312"/>
          <w:color w:val="000000"/>
          <w:kern w:val="0"/>
          <w:sz w:val="31"/>
          <w:szCs w:val="31"/>
          <w:highlight w:val="yellow"/>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楷体" w:hAnsi="楷体" w:eastAsia="楷体" w:cs="楷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7F01F"/>
    <w:multiLevelType w:val="singleLevel"/>
    <w:tmpl w:val="89C7F01F"/>
    <w:lvl w:ilvl="0" w:tentative="0">
      <w:start w:val="1"/>
      <w:numFmt w:val="decimal"/>
      <w:lvlText w:val="%1."/>
      <w:lvlJc w:val="left"/>
      <w:pPr>
        <w:tabs>
          <w:tab w:val="left" w:pos="312"/>
        </w:tabs>
      </w:pPr>
    </w:lvl>
  </w:abstractNum>
  <w:abstractNum w:abstractNumId="1">
    <w:nsid w:val="9F232710"/>
    <w:multiLevelType w:val="singleLevel"/>
    <w:tmpl w:val="9F232710"/>
    <w:lvl w:ilvl="0" w:tentative="0">
      <w:start w:val="1"/>
      <w:numFmt w:val="chineseCounting"/>
      <w:suff w:val="space"/>
      <w:lvlText w:val="第%1部分"/>
      <w:lvlJc w:val="left"/>
      <w:rPr>
        <w:rFonts w:hint="eastAsia"/>
      </w:rPr>
    </w:lvl>
  </w:abstractNum>
  <w:abstractNum w:abstractNumId="2">
    <w:nsid w:val="AC9976CA"/>
    <w:multiLevelType w:val="singleLevel"/>
    <w:tmpl w:val="AC9976CA"/>
    <w:lvl w:ilvl="0" w:tentative="0">
      <w:start w:val="1"/>
      <w:numFmt w:val="chineseCounting"/>
      <w:suff w:val="nothing"/>
      <w:lvlText w:val="%1、"/>
      <w:lvlJc w:val="left"/>
      <w:rPr>
        <w:rFonts w:hint="eastAsia"/>
      </w:rPr>
    </w:lvl>
  </w:abstractNum>
  <w:abstractNum w:abstractNumId="3">
    <w:nsid w:val="1838599E"/>
    <w:multiLevelType w:val="singleLevel"/>
    <w:tmpl w:val="1838599E"/>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ZWQ2YTE5NDAyMmE1YmMxNzgyYjIyYjU2Y2MyMWUifQ=="/>
  </w:docVars>
  <w:rsids>
    <w:rsidRoot w:val="20E506C4"/>
    <w:rsid w:val="00CA3659"/>
    <w:rsid w:val="00D44852"/>
    <w:rsid w:val="010E3361"/>
    <w:rsid w:val="01840A76"/>
    <w:rsid w:val="019001DE"/>
    <w:rsid w:val="01E73B91"/>
    <w:rsid w:val="02586463"/>
    <w:rsid w:val="02B806E5"/>
    <w:rsid w:val="03A7089C"/>
    <w:rsid w:val="047F1934"/>
    <w:rsid w:val="04D806FC"/>
    <w:rsid w:val="04DB464C"/>
    <w:rsid w:val="068B7849"/>
    <w:rsid w:val="07292B29"/>
    <w:rsid w:val="07422AC4"/>
    <w:rsid w:val="07B61C44"/>
    <w:rsid w:val="07E62B40"/>
    <w:rsid w:val="08134E54"/>
    <w:rsid w:val="08586301"/>
    <w:rsid w:val="086C1E64"/>
    <w:rsid w:val="093E0634"/>
    <w:rsid w:val="09F56D6B"/>
    <w:rsid w:val="0A557F81"/>
    <w:rsid w:val="0BA7522A"/>
    <w:rsid w:val="0C2C1F1F"/>
    <w:rsid w:val="0C2D7704"/>
    <w:rsid w:val="0CBF74DF"/>
    <w:rsid w:val="0D047580"/>
    <w:rsid w:val="0D0C2BC4"/>
    <w:rsid w:val="0DBA6E85"/>
    <w:rsid w:val="0DC72692"/>
    <w:rsid w:val="0E2B5C83"/>
    <w:rsid w:val="0EC368FB"/>
    <w:rsid w:val="0ECE423F"/>
    <w:rsid w:val="0EF5200E"/>
    <w:rsid w:val="102B6DF1"/>
    <w:rsid w:val="110671B9"/>
    <w:rsid w:val="120E784D"/>
    <w:rsid w:val="12184E79"/>
    <w:rsid w:val="127F68D6"/>
    <w:rsid w:val="12B26A30"/>
    <w:rsid w:val="13753E1B"/>
    <w:rsid w:val="13BA2CC9"/>
    <w:rsid w:val="14174CED"/>
    <w:rsid w:val="153674A4"/>
    <w:rsid w:val="15916C1F"/>
    <w:rsid w:val="16921B06"/>
    <w:rsid w:val="178E4E9E"/>
    <w:rsid w:val="178F31FD"/>
    <w:rsid w:val="18281798"/>
    <w:rsid w:val="18634A0D"/>
    <w:rsid w:val="18BC4DAB"/>
    <w:rsid w:val="18E20488"/>
    <w:rsid w:val="191A102A"/>
    <w:rsid w:val="19DA40E6"/>
    <w:rsid w:val="1A5410C4"/>
    <w:rsid w:val="1A6178A4"/>
    <w:rsid w:val="1A913AE8"/>
    <w:rsid w:val="1AF22409"/>
    <w:rsid w:val="1B055B6B"/>
    <w:rsid w:val="1CBA09BB"/>
    <w:rsid w:val="1CC315DB"/>
    <w:rsid w:val="1D8B0C78"/>
    <w:rsid w:val="1E6E4C3B"/>
    <w:rsid w:val="1E711180"/>
    <w:rsid w:val="1E7D6429"/>
    <w:rsid w:val="1F1A1F49"/>
    <w:rsid w:val="1F226BC7"/>
    <w:rsid w:val="1FE94670"/>
    <w:rsid w:val="20236F2E"/>
    <w:rsid w:val="20B96E79"/>
    <w:rsid w:val="20E506C4"/>
    <w:rsid w:val="21E922E4"/>
    <w:rsid w:val="220031EB"/>
    <w:rsid w:val="22551999"/>
    <w:rsid w:val="2256467C"/>
    <w:rsid w:val="23371961"/>
    <w:rsid w:val="23610FD3"/>
    <w:rsid w:val="236267D8"/>
    <w:rsid w:val="23857D2F"/>
    <w:rsid w:val="24171B10"/>
    <w:rsid w:val="24537A42"/>
    <w:rsid w:val="245918C8"/>
    <w:rsid w:val="246B06D0"/>
    <w:rsid w:val="24861FF8"/>
    <w:rsid w:val="256264C3"/>
    <w:rsid w:val="262C087E"/>
    <w:rsid w:val="2642696E"/>
    <w:rsid w:val="2660352B"/>
    <w:rsid w:val="27345405"/>
    <w:rsid w:val="287C13F1"/>
    <w:rsid w:val="28C03F87"/>
    <w:rsid w:val="28E71CD7"/>
    <w:rsid w:val="28FB2AB2"/>
    <w:rsid w:val="295415FA"/>
    <w:rsid w:val="29D65047"/>
    <w:rsid w:val="2A7F5B56"/>
    <w:rsid w:val="2BFF61D7"/>
    <w:rsid w:val="2C1E58CB"/>
    <w:rsid w:val="2C366C63"/>
    <w:rsid w:val="2C8F7948"/>
    <w:rsid w:val="2CF051FA"/>
    <w:rsid w:val="2D38229C"/>
    <w:rsid w:val="2D62741D"/>
    <w:rsid w:val="2DA368D1"/>
    <w:rsid w:val="2DF854D4"/>
    <w:rsid w:val="2EC53938"/>
    <w:rsid w:val="2F3F7267"/>
    <w:rsid w:val="30DF4759"/>
    <w:rsid w:val="32370DD4"/>
    <w:rsid w:val="324878CF"/>
    <w:rsid w:val="326B0A0B"/>
    <w:rsid w:val="32E651BA"/>
    <w:rsid w:val="32F51E2E"/>
    <w:rsid w:val="3339709D"/>
    <w:rsid w:val="333C204A"/>
    <w:rsid w:val="339F628F"/>
    <w:rsid w:val="33B06F9D"/>
    <w:rsid w:val="3504022C"/>
    <w:rsid w:val="350A5D93"/>
    <w:rsid w:val="3669223E"/>
    <w:rsid w:val="366C12FC"/>
    <w:rsid w:val="37000267"/>
    <w:rsid w:val="373B04F2"/>
    <w:rsid w:val="373E3750"/>
    <w:rsid w:val="390A5D5B"/>
    <w:rsid w:val="39504A81"/>
    <w:rsid w:val="39BE5AB2"/>
    <w:rsid w:val="3AFB7F86"/>
    <w:rsid w:val="3B021C6B"/>
    <w:rsid w:val="3B0C2B2C"/>
    <w:rsid w:val="3BA3564B"/>
    <w:rsid w:val="3BFC6DCC"/>
    <w:rsid w:val="3C067D8D"/>
    <w:rsid w:val="3C2A0720"/>
    <w:rsid w:val="3C446E8B"/>
    <w:rsid w:val="3C7A6DAB"/>
    <w:rsid w:val="3D380F19"/>
    <w:rsid w:val="3D4E2733"/>
    <w:rsid w:val="3D904069"/>
    <w:rsid w:val="3DB01CC2"/>
    <w:rsid w:val="3E3479B1"/>
    <w:rsid w:val="3E3F696B"/>
    <w:rsid w:val="3ED56FAF"/>
    <w:rsid w:val="3F034EFD"/>
    <w:rsid w:val="3F0D2807"/>
    <w:rsid w:val="3FCA23EC"/>
    <w:rsid w:val="40871E38"/>
    <w:rsid w:val="41942E54"/>
    <w:rsid w:val="424D60E4"/>
    <w:rsid w:val="42DF3ED1"/>
    <w:rsid w:val="42FA4769"/>
    <w:rsid w:val="433A1366"/>
    <w:rsid w:val="43BC1030"/>
    <w:rsid w:val="43BF7D37"/>
    <w:rsid w:val="4447106E"/>
    <w:rsid w:val="44786400"/>
    <w:rsid w:val="44BC5B5B"/>
    <w:rsid w:val="455734BD"/>
    <w:rsid w:val="4595018C"/>
    <w:rsid w:val="4610593D"/>
    <w:rsid w:val="46353C23"/>
    <w:rsid w:val="46F82343"/>
    <w:rsid w:val="47964FBE"/>
    <w:rsid w:val="47A141F9"/>
    <w:rsid w:val="482E2C6E"/>
    <w:rsid w:val="48F12D42"/>
    <w:rsid w:val="49616AEF"/>
    <w:rsid w:val="49915349"/>
    <w:rsid w:val="49DB26F6"/>
    <w:rsid w:val="49EA6175"/>
    <w:rsid w:val="4A1752A2"/>
    <w:rsid w:val="4A583C8E"/>
    <w:rsid w:val="4AB663FF"/>
    <w:rsid w:val="4AC94221"/>
    <w:rsid w:val="4B1431E8"/>
    <w:rsid w:val="4B18398F"/>
    <w:rsid w:val="4B1D404D"/>
    <w:rsid w:val="4BA62E25"/>
    <w:rsid w:val="4BC56EF7"/>
    <w:rsid w:val="4BCF243C"/>
    <w:rsid w:val="4C8F1C6B"/>
    <w:rsid w:val="4D9D33EE"/>
    <w:rsid w:val="4DAC3D0C"/>
    <w:rsid w:val="4E1826EB"/>
    <w:rsid w:val="502162E1"/>
    <w:rsid w:val="50446E39"/>
    <w:rsid w:val="50C46A00"/>
    <w:rsid w:val="50C62B98"/>
    <w:rsid w:val="51AA47B2"/>
    <w:rsid w:val="51C1525F"/>
    <w:rsid w:val="52AC7AB3"/>
    <w:rsid w:val="52C8312A"/>
    <w:rsid w:val="532511AB"/>
    <w:rsid w:val="54207C4C"/>
    <w:rsid w:val="544D3043"/>
    <w:rsid w:val="54722E94"/>
    <w:rsid w:val="54890396"/>
    <w:rsid w:val="555C235D"/>
    <w:rsid w:val="55BC39C0"/>
    <w:rsid w:val="561550C1"/>
    <w:rsid w:val="572016AE"/>
    <w:rsid w:val="57E3761C"/>
    <w:rsid w:val="58BC6C35"/>
    <w:rsid w:val="58E26FD5"/>
    <w:rsid w:val="59477A05"/>
    <w:rsid w:val="595A5BCE"/>
    <w:rsid w:val="596D661C"/>
    <w:rsid w:val="59836C48"/>
    <w:rsid w:val="59C246B5"/>
    <w:rsid w:val="5A610FED"/>
    <w:rsid w:val="5AD32C36"/>
    <w:rsid w:val="5C252D34"/>
    <w:rsid w:val="5C8073CA"/>
    <w:rsid w:val="5C8207EE"/>
    <w:rsid w:val="5C85137D"/>
    <w:rsid w:val="5D7F0889"/>
    <w:rsid w:val="5DBC131F"/>
    <w:rsid w:val="5DF34FA9"/>
    <w:rsid w:val="5E7E3630"/>
    <w:rsid w:val="5F5027A5"/>
    <w:rsid w:val="604B4D81"/>
    <w:rsid w:val="6151303A"/>
    <w:rsid w:val="618A6433"/>
    <w:rsid w:val="625B2DA2"/>
    <w:rsid w:val="636A5BE2"/>
    <w:rsid w:val="6516448E"/>
    <w:rsid w:val="65706DA4"/>
    <w:rsid w:val="664C1E33"/>
    <w:rsid w:val="66611474"/>
    <w:rsid w:val="671B1623"/>
    <w:rsid w:val="671E745B"/>
    <w:rsid w:val="68725B49"/>
    <w:rsid w:val="68777ACE"/>
    <w:rsid w:val="692B7805"/>
    <w:rsid w:val="696473D9"/>
    <w:rsid w:val="6977251D"/>
    <w:rsid w:val="697876A2"/>
    <w:rsid w:val="69A157A9"/>
    <w:rsid w:val="6AF21D88"/>
    <w:rsid w:val="6B3A19DE"/>
    <w:rsid w:val="6B3B79EC"/>
    <w:rsid w:val="6C875E70"/>
    <w:rsid w:val="6CAD3A0C"/>
    <w:rsid w:val="6DC7259C"/>
    <w:rsid w:val="6E82467D"/>
    <w:rsid w:val="6EAC6681"/>
    <w:rsid w:val="6EB546C3"/>
    <w:rsid w:val="6F094735"/>
    <w:rsid w:val="6F3715E2"/>
    <w:rsid w:val="6F4F2D6C"/>
    <w:rsid w:val="6FF43359"/>
    <w:rsid w:val="70D566CD"/>
    <w:rsid w:val="70EA4662"/>
    <w:rsid w:val="71840673"/>
    <w:rsid w:val="71C9684A"/>
    <w:rsid w:val="723534D6"/>
    <w:rsid w:val="72647864"/>
    <w:rsid w:val="727B2914"/>
    <w:rsid w:val="72856C98"/>
    <w:rsid w:val="72CC2CB1"/>
    <w:rsid w:val="72E47E81"/>
    <w:rsid w:val="73431FE5"/>
    <w:rsid w:val="74F620C5"/>
    <w:rsid w:val="7594634B"/>
    <w:rsid w:val="75B86FF9"/>
    <w:rsid w:val="760A19E3"/>
    <w:rsid w:val="76301274"/>
    <w:rsid w:val="7687055C"/>
    <w:rsid w:val="76D06209"/>
    <w:rsid w:val="76DF5587"/>
    <w:rsid w:val="77285EAB"/>
    <w:rsid w:val="778B0394"/>
    <w:rsid w:val="77C43856"/>
    <w:rsid w:val="781E3916"/>
    <w:rsid w:val="791C4BA8"/>
    <w:rsid w:val="79861760"/>
    <w:rsid w:val="79DA500A"/>
    <w:rsid w:val="7A7921D3"/>
    <w:rsid w:val="7A9354C5"/>
    <w:rsid w:val="7B465659"/>
    <w:rsid w:val="7B6D5E4A"/>
    <w:rsid w:val="7CC00C24"/>
    <w:rsid w:val="7D91393A"/>
    <w:rsid w:val="7DDA6532"/>
    <w:rsid w:val="7E08083A"/>
    <w:rsid w:val="7E8C0663"/>
    <w:rsid w:val="7F203382"/>
    <w:rsid w:val="7F8F0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font11"/>
    <w:basedOn w:val="8"/>
    <w:qFormat/>
    <w:uiPriority w:val="0"/>
    <w:rPr>
      <w:rFonts w:hint="eastAsia" w:ascii="宋体" w:hAnsi="宋体" w:eastAsia="宋体" w:cs="宋体"/>
      <w:b/>
      <w:color w:val="000000"/>
      <w:sz w:val="32"/>
      <w:szCs w:val="32"/>
      <w:u w:val="none"/>
    </w:rPr>
  </w:style>
  <w:style w:type="character" w:customStyle="1" w:styleId="11">
    <w:name w:val="font91"/>
    <w:basedOn w:val="8"/>
    <w:qFormat/>
    <w:uiPriority w:val="0"/>
    <w:rPr>
      <w:rFonts w:hint="eastAsia" w:ascii="宋体" w:hAnsi="宋体" w:eastAsia="宋体" w:cs="宋体"/>
      <w:color w:val="000000"/>
      <w:sz w:val="32"/>
      <w:szCs w:val="32"/>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2"/>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人员结构</a:t>
            </a:r>
          </a:p>
        </c:rich>
      </c:tx>
      <c:layout>
        <c:manualLayout>
          <c:xMode val="edge"/>
          <c:yMode val="edge"/>
          <c:x val="0.0655"/>
          <c:y val="0.045"/>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行政编制</c:v>
                </c:pt>
                <c:pt idx="1">
                  <c:v>事业编制</c:v>
                </c:pt>
              </c:strCache>
            </c:strRef>
          </c:cat>
          <c:val>
            <c:numRef>
              <c:f>Sheet1!$B$2:$B$3</c:f>
              <c:numCache>
                <c:formatCode>General</c:formatCode>
                <c:ptCount val="2"/>
                <c:pt idx="0">
                  <c:v>7</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t>年收支与</a:t>
            </a:r>
            <a:r>
              <a:rPr lang="en-US" altLang="zh-CN"/>
              <a:t>2020</a:t>
            </a:r>
            <a:r>
              <a:t>年情况对比图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1793.69</c:v>
                </c:pt>
                <c:pt idx="1">
                  <c:v>2183.69</c:v>
                </c:pt>
              </c:numCache>
            </c:numRef>
          </c:val>
        </c:ser>
        <c:ser>
          <c:idx val="1"/>
          <c:order val="1"/>
          <c:tx>
            <c:strRef>
              <c:f>Sheet1!$C$1</c:f>
              <c:strCache>
                <c:ptCount val="1"/>
                <c:pt idx="0">
                  <c:v>2021</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1640.62</c:v>
                </c:pt>
                <c:pt idx="1">
                  <c:v>1640.62</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23278940"/>
        <c:axId val="829754290"/>
      </c:barChart>
      <c:catAx>
        <c:axId val="232789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9754290"/>
        <c:crosses val="autoZero"/>
        <c:auto val="1"/>
        <c:lblAlgn val="ctr"/>
        <c:lblOffset val="100"/>
        <c:noMultiLvlLbl val="0"/>
      </c:catAx>
      <c:valAx>
        <c:axId val="82975429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278940"/>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收入构成</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财政拨款收入</c:v>
                </c:pt>
                <c:pt idx="1">
                  <c:v>事业收入</c:v>
                </c:pt>
                <c:pt idx="2">
                  <c:v>经营经营收入</c:v>
                </c:pt>
                <c:pt idx="3">
                  <c:v>其他收入</c:v>
                </c:pt>
              </c:strCache>
            </c:strRef>
          </c:cat>
          <c:val>
            <c:numRef>
              <c:f>Sheet1!$B$2:$B$5</c:f>
              <c:numCache>
                <c:formatCode>General</c:formatCode>
                <c:ptCount val="4"/>
                <c:pt idx="0">
                  <c:v>1793.69</c:v>
                </c:pt>
                <c:pt idx="1">
                  <c:v>0</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支出构成</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基本支出</c:v>
                </c:pt>
                <c:pt idx="1">
                  <c:v>项目支出</c:v>
                </c:pt>
                <c:pt idx="2">
                  <c:v>经营支出</c:v>
                </c:pt>
              </c:strCache>
            </c:strRef>
          </c:cat>
          <c:val>
            <c:numRef>
              <c:f>Sheet1!$B$2:$B$4</c:f>
              <c:numCache>
                <c:formatCode>General</c:formatCode>
                <c:ptCount val="3"/>
                <c:pt idx="0">
                  <c:v>125.24</c:v>
                </c:pt>
                <c:pt idx="1">
                  <c:v>1515.38</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本年财政拨款收支与上年情况对比图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delete val="1"/>
          </c:dLbls>
          <c:cat>
            <c:strRef>
              <c:f>Sheet1!$A$2:$A$3</c:f>
              <c:strCache>
                <c:ptCount val="2"/>
                <c:pt idx="0">
                  <c:v>财政拨款收入</c:v>
                </c:pt>
                <c:pt idx="1">
                  <c:v>财政拨款支出</c:v>
                </c:pt>
              </c:strCache>
            </c:strRef>
          </c:cat>
          <c:val>
            <c:numRef>
              <c:f>Sheet1!$B$2:$B$3</c:f>
              <c:numCache>
                <c:formatCode>General</c:formatCode>
                <c:ptCount val="2"/>
                <c:pt idx="0">
                  <c:v>1640.62</c:v>
                </c:pt>
                <c:pt idx="1">
                  <c:v>1640.62</c:v>
                </c:pt>
              </c:numCache>
            </c:numRef>
          </c:val>
        </c:ser>
        <c:ser>
          <c:idx val="1"/>
          <c:order val="1"/>
          <c:tx>
            <c:strRef>
              <c:f>Sheet1!$C$1</c:f>
              <c:strCache>
                <c:ptCount val="1"/>
                <c:pt idx="0">
                  <c:v>2020</c:v>
                </c:pt>
              </c:strCache>
            </c:strRef>
          </c:tx>
          <c:spPr>
            <a:solidFill>
              <a:schemeClr val="accent2"/>
            </a:solidFill>
            <a:ln>
              <a:noFill/>
            </a:ln>
            <a:effectLst/>
          </c:spPr>
          <c:invertIfNegative val="0"/>
          <c:dLbls>
            <c:delete val="1"/>
          </c:dLbls>
          <c:cat>
            <c:strRef>
              <c:f>Sheet1!$A$2:$A$3</c:f>
              <c:strCache>
                <c:ptCount val="2"/>
                <c:pt idx="0">
                  <c:v>财政拨款收入</c:v>
                </c:pt>
                <c:pt idx="1">
                  <c:v>财政拨款支出</c:v>
                </c:pt>
              </c:strCache>
            </c:strRef>
          </c:cat>
          <c:val>
            <c:numRef>
              <c:f>Sheet1!$C$2:$C$3</c:f>
              <c:numCache>
                <c:formatCode>General</c:formatCode>
                <c:ptCount val="2"/>
                <c:pt idx="0">
                  <c:v>1793.69</c:v>
                </c:pt>
                <c:pt idx="1">
                  <c:v>2183.69</c:v>
                </c:pt>
              </c:numCache>
            </c:numRef>
          </c:val>
        </c:ser>
        <c:dLbls>
          <c:showLegendKey val="0"/>
          <c:showVal val="0"/>
          <c:showCatName val="0"/>
          <c:showSerName val="0"/>
          <c:showPercent val="0"/>
          <c:showBubbleSize val="0"/>
        </c:dLbls>
        <c:gapWidth val="219"/>
        <c:overlap val="-27"/>
        <c:axId val="646460787"/>
        <c:axId val="467156706"/>
      </c:barChart>
      <c:catAx>
        <c:axId val="6464607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156706"/>
        <c:crosses val="autoZero"/>
        <c:auto val="1"/>
        <c:lblAlgn val="ctr"/>
        <c:lblOffset val="100"/>
        <c:noMultiLvlLbl val="0"/>
      </c:catAx>
      <c:valAx>
        <c:axId val="46715670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646078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一般公共预算财政拨款支出决算与上年对比图</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delete val="1"/>
          </c:dLbls>
          <c:cat>
            <c:strRef>
              <c:f>Sheet1!$A$2</c:f>
              <c:strCache>
                <c:ptCount val="1"/>
                <c:pt idx="0">
                  <c:v>财政拨款支出</c:v>
                </c:pt>
              </c:strCache>
            </c:strRef>
          </c:cat>
          <c:val>
            <c:numRef>
              <c:f>Sheet1!$B$2</c:f>
              <c:numCache>
                <c:formatCode>General</c:formatCode>
                <c:ptCount val="1"/>
                <c:pt idx="0">
                  <c:v>1527.7</c:v>
                </c:pt>
              </c:numCache>
            </c:numRef>
          </c:val>
        </c:ser>
        <c:ser>
          <c:idx val="1"/>
          <c:order val="1"/>
          <c:tx>
            <c:strRef>
              <c:f>Sheet1!$C$1</c:f>
              <c:strCache>
                <c:ptCount val="1"/>
                <c:pt idx="0">
                  <c:v>2020</c:v>
                </c:pt>
              </c:strCache>
            </c:strRef>
          </c:tx>
          <c:spPr>
            <a:solidFill>
              <a:schemeClr val="accent2"/>
            </a:solidFill>
            <a:ln>
              <a:noFill/>
            </a:ln>
            <a:effectLst/>
          </c:spPr>
          <c:invertIfNegative val="0"/>
          <c:dLbls>
            <c:delete val="1"/>
          </c:dLbls>
          <c:cat>
            <c:strRef>
              <c:f>Sheet1!$A$2</c:f>
              <c:strCache>
                <c:ptCount val="1"/>
                <c:pt idx="0">
                  <c:v>财政拨款支出</c:v>
                </c:pt>
              </c:strCache>
            </c:strRef>
          </c:cat>
          <c:val>
            <c:numRef>
              <c:f>Sheet1!$C$2</c:f>
              <c:numCache>
                <c:formatCode>General</c:formatCode>
                <c:ptCount val="1"/>
                <c:pt idx="0">
                  <c:v>2183.69</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c:f>
              <c:strCache>
                <c:ptCount val="1"/>
                <c:pt idx="0">
                  <c:v>财政拨款支出</c:v>
                </c:pt>
              </c:strCache>
            </c:strRef>
          </c:cat>
          <c:val>
            <c:numRef>
              <c:f>Sheet1!$D$2</c:f>
              <c:numCache>
                <c:formatCode>General</c:formatCode>
                <c:ptCount val="1"/>
              </c:numCache>
            </c:numRef>
          </c:val>
        </c:ser>
        <c:dLbls>
          <c:showLegendKey val="0"/>
          <c:showVal val="0"/>
          <c:showCatName val="0"/>
          <c:showSerName val="0"/>
          <c:showPercent val="0"/>
          <c:showBubbleSize val="0"/>
        </c:dLbls>
        <c:gapWidth val="219"/>
        <c:overlap val="-27"/>
        <c:axId val="340545925"/>
        <c:axId val="952925650"/>
      </c:barChart>
      <c:catAx>
        <c:axId val="3405459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2925650"/>
        <c:crosses val="autoZero"/>
        <c:auto val="1"/>
        <c:lblAlgn val="ctr"/>
        <c:lblOffset val="100"/>
        <c:noMultiLvlLbl val="0"/>
      </c:catAx>
      <c:valAx>
        <c:axId val="95292565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54592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经费支出情况</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因公出国（境）费</c:v>
                </c:pt>
                <c:pt idx="1">
                  <c:v>公务用车运行维护费</c:v>
                </c:pt>
                <c:pt idx="2">
                  <c:v>公务接待费</c:v>
                </c:pt>
                <c:pt idx="3">
                  <c:v>公务用车购置费</c:v>
                </c:pt>
              </c:strCache>
            </c:strRef>
          </c:cat>
          <c:val>
            <c:numRef>
              <c:f>Sheet1!$B$2:$B$5</c:f>
              <c:numCache>
                <c:formatCode>General</c:formatCode>
                <c:ptCount val="4"/>
                <c:pt idx="0">
                  <c:v>0</c:v>
                </c:pt>
                <c:pt idx="1">
                  <c:v>1.92</c:v>
                </c:pt>
                <c:pt idx="2">
                  <c:v>0.17</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10299</Words>
  <Characters>13184</Characters>
  <Lines>0</Lines>
  <Paragraphs>0</Paragraphs>
  <TotalTime>17</TotalTime>
  <ScaleCrop>false</ScaleCrop>
  <LinksUpToDate>false</LinksUpToDate>
  <CharactersWithSpaces>14143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宝宝爱朵拉</cp:lastModifiedBy>
  <cp:lastPrinted>2022-09-30T08:40:06Z</cp:lastPrinted>
  <dcterms:modified xsi:type="dcterms:W3CDTF">2022-09-30T08:56:37Z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C59B3CA2EF5540999361023A2665CAB7</vt:lpwstr>
  </property>
</Properties>
</file>