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b w:val="0"/>
          <w:bCs w:val="0"/>
          <w:sz w:val="44"/>
          <w:szCs w:val="44"/>
          <w:lang w:val="en-US" w:eastAsia="zh-CN"/>
        </w:rPr>
      </w:pPr>
      <w:r>
        <w:rPr>
          <w:rStyle w:val="9"/>
          <w:rFonts w:hint="eastAsia" w:ascii="方正小标宋简体" w:hAnsi="方正小标宋简体" w:eastAsia="方正小标宋简体" w:cs="方正小标宋简体"/>
          <w:sz w:val="44"/>
          <w:szCs w:val="44"/>
        </w:rPr>
        <w:t>阎良区文化和旅游体育局</w:t>
      </w:r>
      <w:r>
        <w:rPr>
          <w:rStyle w:val="9"/>
          <w:rFonts w:hint="eastAsia" w:ascii="方正小标宋简体" w:hAnsi="方正小标宋简体" w:eastAsia="方正小标宋简体" w:cs="方正小标宋简体"/>
          <w:sz w:val="44"/>
          <w:szCs w:val="44"/>
          <w:lang w:val="en-US" w:eastAsia="zh-CN"/>
        </w:rPr>
        <w:t>(汇总）</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w:t>
      </w:r>
      <w:r>
        <w:rPr>
          <w:rStyle w:val="9"/>
          <w:rFonts w:hint="eastAsia" w:ascii="方正小标宋简体" w:hAnsi="方正小标宋简体" w:eastAsia="方正小标宋简体" w:cs="方正小标宋简体"/>
          <w:color w:val="000000"/>
          <w:sz w:val="44"/>
          <w:szCs w:val="44"/>
          <w:lang w:val="en-US" w:eastAsia="zh-CN"/>
        </w:rPr>
        <w:t>21</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249" w:firstLineChars="70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highlight w:val="none"/>
          <w:lang w:eastAsia="zh-CN"/>
        </w:rPr>
        <w:t>已审查</w:t>
      </w:r>
    </w:p>
    <w:p>
      <w:pPr>
        <w:spacing w:line="400" w:lineRule="exact"/>
        <w:jc w:val="center"/>
        <w:rPr>
          <w:rFonts w:hint="eastAsia" w:asciiTheme="minorEastAsia" w:hAnsiTheme="minorEastAsia" w:eastAsiaTheme="minorEastAsia" w:cstheme="minorEastAsia"/>
          <w:b/>
          <w:bCs/>
          <w:sz w:val="32"/>
          <w:szCs w:val="32"/>
          <w:highlight w:val="yellow"/>
        </w:rPr>
      </w:pPr>
    </w:p>
    <w:p>
      <w:pPr>
        <w:spacing w:line="400" w:lineRule="exact"/>
        <w:ind w:firstLine="2088" w:firstLineChars="650"/>
        <w:rPr>
          <w:rFonts w:ascii="黑体" w:hAnsi="宋体" w:eastAsia="黑体"/>
          <w:b/>
          <w:color w:val="000000"/>
          <w:kern w:val="0"/>
          <w:sz w:val="56"/>
          <w:szCs w:val="56"/>
          <w:highlight w:val="none"/>
          <w:lang w:bidi="ar"/>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highlight w:val="none"/>
          <w:lang w:eastAsia="zh-CN"/>
        </w:rPr>
        <w:t>已审签</w:t>
      </w:r>
    </w:p>
    <w:p>
      <w:pPr>
        <w:jc w:val="both"/>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pPr>
      <w:r>
        <w:rPr>
          <w:rFonts w:hint="eastAsia" w:ascii="黑体" w:hAnsi="宋体" w:eastAsia="黑体"/>
          <w:color w:val="000000"/>
          <w:kern w:val="0"/>
          <w:szCs w:val="32"/>
        </w:rPr>
        <w:t xml:space="preserve">第一部分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rPr>
        <w:t>部门概况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pPr>
      <w:r>
        <w:rPr>
          <w:rFonts w:hint="eastAsia" w:ascii="黑体" w:hAnsi="宋体" w:eastAsia="黑体"/>
          <w:color w:val="000000"/>
          <w:kern w:val="0"/>
          <w:szCs w:val="32"/>
        </w:rPr>
        <w:t xml:space="preserve">第二部分  </w:t>
      </w:r>
      <w:r>
        <w:rPr>
          <w:rFonts w:hint="eastAsia" w:ascii="黑体" w:hAnsi="宋体" w:eastAsia="黑体"/>
          <w:color w:val="000000"/>
          <w:kern w:val="0"/>
          <w:szCs w:val="32"/>
          <w:lang w:eastAsia="zh-CN"/>
        </w:rPr>
        <w:t>202</w:t>
      </w:r>
      <w:r>
        <w:rPr>
          <w:rFonts w:hint="eastAsia" w:ascii="黑体" w:hAnsi="宋体" w:eastAsia="黑体"/>
          <w:color w:val="000000"/>
          <w:kern w:val="0"/>
          <w:szCs w:val="32"/>
          <w:lang w:val="en-US" w:eastAsia="zh-CN"/>
        </w:rPr>
        <w:t>1</w:t>
      </w:r>
      <w:r>
        <w:rPr>
          <w:rFonts w:hint="eastAsia" w:ascii="黑体" w:hAnsi="宋体" w:eastAsia="黑体"/>
          <w:color w:val="000000"/>
          <w:kern w:val="0"/>
          <w:szCs w:val="32"/>
          <w:lang w:eastAsia="zh-CN"/>
        </w:rPr>
        <w:t>年</w:t>
      </w:r>
      <w:r>
        <w:rPr>
          <w:rFonts w:hint="eastAsia" w:ascii="黑体" w:hAnsi="宋体" w:eastAsia="黑体"/>
          <w:color w:val="000000"/>
          <w:kern w:val="0"/>
          <w:szCs w:val="32"/>
        </w:rPr>
        <w:t>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九、国有资本经营预算财政拨款支出决算表</w:t>
      </w:r>
    </w:p>
    <w:p>
      <w:pPr>
        <w:widowControl/>
        <w:spacing w:line="360" w:lineRule="auto"/>
        <w:jc w:val="center"/>
      </w:pPr>
      <w:r>
        <w:rPr>
          <w:rFonts w:hint="eastAsia" w:ascii="黑体" w:hAnsi="宋体" w:eastAsia="黑体"/>
          <w:color w:val="000000"/>
          <w:kern w:val="0"/>
          <w:szCs w:val="32"/>
        </w:rPr>
        <w:t xml:space="preserve">第三部分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lang w:eastAsia="zh-CN"/>
        </w:rPr>
        <w:t>202</w:t>
      </w:r>
      <w:r>
        <w:rPr>
          <w:rFonts w:hint="eastAsia" w:ascii="黑体" w:hAnsi="宋体" w:eastAsia="黑体"/>
          <w:color w:val="000000"/>
          <w:kern w:val="0"/>
          <w:szCs w:val="32"/>
          <w:lang w:val="en-US" w:eastAsia="zh-CN"/>
        </w:rPr>
        <w:t>1</w:t>
      </w:r>
      <w:r>
        <w:rPr>
          <w:rFonts w:hint="eastAsia" w:ascii="黑体" w:hAnsi="宋体" w:eastAsia="黑体"/>
          <w:color w:val="000000"/>
          <w:kern w:val="0"/>
          <w:szCs w:val="32"/>
          <w:lang w:eastAsia="zh-CN"/>
        </w:rPr>
        <w:t>年</w:t>
      </w:r>
      <w:r>
        <w:rPr>
          <w:rFonts w:hint="eastAsia" w:ascii="黑体" w:hAnsi="宋体" w:eastAsia="黑体"/>
          <w:color w:val="000000"/>
          <w:kern w:val="0"/>
          <w:szCs w:val="32"/>
        </w:rPr>
        <w:t>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w:t>
      </w:r>
      <w:r>
        <w:rPr>
          <w:rFonts w:hint="eastAsia" w:ascii="仿宋" w:hAnsi="仿宋" w:eastAsia="仿宋" w:cs="楷体"/>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w:t>
      </w:r>
      <w:r>
        <w:rPr>
          <w:rFonts w:hint="eastAsia" w:ascii="仿宋" w:hAnsi="仿宋" w:eastAsia="仿宋" w:cs="楷体"/>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spacing w:line="360" w:lineRule="auto"/>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numPr>
          <w:ilvl w:val="0"/>
          <w:numId w:val="0"/>
        </w:numPr>
        <w:jc w:val="both"/>
        <w:rPr>
          <w:rFonts w:ascii="黑体" w:hAnsi="宋体" w:eastAsia="黑体"/>
          <w:color w:val="000000"/>
          <w:kern w:val="0"/>
          <w:sz w:val="44"/>
          <w:szCs w:val="44"/>
        </w:rPr>
      </w:pP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spacing w:line="578" w:lineRule="exact"/>
        <w:ind w:firstLine="640" w:firstLineChars="200"/>
        <w:rPr>
          <w:rFonts w:ascii="仿宋_GB2312" w:eastAsia="仿宋_GB2312"/>
          <w:szCs w:val="32"/>
        </w:rPr>
      </w:pPr>
      <w:r>
        <w:rPr>
          <w:rFonts w:hint="eastAsia" w:ascii="仿宋_GB2312" w:eastAsia="仿宋_GB2312"/>
          <w:szCs w:val="32"/>
        </w:rPr>
        <w:t>1.贯彻执行文化艺术、体育工作、旅游业、文物保护、广播电视事业的法律法规和方针政策；拟订全区文化艺术、体育工作、旅游、文物、非物质文化遗产保护、文化市场、广播电视事业的发展规划、年度计划并组织实施；拟订有关管理办法并组织实施。</w:t>
      </w:r>
    </w:p>
    <w:p>
      <w:pPr>
        <w:autoSpaceDE w:val="0"/>
        <w:autoSpaceDN w:val="0"/>
        <w:adjustRightInd w:val="0"/>
        <w:spacing w:line="578" w:lineRule="exact"/>
        <w:ind w:firstLine="640"/>
        <w:rPr>
          <w:rFonts w:ascii="仿宋_GB2312" w:eastAsia="仿宋_GB2312" w:cs="仿宋_GB2312"/>
          <w:kern w:val="0"/>
          <w:szCs w:val="32"/>
          <w:lang w:val="zh-CN"/>
        </w:rPr>
      </w:pPr>
      <w:r>
        <w:rPr>
          <w:rFonts w:hint="eastAsia" w:ascii="仿宋_GB2312" w:eastAsia="仿宋_GB2312"/>
          <w:szCs w:val="32"/>
        </w:rPr>
        <w:t>2.负责</w:t>
      </w:r>
      <w:r>
        <w:rPr>
          <w:rFonts w:hint="eastAsia" w:ascii="仿宋_GB2312" w:eastAsia="仿宋_GB2312" w:cs="仿宋_GB2312"/>
          <w:kern w:val="0"/>
          <w:szCs w:val="32"/>
          <w:lang w:val="zh-CN"/>
        </w:rPr>
        <w:t>推进文化和旅游融合发展以及与其他领域的融合发展，推进文化、广播电视、旅游、体育和文物领域体制机制改革；指导、推进全区文化、旅游、体育和文物创新发展，推进文化、旅游、体育和文物行业信息化、标准化建设。</w:t>
      </w:r>
    </w:p>
    <w:p>
      <w:pPr>
        <w:spacing w:line="578" w:lineRule="exact"/>
        <w:ind w:firstLine="640" w:firstLineChars="200"/>
        <w:rPr>
          <w:rFonts w:ascii="仿宋_GB2312" w:eastAsia="仿宋_GB2312"/>
          <w:szCs w:val="32"/>
        </w:rPr>
      </w:pPr>
      <w:r>
        <w:rPr>
          <w:rFonts w:hint="eastAsia" w:ascii="仿宋_GB2312" w:eastAsia="仿宋_GB2312"/>
          <w:szCs w:val="32"/>
        </w:rPr>
        <w:t>3.负责全区文化艺术事业，指导艺术创作与生产，组织管理全区重大文化活动；会同有关部门做好行业内文化产业发展工作；拟订全区文化设施建设布局。</w:t>
      </w:r>
    </w:p>
    <w:p>
      <w:pPr>
        <w:spacing w:line="578" w:lineRule="exact"/>
        <w:ind w:firstLine="640" w:firstLineChars="200"/>
        <w:rPr>
          <w:rFonts w:ascii="仿宋_GB2312" w:eastAsia="仿宋_GB2312"/>
          <w:szCs w:val="32"/>
        </w:rPr>
      </w:pPr>
      <w:r>
        <w:rPr>
          <w:rFonts w:hint="eastAsia" w:ascii="仿宋_GB2312" w:eastAsia="仿宋_GB2312"/>
          <w:szCs w:val="32"/>
        </w:rPr>
        <w:t>4.指导基层和驻区各单位的文化工作，指导区文化馆、图书馆和基层文化建设。</w:t>
      </w:r>
    </w:p>
    <w:p>
      <w:pPr>
        <w:spacing w:line="578" w:lineRule="exact"/>
        <w:ind w:firstLine="640" w:firstLineChars="200"/>
        <w:rPr>
          <w:rFonts w:ascii="仿宋_GB2312" w:eastAsia="仿宋_GB2312"/>
          <w:szCs w:val="32"/>
        </w:rPr>
      </w:pPr>
      <w:r>
        <w:rPr>
          <w:rFonts w:hint="eastAsia" w:ascii="仿宋_GB2312" w:eastAsia="仿宋_GB2312"/>
          <w:szCs w:val="32"/>
        </w:rPr>
        <w:t>5.组织实施非物质文化遗产保护和优秀民族文化的传承普及工作。</w:t>
      </w:r>
    </w:p>
    <w:p>
      <w:pPr>
        <w:spacing w:line="578" w:lineRule="exact"/>
        <w:ind w:firstLine="640" w:firstLineChars="200"/>
        <w:rPr>
          <w:rFonts w:ascii="仿宋_GB2312" w:eastAsia="仿宋_GB2312"/>
          <w:szCs w:val="32"/>
        </w:rPr>
      </w:pPr>
      <w:r>
        <w:rPr>
          <w:rFonts w:hint="eastAsia" w:ascii="仿宋_GB2312" w:eastAsia="仿宋_GB2312"/>
          <w:szCs w:val="32"/>
        </w:rPr>
        <w:t>6.统筹规划全区群众体育发展，负责推行全民健身计划，监督实施国家体育锻炼标准，推动国民体质监测和社会体育指导员队伍建设，指导公共体育设施的建设。</w:t>
      </w:r>
    </w:p>
    <w:p>
      <w:pPr>
        <w:spacing w:line="578" w:lineRule="exact"/>
        <w:ind w:firstLine="640" w:firstLineChars="200"/>
        <w:rPr>
          <w:rFonts w:ascii="仿宋_GB2312" w:eastAsia="仿宋_GB2312"/>
          <w:szCs w:val="32"/>
        </w:rPr>
      </w:pPr>
      <w:r>
        <w:rPr>
          <w:rFonts w:hint="eastAsia" w:ascii="仿宋_GB2312" w:eastAsia="仿宋_GB2312"/>
          <w:szCs w:val="32"/>
        </w:rPr>
        <w:t>7.统筹规划全区竞技体育发展及青少年体育发展，指导和推进青少年体育工作，加强体育后备人才队伍建设；统筹规划体育产业的发展，规范体育服务管理，推动体育标准化建设；负责体育彩票销售管理工作。</w:t>
      </w:r>
    </w:p>
    <w:p>
      <w:pPr>
        <w:spacing w:line="578" w:lineRule="exact"/>
        <w:ind w:firstLine="640" w:firstLineChars="200"/>
        <w:rPr>
          <w:rFonts w:ascii="仿宋_GB2312" w:eastAsia="仿宋_GB2312"/>
          <w:szCs w:val="32"/>
        </w:rPr>
      </w:pPr>
      <w:r>
        <w:rPr>
          <w:rFonts w:hint="eastAsia" w:ascii="仿宋_GB2312" w:eastAsia="仿宋_GB2312"/>
          <w:szCs w:val="32"/>
        </w:rPr>
        <w:t>8.组织全区旅游资源的普查、规划、开发和保护工作，拟订全区旅游业开发规划并组织和协调实施；</w:t>
      </w:r>
      <w:r>
        <w:rPr>
          <w:rFonts w:hint="eastAsia" w:ascii="仿宋_GB2312" w:eastAsia="仿宋_GB2312" w:cs="仿宋_GB2312"/>
          <w:kern w:val="0"/>
          <w:szCs w:val="32"/>
          <w:lang w:val="zh-CN"/>
        </w:rPr>
        <w:t>组织全区旅游形象推广，指导、推进全域旅游</w:t>
      </w:r>
      <w:r>
        <w:rPr>
          <w:rFonts w:hint="eastAsia" w:ascii="仿宋_GB2312" w:eastAsia="仿宋_GB2312"/>
          <w:szCs w:val="32"/>
        </w:rPr>
        <w:t>。</w:t>
      </w:r>
    </w:p>
    <w:p>
      <w:pPr>
        <w:spacing w:line="578" w:lineRule="exact"/>
        <w:ind w:firstLine="640" w:firstLineChars="200"/>
        <w:rPr>
          <w:rFonts w:ascii="仿宋_GB2312" w:eastAsia="仿宋_GB2312"/>
          <w:szCs w:val="32"/>
        </w:rPr>
      </w:pPr>
      <w:r>
        <w:rPr>
          <w:rFonts w:hint="eastAsia" w:ascii="仿宋_GB2312" w:eastAsia="仿宋_GB2312"/>
          <w:szCs w:val="32"/>
        </w:rPr>
        <w:t>9.承担规范全区旅游市场秩序、监督管理服务质量、维护旅游消费者和经营者合法权益的责任；规范全区旅游企业和从业人员的经营和服务行为。</w:t>
      </w:r>
    </w:p>
    <w:p>
      <w:pPr>
        <w:spacing w:line="578" w:lineRule="exact"/>
        <w:ind w:firstLine="640" w:firstLineChars="200"/>
        <w:rPr>
          <w:rFonts w:ascii="仿宋_GB2312" w:eastAsia="仿宋_GB2312"/>
          <w:szCs w:val="32"/>
        </w:rPr>
      </w:pPr>
      <w:r>
        <w:rPr>
          <w:rFonts w:hint="eastAsia" w:ascii="仿宋_GB2312" w:eastAsia="仿宋_GB2312"/>
          <w:szCs w:val="32"/>
        </w:rPr>
        <w:t>10.负责全区旅游安全的综合协调和监督管理，组织实施旅游应急救援工作；指导全区旅游行业精神文明建设和诚信体系建设；组织实施旅游人才培训规划。</w:t>
      </w:r>
    </w:p>
    <w:p>
      <w:pPr>
        <w:spacing w:line="578" w:lineRule="exact"/>
        <w:ind w:firstLine="640" w:firstLineChars="200"/>
        <w:rPr>
          <w:rFonts w:ascii="仿宋_GB2312" w:eastAsia="仿宋_GB2312"/>
          <w:szCs w:val="32"/>
        </w:rPr>
      </w:pPr>
      <w:r>
        <w:rPr>
          <w:rFonts w:hint="eastAsia" w:ascii="仿宋_GB2312" w:eastAsia="仿宋_GB2312"/>
          <w:szCs w:val="32"/>
        </w:rPr>
        <w:t>11.组织文物资源调查，指导和协调全区文物保护工作；履行文物行政执法督察职责，依法组织查处破坏文物的违法行为，配合有关部门查处文物犯罪的重大案件。</w:t>
      </w:r>
    </w:p>
    <w:p>
      <w:pPr>
        <w:spacing w:line="578" w:lineRule="exact"/>
        <w:ind w:firstLine="640" w:firstLineChars="200"/>
        <w:rPr>
          <w:rFonts w:ascii="仿宋_GB2312" w:eastAsia="仿宋_GB2312"/>
          <w:szCs w:val="32"/>
        </w:rPr>
      </w:pPr>
      <w:r>
        <w:rPr>
          <w:rFonts w:hint="eastAsia" w:ascii="仿宋_GB2312" w:eastAsia="仿宋_GB2312"/>
          <w:szCs w:val="32"/>
        </w:rPr>
        <w:t>12.负责申报全区文物保护、考古发掘、古建筑维修项目，指导、督促、检查全区文物和博物馆业务工作，依法监督和管理文物的流通，征集流散文物；管理文物专项经费并监督使用；组织开展文物保护宣传工作。</w:t>
      </w:r>
    </w:p>
    <w:p>
      <w:pPr>
        <w:spacing w:line="578" w:lineRule="exact"/>
        <w:ind w:firstLine="640" w:firstLineChars="200"/>
        <w:rPr>
          <w:rFonts w:ascii="仿宋_GB2312" w:eastAsia="仿宋_GB2312"/>
          <w:szCs w:val="32"/>
        </w:rPr>
      </w:pPr>
      <w:r>
        <w:rPr>
          <w:rFonts w:hint="eastAsia" w:ascii="仿宋_GB2312" w:eastAsia="仿宋_GB2312"/>
          <w:szCs w:val="32"/>
        </w:rPr>
        <w:t>13.负责全区文物相关产业发展项目的有关协调、组织实施及管理工作。</w:t>
      </w:r>
    </w:p>
    <w:p>
      <w:pPr>
        <w:spacing w:line="578" w:lineRule="exact"/>
        <w:ind w:firstLine="640" w:firstLineChars="200"/>
        <w:rPr>
          <w:rFonts w:ascii="仿宋_GB2312" w:eastAsia="仿宋_GB2312"/>
          <w:szCs w:val="32"/>
        </w:rPr>
      </w:pPr>
      <w:r>
        <w:rPr>
          <w:rFonts w:hint="eastAsia" w:ascii="仿宋_GB2312" w:eastAsia="仿宋_GB2312"/>
          <w:szCs w:val="32"/>
        </w:rPr>
        <w:t>14.负责全区各类文化体育娱乐场所经营许可的监管；负责文化市场稽查工作，负责对文化艺术、体育经营活动及演艺活动民办机构的行业监管。</w:t>
      </w:r>
    </w:p>
    <w:p>
      <w:pPr>
        <w:spacing w:line="578" w:lineRule="exact"/>
        <w:ind w:firstLine="640" w:firstLineChars="200"/>
        <w:rPr>
          <w:rFonts w:ascii="仿宋_GB2312" w:eastAsia="仿宋_GB2312"/>
          <w:szCs w:val="32"/>
        </w:rPr>
      </w:pPr>
      <w:r>
        <w:rPr>
          <w:rFonts w:hint="eastAsia" w:ascii="仿宋_GB2312" w:eastAsia="仿宋_GB2312"/>
          <w:szCs w:val="32"/>
        </w:rPr>
        <w:t>15.指导发展全区广播电视事业，负责监管在全区广播电视中播出的节目内容和质量；承担对信息网络视听节目服务和公共视听载体播放节目的业务监督责任；规划和负责广播电视产业的发展。</w:t>
      </w:r>
    </w:p>
    <w:p>
      <w:pPr>
        <w:spacing w:line="578" w:lineRule="exact"/>
        <w:ind w:firstLine="640" w:firstLineChars="200"/>
        <w:rPr>
          <w:rFonts w:ascii="仿宋_GB2312" w:eastAsia="仿宋_GB2312"/>
          <w:szCs w:val="32"/>
        </w:rPr>
      </w:pPr>
      <w:r>
        <w:rPr>
          <w:rFonts w:hint="eastAsia" w:ascii="仿宋_GB2312" w:eastAsia="仿宋_GB2312"/>
          <w:szCs w:val="32"/>
        </w:rPr>
        <w:t>16负责管理全区广播电台、电视台、卫星地面接收站、有线电视台的建立、撤销和违法查处工作；指导、协调广播电视科学研究、技术发展、基本建设等方面的工作。</w:t>
      </w:r>
    </w:p>
    <w:p>
      <w:pPr>
        <w:spacing w:line="578" w:lineRule="exact"/>
        <w:ind w:firstLine="640" w:firstLineChars="200"/>
        <w:rPr>
          <w:rFonts w:ascii="仿宋_GB2312" w:eastAsia="仿宋_GB2312" w:cs="仿宋_GB2312"/>
          <w:kern w:val="0"/>
          <w:szCs w:val="32"/>
          <w:lang w:val="zh-CN"/>
        </w:rPr>
      </w:pPr>
      <w:r>
        <w:rPr>
          <w:rFonts w:hint="eastAsia" w:ascii="仿宋_GB2312" w:eastAsia="仿宋_GB2312" w:cs="仿宋_GB2312"/>
          <w:kern w:val="0"/>
          <w:szCs w:val="32"/>
          <w:lang w:val="zh-CN"/>
        </w:rPr>
        <w:t>17指导、管理全区文化、广播电视、旅游、体育和文物事业的对外及对港澳台交流、合作和宣传、推广工作。</w:t>
      </w:r>
    </w:p>
    <w:p>
      <w:pPr>
        <w:spacing w:line="578" w:lineRule="exact"/>
        <w:ind w:firstLine="640" w:firstLineChars="200"/>
        <w:rPr>
          <w:rFonts w:ascii="仿宋_GB2312" w:eastAsia="仿宋_GB2312"/>
          <w:szCs w:val="32"/>
        </w:rPr>
      </w:pPr>
      <w:r>
        <w:rPr>
          <w:rFonts w:hint="eastAsia" w:ascii="仿宋_GB2312" w:eastAsia="仿宋_GB2312"/>
          <w:szCs w:val="32"/>
        </w:rPr>
        <w:t>18</w:t>
      </w:r>
      <w:r>
        <w:rPr>
          <w:rFonts w:hint="eastAsia" w:ascii="仿宋_GB2312" w:hAnsi="仿宋" w:eastAsia="仿宋_GB2312"/>
          <w:szCs w:val="32"/>
        </w:rPr>
        <w:t>负责本系统本行业安全生产管理工作。</w:t>
      </w:r>
    </w:p>
    <w:p>
      <w:pPr>
        <w:autoSpaceDE w:val="0"/>
        <w:autoSpaceDN w:val="0"/>
        <w:adjustRightInd w:val="0"/>
        <w:spacing w:line="578" w:lineRule="exact"/>
        <w:ind w:firstLine="640"/>
        <w:rPr>
          <w:rFonts w:ascii="仿宋_GB2312" w:eastAsia="仿宋_GB2312"/>
          <w:szCs w:val="32"/>
        </w:rPr>
      </w:pPr>
      <w:r>
        <w:rPr>
          <w:rFonts w:hint="eastAsia" w:ascii="仿宋_GB2312" w:eastAsia="仿宋_GB2312"/>
          <w:szCs w:val="32"/>
        </w:rPr>
        <w:t>19承办区委、区政府交办的其他事项。</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内设机构</w:t>
      </w:r>
    </w:p>
    <w:p>
      <w:pPr>
        <w:spacing w:line="578" w:lineRule="exact"/>
        <w:ind w:firstLine="640" w:firstLineChars="200"/>
        <w:rPr>
          <w:rFonts w:hint="default" w:ascii="仿宋_GB2312" w:eastAsia="仿宋_GB2312" w:cs="仿宋_GB2312"/>
          <w:kern w:val="0"/>
          <w:szCs w:val="32"/>
          <w:lang w:val="en-US" w:eastAsia="zh-CN"/>
        </w:rPr>
      </w:pPr>
      <w:r>
        <w:rPr>
          <w:rFonts w:hint="eastAsia" w:ascii="仿宋_GB2312" w:eastAsia="仿宋_GB2312" w:cs="仿宋_GB2312"/>
          <w:kern w:val="0"/>
          <w:szCs w:val="32"/>
          <w:lang w:val="zh-CN"/>
        </w:rPr>
        <w:t>内设：综合科  文体旅游科</w:t>
      </w:r>
      <w:r>
        <w:rPr>
          <w:rFonts w:hint="eastAsia" w:ascii="仿宋_GB2312" w:eastAsia="仿宋_GB2312" w:cs="仿宋_GB2312"/>
          <w:kern w:val="0"/>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highlight w:val="none"/>
        </w:rPr>
      </w:pPr>
      <w:r>
        <w:rPr>
          <w:rFonts w:hint="eastAsia" w:ascii="黑体" w:hAnsi="宋体" w:eastAsia="黑体"/>
          <w:color w:val="000000"/>
          <w:kern w:val="0"/>
          <w:sz w:val="32"/>
          <w:szCs w:val="32"/>
          <w:highlight w:val="none"/>
          <w:lang w:eastAsia="zh-CN" w:bidi="ar"/>
        </w:rPr>
        <w:t>一、</w:t>
      </w:r>
      <w:r>
        <w:rPr>
          <w:rFonts w:hint="eastAsia" w:ascii="黑体" w:hAnsi="宋体" w:eastAsia="黑体"/>
          <w:color w:val="000000"/>
          <w:kern w:val="0"/>
          <w:sz w:val="32"/>
          <w:szCs w:val="32"/>
          <w:highlight w:val="none"/>
          <w:lang w:bidi="ar"/>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纳入20</w:t>
      </w:r>
      <w:r>
        <w:rPr>
          <w:rFonts w:hint="eastAsia" w:ascii="仿宋_GB2312" w:hAnsi="仿宋_GB2312" w:eastAsia="仿宋_GB2312" w:cs="仿宋_GB2312"/>
          <w:szCs w:val="32"/>
          <w:lang w:val="en-US" w:eastAsia="zh-CN"/>
        </w:rPr>
        <w:t>21</w:t>
      </w:r>
      <w:r>
        <w:rPr>
          <w:rFonts w:hint="eastAsia" w:ascii="仿宋_GB2312" w:hAnsi="仿宋_GB2312" w:eastAsia="仿宋_GB2312" w:cs="仿宋_GB2312"/>
          <w:szCs w:val="32"/>
        </w:rPr>
        <w:t>年度本部门决算编制范围的单位共</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个，包括本级及所属</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个</w:t>
      </w:r>
      <w:r>
        <w:rPr>
          <w:rFonts w:ascii="仿宋_GB2312" w:hAnsi="仿宋_GB2312" w:eastAsia="仿宋_GB2312" w:cs="仿宋_GB2312"/>
          <w:color w:val="000000"/>
          <w:kern w:val="0"/>
          <w:sz w:val="31"/>
          <w:szCs w:val="31"/>
        </w:rPr>
        <w:t>二级预算</w:t>
      </w:r>
      <w:r>
        <w:rPr>
          <w:rFonts w:hint="eastAsia" w:ascii="仿宋_GB2312" w:hAnsi="仿宋_GB2312" w:eastAsia="仿宋_GB2312" w:cs="仿宋_GB231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rPr>
                <w:rFonts w:ascii="仿宋_GB2312" w:hAnsi="仿宋_GB2312" w:eastAsia="仿宋_GB2312" w:cs="仿宋_GB2312"/>
                <w:szCs w:val="32"/>
              </w:rPr>
            </w:pPr>
            <w:r>
              <w:rPr>
                <w:rFonts w:hint="eastAsia" w:ascii="仿宋_GB2312" w:hAnsi="仿宋_GB2312" w:eastAsia="仿宋_GB2312" w:cs="仿宋_GB2312"/>
                <w:szCs w:val="32"/>
              </w:rPr>
              <w:t>西安市阎良区文化和旅游体育局（本级）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2</w:t>
            </w:r>
          </w:p>
        </w:tc>
        <w:tc>
          <w:tcPr>
            <w:tcW w:w="7278" w:type="dxa"/>
            <w:vAlign w:val="center"/>
          </w:tcPr>
          <w:p>
            <w:pP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西安市阎良区图书馆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w:t>
            </w:r>
          </w:p>
        </w:tc>
        <w:tc>
          <w:tcPr>
            <w:tcW w:w="7278" w:type="dxa"/>
            <w:vAlign w:val="center"/>
          </w:tcPr>
          <w:p>
            <w:pP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西安市阎良区文化馆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4</w:t>
            </w:r>
          </w:p>
        </w:tc>
        <w:tc>
          <w:tcPr>
            <w:tcW w:w="7278" w:type="dxa"/>
            <w:vAlign w:val="center"/>
          </w:tcPr>
          <w:p>
            <w:pP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西安市阎良区体育场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5</w:t>
            </w:r>
          </w:p>
        </w:tc>
        <w:tc>
          <w:tcPr>
            <w:tcW w:w="7278" w:type="dxa"/>
            <w:vAlign w:val="center"/>
          </w:tcPr>
          <w:p>
            <w:pP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西安市阎良区文化市场综合执法大队</w:t>
            </w:r>
          </w:p>
        </w:tc>
      </w:tr>
    </w:tbl>
    <w:p>
      <w:pPr>
        <w:ind w:firstLine="640"/>
        <w:rPr>
          <w:rFonts w:hint="eastAsia" w:ascii="黑体" w:hAnsi="黑体" w:eastAsia="黑体"/>
          <w:b/>
          <w:bCs/>
          <w:sz w:val="32"/>
          <w:szCs w:val="32"/>
        </w:rPr>
      </w:pPr>
    </w:p>
    <w:p>
      <w:pPr>
        <w:numPr>
          <w:ilvl w:val="0"/>
          <w:numId w:val="2"/>
        </w:numPr>
        <w:ind w:left="0" w:leftChars="0" w:firstLine="643" w:firstLineChars="200"/>
        <w:rPr>
          <w:rFonts w:hint="eastAsia" w:ascii="黑体" w:hAnsi="黑体" w:eastAsia="黑体"/>
          <w:b/>
          <w:bCs/>
          <w:sz w:val="32"/>
          <w:szCs w:val="32"/>
        </w:rPr>
      </w:pPr>
      <w:r>
        <w:rPr>
          <w:rFonts w:hint="eastAsia" w:ascii="黑体" w:hAnsi="黑体" w:eastAsia="黑体"/>
          <w:b/>
          <w:bCs/>
          <w:sz w:val="32"/>
          <w:szCs w:val="32"/>
        </w:rPr>
        <w:t>部门人员情况</w:t>
      </w:r>
    </w:p>
    <w:p>
      <w:pPr>
        <w:numPr>
          <w:ilvl w:val="0"/>
          <w:numId w:val="0"/>
        </w:numPr>
        <w:ind w:left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底，本部门人员编制</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人，其中行政</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人、事业</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单位管理的离退休人员</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，其中离休人员</w:t>
      </w:r>
      <w:r>
        <w:rPr>
          <w:rFonts w:hint="eastAsia" w:ascii="仿宋_GB2312" w:hAnsi="仿宋_GB2312" w:eastAsia="仿宋_GB2312" w:cs="仿宋_GB2312"/>
          <w:sz w:val="32"/>
          <w:szCs w:val="32"/>
          <w:lang w:val="en-US" w:eastAsia="zh-CN"/>
        </w:rPr>
        <w:t>8人</w:t>
      </w:r>
      <w:r>
        <w:rPr>
          <w:rFonts w:hint="eastAsia" w:ascii="仿宋_GB2312" w:hAnsi="仿宋_GB2312" w:eastAsia="仿宋_GB2312" w:cs="仿宋_GB2312"/>
          <w:sz w:val="32"/>
          <w:szCs w:val="32"/>
          <w:lang w:eastAsia="zh-CN"/>
        </w:rPr>
        <w:t>。</w:t>
      </w:r>
    </w:p>
    <w:p>
      <w:pPr>
        <w:numPr>
          <w:ilvl w:val="0"/>
          <w:numId w:val="0"/>
        </w:numPr>
        <w:rPr>
          <w:rFonts w:hint="eastAsia" w:ascii="仿宋_GB2312" w:hAnsi="仿宋_GB2312" w:eastAsia="仿宋_GB2312" w:cs="仿宋_GB2312"/>
          <w:sz w:val="32"/>
          <w:szCs w:val="32"/>
          <w:lang w:eastAsia="zh-CN"/>
        </w:rPr>
      </w:pPr>
    </w:p>
    <w:p>
      <w:pPr>
        <w:numPr>
          <w:ilvl w:val="0"/>
          <w:numId w:val="0"/>
        </w:numPr>
        <w:ind w:left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59070" cy="3773805"/>
            <wp:effectExtent l="4445" t="4445" r="13335"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jc w:val="center"/>
        <w:rPr>
          <w:rFonts w:ascii="黑体" w:hAnsi="宋体" w:eastAsia="黑体"/>
          <w:color w:val="000000"/>
          <w:kern w:val="0"/>
          <w:sz w:val="44"/>
          <w:szCs w:val="44"/>
        </w:rPr>
      </w:pPr>
    </w:p>
    <w:p>
      <w:pPr>
        <w:widowControl/>
        <w:jc w:val="center"/>
        <w:rPr>
          <w:rFonts w:hint="eastAsia" w:ascii="方正小标宋简体" w:hAnsi="方正小标宋简体" w:eastAsia="方正小标宋简体" w:cs="方正小标宋简体"/>
          <w:color w:val="000000"/>
          <w:kern w:val="0"/>
          <w:sz w:val="40"/>
          <w:szCs w:val="40"/>
        </w:rPr>
      </w:pPr>
    </w:p>
    <w:p>
      <w:pPr>
        <w:widowControl/>
        <w:jc w:val="center"/>
        <w:rPr>
          <w:rFonts w:hint="eastAsia" w:ascii="方正小标宋简体" w:hAnsi="方正小标宋简体" w:eastAsia="方正小标宋简体" w:cs="方正小标宋简体"/>
          <w:color w:val="000000"/>
          <w:kern w:val="0"/>
          <w:sz w:val="40"/>
          <w:szCs w:val="40"/>
        </w:rPr>
      </w:pPr>
    </w:p>
    <w:p>
      <w:pPr>
        <w:widowControl/>
        <w:jc w:val="center"/>
        <w:rPr>
          <w:rFonts w:hint="eastAsia" w:ascii="方正小标宋简体" w:hAnsi="方正小标宋简体" w:eastAsia="方正小标宋简体" w:cs="方正小标宋简体"/>
          <w:color w:val="000000"/>
          <w:kern w:val="0"/>
          <w:sz w:val="40"/>
          <w:szCs w:val="40"/>
        </w:rPr>
      </w:pPr>
    </w:p>
    <w:p>
      <w:pPr>
        <w:widowControl/>
        <w:jc w:val="center"/>
        <w:rPr>
          <w:rFonts w:hint="eastAsia" w:ascii="方正小标宋简体" w:hAnsi="方正小标宋简体" w:eastAsia="方正小标宋简体" w:cs="方正小标宋简体"/>
          <w:color w:val="000000"/>
          <w:kern w:val="0"/>
          <w:sz w:val="40"/>
          <w:szCs w:val="40"/>
        </w:rPr>
      </w:pPr>
    </w:p>
    <w:p>
      <w:pPr>
        <w:widowControl/>
        <w:jc w:val="center"/>
        <w:rPr>
          <w:rFonts w:hint="eastAsia" w:ascii="方正小标宋简体" w:hAnsi="方正小标宋简体" w:eastAsia="方正小标宋简体" w:cs="方正小标宋简体"/>
          <w:color w:val="000000"/>
          <w:kern w:val="0"/>
          <w:sz w:val="40"/>
          <w:szCs w:val="40"/>
        </w:rPr>
      </w:pPr>
    </w:p>
    <w:p>
      <w:pPr>
        <w:widowControl/>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color w:val="000000"/>
          <w:kern w:val="0"/>
          <w:sz w:val="40"/>
          <w:szCs w:val="40"/>
        </w:rPr>
        <w:t xml:space="preserve">第二部分 </w:t>
      </w:r>
      <w:r>
        <w:rPr>
          <w:rFonts w:hint="eastAsia" w:ascii="方正小标宋简体" w:hAnsi="方正小标宋简体" w:eastAsia="方正小标宋简体" w:cs="方正小标宋简体"/>
          <w:color w:val="000000"/>
          <w:kern w:val="0"/>
          <w:sz w:val="40"/>
          <w:szCs w:val="40"/>
          <w:lang w:eastAsia="zh-CN"/>
        </w:rPr>
        <w:t>202</w:t>
      </w:r>
      <w:r>
        <w:rPr>
          <w:rFonts w:hint="eastAsia" w:ascii="方正小标宋简体" w:hAnsi="方正小标宋简体" w:eastAsia="方正小标宋简体" w:cs="方正小标宋简体"/>
          <w:color w:val="000000"/>
          <w:kern w:val="0"/>
          <w:sz w:val="40"/>
          <w:szCs w:val="40"/>
          <w:lang w:val="en-US" w:eastAsia="zh-CN"/>
        </w:rPr>
        <w:t>1</w:t>
      </w:r>
      <w:r>
        <w:rPr>
          <w:rFonts w:hint="eastAsia" w:ascii="方正小标宋简体" w:hAnsi="方正小标宋简体" w:eastAsia="方正小标宋简体" w:cs="方正小标宋简体"/>
          <w:color w:val="000000"/>
          <w:kern w:val="0"/>
          <w:sz w:val="40"/>
          <w:szCs w:val="40"/>
          <w:lang w:eastAsia="zh-CN"/>
        </w:rPr>
        <w:t>年度</w:t>
      </w:r>
      <w:r>
        <w:rPr>
          <w:rFonts w:hint="eastAsia" w:ascii="方正小标宋简体" w:hAnsi="方正小标宋简体" w:eastAsia="方正小标宋简体" w:cs="方正小标宋简体"/>
          <w:color w:val="000000"/>
          <w:kern w:val="0"/>
          <w:sz w:val="40"/>
          <w:szCs w:val="40"/>
        </w:rPr>
        <w:t>部门决算表</w:t>
      </w:r>
    </w:p>
    <w:tbl>
      <w:tblPr>
        <w:tblStyle w:val="6"/>
        <w:tblpPr w:leftFromText="180" w:rightFromText="180" w:vertAnchor="text" w:horzAnchor="page" w:tblpX="1834" w:tblpY="1123"/>
        <w:tblOverlap w:val="never"/>
        <w:tblW w:w="0" w:type="auto"/>
        <w:tblInd w:w="0" w:type="dxa"/>
        <w:tblLayout w:type="fixed"/>
        <w:tblCellMar>
          <w:top w:w="0" w:type="dxa"/>
          <w:left w:w="0" w:type="dxa"/>
          <w:bottom w:w="0" w:type="dxa"/>
          <w:right w:w="0" w:type="dxa"/>
        </w:tblCellMar>
      </w:tblPr>
      <w:tblGrid>
        <w:gridCol w:w="675"/>
        <w:gridCol w:w="4590"/>
        <w:gridCol w:w="960"/>
        <w:gridCol w:w="2070"/>
      </w:tblGrid>
      <w:tr>
        <w:tblPrEx>
          <w:tblCellMar>
            <w:top w:w="0" w:type="dxa"/>
            <w:left w:w="0" w:type="dxa"/>
            <w:bottom w:w="0" w:type="dxa"/>
            <w:right w:w="0" w:type="dxa"/>
          </w:tblCellMar>
        </w:tblPrEx>
        <w:trPr>
          <w:trHeight w:val="64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序号</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内</w:t>
            </w:r>
            <w:r>
              <w:rPr>
                <w:rFonts w:hint="eastAsia" w:ascii="仿宋_GB2312" w:hAnsi="仿宋_GB2312" w:eastAsia="仿宋_GB2312" w:cs="仿宋_GB2312"/>
                <w:b/>
                <w:bCs/>
                <w:color w:val="000000"/>
                <w:kern w:val="0"/>
                <w:sz w:val="28"/>
                <w:szCs w:val="28"/>
                <w:lang w:val="en-US" w:eastAsia="zh-CN"/>
              </w:rPr>
              <w:t xml:space="preserve"> </w:t>
            </w:r>
            <w:r>
              <w:rPr>
                <w:rFonts w:hint="eastAsia" w:ascii="仿宋_GB2312" w:hAnsi="仿宋_GB2312" w:eastAsia="仿宋_GB2312" w:cs="仿宋_GB2312"/>
                <w:b/>
                <w:bCs/>
                <w:color w:val="000000"/>
                <w:kern w:val="0"/>
                <w:sz w:val="28"/>
                <w:szCs w:val="28"/>
              </w:rPr>
              <w:t>容</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是否</w:t>
            </w:r>
          </w:p>
          <w:p>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空表</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表格为空的理由</w:t>
            </w:r>
          </w:p>
        </w:tc>
      </w:tr>
      <w:tr>
        <w:tblPrEx>
          <w:tblCellMar>
            <w:top w:w="0" w:type="dxa"/>
            <w:left w:w="0" w:type="dxa"/>
            <w:bottom w:w="0" w:type="dxa"/>
            <w:right w:w="0" w:type="dxa"/>
          </w:tblCellMar>
        </w:tblPrEx>
        <w:trPr>
          <w:trHeight w:val="737"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表1</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收入支出决算总表</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lang w:eastAsia="zh-CN"/>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7"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表2</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收入决算表</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lang w:eastAsia="zh-CN"/>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7"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表3</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支出决算表</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lang w:eastAsia="zh-CN"/>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7"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表4</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财政拨款收入支出决算总表</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851"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表5</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一般公共预算财政拨款支出决算表（按功能分类科目）</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851"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表6</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一般公共预算财政拨款基本支出决算表 （按经济分类科目）</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86" w:hRule="exact"/>
        </w:trPr>
        <w:tc>
          <w:tcPr>
            <w:tcW w:w="67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表7</w:t>
            </w:r>
          </w:p>
        </w:tc>
        <w:tc>
          <w:tcPr>
            <w:tcW w:w="459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一般公共预算财政拨款“三公”经费及会议费、培训费支出决算表</w:t>
            </w:r>
          </w:p>
        </w:tc>
        <w:tc>
          <w:tcPr>
            <w:tcW w:w="96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c>
          <w:tcPr>
            <w:tcW w:w="207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6"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表</w:t>
            </w:r>
            <w:r>
              <w:rPr>
                <w:rFonts w:hint="eastAsia" w:ascii="仿宋_GB2312" w:hAnsi="仿宋_GB2312" w:eastAsia="仿宋_GB2312" w:cs="仿宋_GB2312"/>
                <w:color w:val="000000"/>
                <w:kern w:val="0"/>
                <w:sz w:val="28"/>
                <w:szCs w:val="28"/>
                <w:lang w:val="en-US" w:eastAsia="zh-CN"/>
              </w:rPr>
              <w:t>8</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政府性基金预算财政拨款收入支出决算表</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6"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表</w:t>
            </w:r>
            <w:r>
              <w:rPr>
                <w:rFonts w:hint="eastAsia" w:ascii="仿宋_GB2312" w:hAnsi="仿宋_GB2312" w:eastAsia="仿宋_GB2312" w:cs="仿宋_GB2312"/>
                <w:color w:val="000000"/>
                <w:kern w:val="0"/>
                <w:sz w:val="28"/>
                <w:szCs w:val="28"/>
                <w:lang w:val="en-US" w:eastAsia="zh-CN"/>
              </w:rPr>
              <w:t>9</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国有资本经营预算财政拨款支出决算表</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是</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1"/>
                <w:szCs w:val="21"/>
                <w:lang w:eastAsia="zh-CN"/>
              </w:rPr>
              <w:t>本单位无国有资本</w:t>
            </w:r>
          </w:p>
        </w:tc>
      </w:tr>
    </w:tbl>
    <w:p>
      <w:pPr>
        <w:bidi w:val="0"/>
        <w:jc w:val="center"/>
        <w:rPr>
          <w:rFonts w:hint="eastAsia"/>
          <w:lang w:eastAsia="zh-CN"/>
        </w:rPr>
      </w:pPr>
      <w:r>
        <w:rPr>
          <w:rFonts w:hint="eastAsia"/>
          <w:lang w:eastAsia="zh-CN"/>
        </w:rPr>
        <w:t>目</w:t>
      </w:r>
      <w:r>
        <w:rPr>
          <w:rFonts w:hint="eastAsia"/>
          <w:lang w:val="en-US" w:eastAsia="zh-CN"/>
        </w:rPr>
        <w:t xml:space="preserve">  </w:t>
      </w:r>
      <w:r>
        <w:rPr>
          <w:rFonts w:hint="eastAsia"/>
          <w:lang w:eastAsia="zh-CN"/>
        </w:rPr>
        <w:t>录</w:t>
      </w:r>
    </w:p>
    <w:p>
      <w:pPr>
        <w:bidi w:val="0"/>
        <w:jc w:val="center"/>
        <w:rPr>
          <w:rFonts w:hint="eastAsia"/>
          <w:lang w:eastAsia="zh-CN"/>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收入支出决算总表</w:t>
      </w:r>
    </w:p>
    <w:p>
      <w:pPr>
        <w:jc w:val="right"/>
        <w:rPr>
          <w:rFonts w:hint="eastAsia" w:ascii="宋体" w:hAnsi="宋体" w:eastAsia="宋体" w:cs="宋体"/>
          <w:b/>
          <w:bCs/>
          <w:sz w:val="20"/>
          <w:szCs w:val="20"/>
        </w:rPr>
      </w:pP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公开01表</w:t>
      </w:r>
    </w:p>
    <w:p>
      <w:pPr>
        <w:rPr>
          <w:rFonts w:hint="eastAsia" w:ascii="宋体" w:hAnsi="宋体" w:eastAsia="宋体" w:cs="宋体"/>
          <w:b/>
          <w:bCs/>
          <w:sz w:val="20"/>
          <w:szCs w:val="20"/>
        </w:rPr>
      </w:pPr>
      <w:r>
        <w:rPr>
          <w:rFonts w:hint="eastAsia" w:ascii="宋体" w:hAnsi="宋体" w:eastAsia="宋体" w:cs="宋体"/>
          <w:b/>
          <w:bCs/>
          <w:sz w:val="20"/>
          <w:szCs w:val="20"/>
        </w:rPr>
        <w:t xml:space="preserve">编制部门：                                                  </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 xml:space="preserve">     金额单位：万元</w:t>
      </w:r>
    </w:p>
    <w:tbl>
      <w:tblPr>
        <w:tblStyle w:val="6"/>
        <w:tblW w:w="8340" w:type="dxa"/>
        <w:tblInd w:w="0" w:type="dxa"/>
        <w:tblLayout w:type="fixed"/>
        <w:tblCellMar>
          <w:top w:w="15" w:type="dxa"/>
          <w:left w:w="15" w:type="dxa"/>
          <w:bottom w:w="15" w:type="dxa"/>
          <w:right w:w="15" w:type="dxa"/>
        </w:tblCellMar>
      </w:tblPr>
      <w:tblGrid>
        <w:gridCol w:w="3275"/>
        <w:gridCol w:w="1037"/>
        <w:gridCol w:w="3060"/>
        <w:gridCol w:w="968"/>
      </w:tblGrid>
      <w:tr>
        <w:tblPrEx>
          <w:tblCellMar>
            <w:top w:w="15" w:type="dxa"/>
            <w:left w:w="15" w:type="dxa"/>
            <w:bottom w:w="15" w:type="dxa"/>
            <w:right w:w="15" w:type="dxa"/>
          </w:tblCellMar>
        </w:tblPrEx>
        <w:trPr>
          <w:trHeight w:val="424" w:hRule="atLeast"/>
        </w:trPr>
        <w:tc>
          <w:tcPr>
            <w:tcW w:w="43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收    入</w:t>
            </w:r>
          </w:p>
        </w:tc>
        <w:tc>
          <w:tcPr>
            <w:tcW w:w="40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支    出</w:t>
            </w:r>
          </w:p>
        </w:tc>
      </w:tr>
      <w:tr>
        <w:tblPrEx>
          <w:tblCellMar>
            <w:top w:w="15" w:type="dxa"/>
            <w:left w:w="15" w:type="dxa"/>
            <w:bottom w:w="15" w:type="dxa"/>
            <w:right w:w="15" w:type="dxa"/>
          </w:tblCellMar>
        </w:tblPrEx>
        <w:trPr>
          <w:trHeight w:val="387"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项    目</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决算数</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项目</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决算数</w:t>
            </w: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1、一般公共预算财政拨款</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1,959.54</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1、一般公共服务支出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19.24</w:t>
            </w: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2、政府性基金预算财政拨款</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112.92</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2、外交支出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3、国有资本经营预算财政拨款 </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3、国防支出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4、上级补助收入</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4、公共安全支出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5、事业收入</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5、教育支出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6、经营收入</w:t>
            </w:r>
          </w:p>
        </w:tc>
        <w:tc>
          <w:tcPr>
            <w:tcW w:w="1037"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6、科学技术支出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7、附属单位上缴收入</w:t>
            </w:r>
          </w:p>
        </w:tc>
        <w:tc>
          <w:tcPr>
            <w:tcW w:w="1037"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7、文化旅游体育与传媒支出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1,868.68</w:t>
            </w: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8、其他收入</w:t>
            </w:r>
          </w:p>
        </w:tc>
        <w:tc>
          <w:tcPr>
            <w:tcW w:w="1037"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8、社会保障和就业支出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51.65</w:t>
            </w: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p>
        </w:tc>
        <w:tc>
          <w:tcPr>
            <w:tcW w:w="1037"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9、卫生健康支出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19.96</w:t>
            </w:r>
          </w:p>
        </w:tc>
      </w:tr>
      <w:tr>
        <w:tblPrEx>
          <w:tblCellMar>
            <w:top w:w="15" w:type="dxa"/>
            <w:left w:w="15" w:type="dxa"/>
            <w:bottom w:w="15" w:type="dxa"/>
            <w:right w:w="15" w:type="dxa"/>
          </w:tblCellMar>
        </w:tblPrEx>
        <w:trPr>
          <w:trHeight w:val="315"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p>
        </w:tc>
        <w:tc>
          <w:tcPr>
            <w:tcW w:w="1037"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10、节能环保支出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49"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p>
        </w:tc>
        <w:tc>
          <w:tcPr>
            <w:tcW w:w="1037"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11、城乡社区支出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12、农林水支出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39"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13、交通运输支出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35"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14、资源勘探信息等支出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35"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15、商业服务业等支出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4"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16、金融支出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37"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17、援助其他地区支出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15"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18、自然资源海洋气象等支出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61"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19、住房保障支出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35"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20、粮油物资储备支出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35"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highlight w:val="none"/>
              </w:rPr>
              <w:t>2</w:t>
            </w:r>
            <w:r>
              <w:rPr>
                <w:rFonts w:hint="eastAsia" w:ascii="宋体" w:hAnsi="宋体" w:eastAsia="宋体" w:cs="宋体"/>
                <w:color w:val="000000"/>
                <w:kern w:val="0"/>
                <w:sz w:val="22"/>
                <w:szCs w:val="22"/>
                <w:highlight w:val="none"/>
                <w:lang w:val="en-US" w:eastAsia="zh-CN"/>
              </w:rPr>
              <w:t>1</w:t>
            </w:r>
            <w:r>
              <w:rPr>
                <w:rFonts w:hint="eastAsia" w:ascii="宋体" w:hAnsi="宋体" w:eastAsia="宋体" w:cs="宋体"/>
                <w:color w:val="000000"/>
                <w:kern w:val="0"/>
                <w:sz w:val="22"/>
                <w:szCs w:val="22"/>
                <w:highlight w:val="none"/>
              </w:rPr>
              <w:t>、</w:t>
            </w:r>
            <w:r>
              <w:rPr>
                <w:rFonts w:hint="eastAsia" w:ascii="宋体" w:hAnsi="宋体" w:eastAsia="宋体" w:cs="宋体"/>
                <w:color w:val="000000"/>
                <w:kern w:val="0"/>
                <w:sz w:val="22"/>
                <w:szCs w:val="22"/>
                <w:highlight w:val="none"/>
                <w:lang w:eastAsia="zh-CN"/>
              </w:rPr>
              <w:t>国有资本经营预算支出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16"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、灾害防治及应急管理支出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16"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、其他支出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112.92</w:t>
            </w:r>
          </w:p>
        </w:tc>
      </w:tr>
      <w:tr>
        <w:tblPrEx>
          <w:tblCellMar>
            <w:top w:w="15" w:type="dxa"/>
            <w:left w:w="15" w:type="dxa"/>
            <w:bottom w:w="15" w:type="dxa"/>
            <w:right w:w="15" w:type="dxa"/>
          </w:tblCellMar>
        </w:tblPrEx>
        <w:trPr>
          <w:trHeight w:val="415" w:hRule="atLeast"/>
        </w:trPr>
        <w:tc>
          <w:tcPr>
            <w:tcW w:w="327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本年收入合计</w:t>
            </w:r>
          </w:p>
        </w:tc>
        <w:tc>
          <w:tcPr>
            <w:tcW w:w="103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2,072.46</w:t>
            </w:r>
          </w:p>
        </w:tc>
        <w:tc>
          <w:tcPr>
            <w:tcW w:w="306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本年支出合计</w:t>
            </w:r>
          </w:p>
        </w:tc>
        <w:tc>
          <w:tcPr>
            <w:tcW w:w="968" w:type="dxa"/>
            <w:tcBorders>
              <w:top w:val="single" w:color="000000" w:sz="4" w:space="0"/>
              <w:left w:val="single" w:color="000000" w:sz="4" w:space="0"/>
              <w:right w:val="single" w:color="000000" w:sz="4" w:space="0"/>
            </w:tcBorders>
            <w:noWrap w:val="0"/>
            <w:vAlign w:val="center"/>
          </w:tcPr>
          <w:p>
            <w:pPr>
              <w:jc w:val="center"/>
              <w:rPr>
                <w:rFonts w:hint="default" w:ascii="宋体" w:hAnsi="宋体" w:eastAsia="宋体" w:cs="宋体"/>
                <w:b/>
                <w:color w:val="000000"/>
                <w:sz w:val="22"/>
                <w:szCs w:val="22"/>
                <w:lang w:val="en-US" w:eastAsia="zh-CN"/>
              </w:rPr>
            </w:pPr>
            <w:r>
              <w:rPr>
                <w:rFonts w:hint="eastAsia" w:ascii="宋体" w:hAnsi="宋体" w:eastAsia="宋体" w:cs="宋体"/>
                <w:b/>
                <w:color w:val="000000"/>
                <w:sz w:val="22"/>
                <w:szCs w:val="22"/>
                <w:lang w:val="en-US" w:eastAsia="zh-CN"/>
              </w:rPr>
              <w:t>2072.46</w:t>
            </w:r>
          </w:p>
        </w:tc>
      </w:tr>
      <w:tr>
        <w:tblPrEx>
          <w:tblCellMar>
            <w:top w:w="15" w:type="dxa"/>
            <w:left w:w="15" w:type="dxa"/>
            <w:bottom w:w="15" w:type="dxa"/>
            <w:right w:w="15" w:type="dxa"/>
          </w:tblCellMar>
        </w:tblPrEx>
        <w:trPr>
          <w:trHeight w:val="368"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bCs/>
                <w:color w:val="000000"/>
                <w:sz w:val="22"/>
                <w:szCs w:val="22"/>
                <w:lang w:eastAsia="zh-CN"/>
              </w:rPr>
            </w:pPr>
            <w:r>
              <w:rPr>
                <w:rFonts w:hint="eastAsia" w:ascii="宋体" w:hAnsi="宋体" w:eastAsia="宋体" w:cs="宋体"/>
                <w:bCs/>
                <w:color w:val="000000"/>
                <w:kern w:val="0"/>
                <w:sz w:val="22"/>
                <w:szCs w:val="22"/>
                <w:highlight w:val="none"/>
                <w:lang w:eastAsia="zh-CN"/>
              </w:rPr>
              <w:t>使</w:t>
            </w:r>
            <w:r>
              <w:rPr>
                <w:rFonts w:hint="eastAsia" w:ascii="宋体" w:hAnsi="宋体" w:eastAsia="宋体" w:cs="宋体"/>
                <w:bCs/>
                <w:color w:val="000000"/>
                <w:kern w:val="0"/>
                <w:sz w:val="22"/>
                <w:szCs w:val="22"/>
                <w:highlight w:val="none"/>
              </w:rPr>
              <w:t>用</w:t>
            </w:r>
            <w:r>
              <w:rPr>
                <w:rFonts w:hint="eastAsia" w:ascii="宋体" w:hAnsi="宋体" w:eastAsia="宋体" w:cs="宋体"/>
                <w:bCs/>
                <w:color w:val="000000"/>
                <w:kern w:val="0"/>
                <w:sz w:val="22"/>
                <w:szCs w:val="22"/>
                <w:highlight w:val="none"/>
                <w:lang w:eastAsia="zh-CN"/>
              </w:rPr>
              <w:t>非财政拨款结余</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Cs/>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bCs/>
                <w:color w:val="000000"/>
                <w:sz w:val="22"/>
                <w:szCs w:val="22"/>
              </w:rPr>
            </w:pPr>
            <w:r>
              <w:rPr>
                <w:rFonts w:hint="eastAsia" w:ascii="宋体" w:hAnsi="宋体" w:eastAsia="宋体" w:cs="宋体"/>
                <w:bCs/>
                <w:color w:val="000000"/>
                <w:kern w:val="0"/>
                <w:sz w:val="22"/>
                <w:szCs w:val="22"/>
              </w:rPr>
              <w:t xml:space="preserve">结余分配 </w:t>
            </w:r>
          </w:p>
        </w:tc>
        <w:tc>
          <w:tcPr>
            <w:tcW w:w="968"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80"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bCs/>
                <w:color w:val="000000"/>
                <w:sz w:val="22"/>
                <w:szCs w:val="22"/>
              </w:rPr>
            </w:pPr>
            <w:r>
              <w:rPr>
                <w:rFonts w:hint="eastAsia" w:ascii="宋体" w:hAnsi="宋体" w:eastAsia="宋体" w:cs="宋体"/>
                <w:bCs/>
                <w:color w:val="000000"/>
                <w:kern w:val="0"/>
                <w:sz w:val="22"/>
                <w:szCs w:val="22"/>
              </w:rPr>
              <w:t>年初结转和结余</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Cs/>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bCs/>
                <w:color w:val="000000"/>
                <w:sz w:val="22"/>
                <w:szCs w:val="22"/>
              </w:rPr>
            </w:pPr>
            <w:r>
              <w:rPr>
                <w:rFonts w:hint="eastAsia" w:ascii="宋体" w:hAnsi="宋体" w:eastAsia="宋体" w:cs="宋体"/>
                <w:bCs/>
                <w:color w:val="000000"/>
                <w:kern w:val="0"/>
                <w:sz w:val="22"/>
                <w:szCs w:val="22"/>
              </w:rPr>
              <w:t>年末结转和结余</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412"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收入总计</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2,072.46</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支出总计</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color w:val="000000"/>
                <w:sz w:val="22"/>
                <w:szCs w:val="22"/>
                <w:lang w:val="en-US" w:eastAsia="zh-CN"/>
              </w:rPr>
            </w:pPr>
            <w:r>
              <w:rPr>
                <w:rFonts w:hint="eastAsia" w:ascii="宋体" w:hAnsi="宋体" w:eastAsia="宋体" w:cs="宋体"/>
                <w:b/>
                <w:color w:val="000000"/>
                <w:sz w:val="22"/>
                <w:szCs w:val="22"/>
                <w:lang w:val="en-US" w:eastAsia="zh-CN"/>
              </w:rPr>
              <w:t>2072.46</w:t>
            </w:r>
          </w:p>
        </w:tc>
      </w:tr>
    </w:tbl>
    <w:p>
      <w:pPr>
        <w:widowControl/>
        <w:jc w:val="left"/>
        <w:rPr>
          <w:rFonts w:hint="eastAsia" w:ascii="仿宋_GB2312" w:hAnsi="仿宋_GB2312" w:eastAsia="仿宋_GB2312" w:cs="仿宋_GB2312"/>
          <w:sz w:val="21"/>
          <w:szCs w:val="21"/>
        </w:rPr>
      </w:pPr>
      <w:r>
        <w:rPr>
          <w:rFonts w:hint="eastAsia" w:ascii="宋体" w:hAnsi="宋体" w:eastAsia="宋体" w:cs="宋体"/>
          <w:color w:val="000000"/>
          <w:kern w:val="0"/>
          <w:sz w:val="22"/>
          <w:szCs w:val="22"/>
        </w:rPr>
        <w:t>注：本表反映部门本年度的总收支和年末结转结余情况。本表金额转换为万元时，因四舍五入可能存在尾差。</w:t>
      </w: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收入决算表</w:t>
      </w:r>
    </w:p>
    <w:p>
      <w:pPr>
        <w:jc w:val="right"/>
        <w:rPr>
          <w:rFonts w:hint="eastAsia" w:ascii="宋体" w:hAnsi="宋体" w:eastAsia="宋体" w:cs="宋体"/>
          <w:b/>
          <w:bCs/>
          <w:sz w:val="20"/>
          <w:szCs w:val="20"/>
        </w:rPr>
      </w:pPr>
      <w:r>
        <w:rPr>
          <w:rFonts w:hint="eastAsia" w:ascii="宋体" w:hAnsi="宋体" w:eastAsia="宋体" w:cs="宋体"/>
          <w:b/>
          <w:bCs/>
          <w:sz w:val="20"/>
          <w:szCs w:val="20"/>
        </w:rPr>
        <w:t>公开02表</w:t>
      </w:r>
    </w:p>
    <w:p>
      <w:pPr>
        <w:jc w:val="right"/>
        <w:rPr>
          <w:rFonts w:hint="eastAsia" w:ascii="宋体" w:hAnsi="宋体" w:eastAsia="宋体" w:cs="宋体"/>
          <w:b/>
          <w:bCs/>
          <w:sz w:val="20"/>
          <w:szCs w:val="20"/>
        </w:rPr>
      </w:pPr>
      <w:r>
        <w:rPr>
          <w:rFonts w:hint="eastAsia" w:ascii="宋体" w:hAnsi="宋体" w:eastAsia="宋体" w:cs="宋体"/>
          <w:b/>
          <w:bCs/>
          <w:sz w:val="20"/>
          <w:szCs w:val="20"/>
        </w:rPr>
        <w:t xml:space="preserve">编制部门：                                       </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 xml:space="preserve">                金额单位：万元</w:t>
      </w:r>
    </w:p>
    <w:tbl>
      <w:tblPr>
        <w:tblStyle w:val="6"/>
        <w:tblW w:w="0" w:type="auto"/>
        <w:tblInd w:w="0" w:type="dxa"/>
        <w:tblLayout w:type="fixed"/>
        <w:tblCellMar>
          <w:top w:w="15" w:type="dxa"/>
          <w:left w:w="15" w:type="dxa"/>
          <w:bottom w:w="15" w:type="dxa"/>
          <w:right w:w="15" w:type="dxa"/>
        </w:tblCellMar>
      </w:tblPr>
      <w:tblGrid>
        <w:gridCol w:w="927"/>
        <w:gridCol w:w="1244"/>
        <w:gridCol w:w="1135"/>
        <w:gridCol w:w="1265"/>
        <w:gridCol w:w="653"/>
        <w:gridCol w:w="365"/>
        <w:gridCol w:w="1382"/>
        <w:gridCol w:w="364"/>
        <w:gridCol w:w="589"/>
        <w:gridCol w:w="373"/>
      </w:tblGrid>
      <w:tr>
        <w:tblPrEx>
          <w:tblCellMar>
            <w:top w:w="15" w:type="dxa"/>
            <w:left w:w="15" w:type="dxa"/>
            <w:bottom w:w="15" w:type="dxa"/>
            <w:right w:w="15" w:type="dxa"/>
          </w:tblCellMar>
        </w:tblPrEx>
        <w:trPr>
          <w:trHeight w:val="439" w:hRule="atLeast"/>
        </w:trPr>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w:t>
            </w:r>
          </w:p>
        </w:tc>
        <w:tc>
          <w:tcPr>
            <w:tcW w:w="11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本年收入合计</w:t>
            </w:r>
          </w:p>
        </w:tc>
        <w:tc>
          <w:tcPr>
            <w:tcW w:w="12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财政拨款收入</w:t>
            </w:r>
          </w:p>
        </w:tc>
        <w:tc>
          <w:tcPr>
            <w:tcW w:w="65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上级补助收入</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事业收入</w:t>
            </w:r>
          </w:p>
        </w:tc>
        <w:tc>
          <w:tcPr>
            <w:tcW w:w="36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经营</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收入</w:t>
            </w:r>
          </w:p>
        </w:tc>
        <w:tc>
          <w:tcPr>
            <w:tcW w:w="5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附属单位上缴收入</w:t>
            </w:r>
          </w:p>
        </w:tc>
        <w:tc>
          <w:tcPr>
            <w:tcW w:w="37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功能分类科目编码</w:t>
            </w:r>
          </w:p>
        </w:tc>
        <w:tc>
          <w:tcPr>
            <w:tcW w:w="124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名称</w:t>
            </w:r>
          </w:p>
        </w:tc>
        <w:tc>
          <w:tcPr>
            <w:tcW w:w="11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65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其中：教育</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 xml:space="preserve">      </w:t>
            </w:r>
            <w:r>
              <w:rPr>
                <w:rFonts w:hint="eastAsia" w:ascii="宋体" w:hAnsi="宋体" w:eastAsia="宋体" w:cs="宋体"/>
                <w:b/>
                <w:bCs/>
                <w:color w:val="000000"/>
                <w:kern w:val="0"/>
                <w:sz w:val="22"/>
                <w:szCs w:val="22"/>
                <w:lang w:eastAsia="zh-CN"/>
              </w:rPr>
              <w:t>收</w:t>
            </w:r>
            <w:r>
              <w:rPr>
                <w:rFonts w:hint="eastAsia" w:ascii="宋体" w:hAnsi="宋体" w:eastAsia="宋体" w:cs="宋体"/>
                <w:b/>
                <w:bCs/>
                <w:color w:val="000000"/>
                <w:kern w:val="0"/>
                <w:sz w:val="22"/>
                <w:szCs w:val="22"/>
              </w:rPr>
              <w:t>费</w:t>
            </w:r>
          </w:p>
        </w:tc>
        <w:tc>
          <w:tcPr>
            <w:tcW w:w="36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r>
      <w:tr>
        <w:tblPrEx>
          <w:tblCellMar>
            <w:top w:w="15" w:type="dxa"/>
            <w:left w:w="15" w:type="dxa"/>
            <w:bottom w:w="15" w:type="dxa"/>
            <w:right w:w="15" w:type="dxa"/>
          </w:tblCellMar>
        </w:tblPrEx>
        <w:trPr>
          <w:trHeight w:val="439" w:hRule="atLeast"/>
        </w:trPr>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合计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2,072.46</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2,072.46</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21"/>
                <w:szCs w:val="21"/>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21"/>
                <w:szCs w:val="21"/>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21"/>
                <w:szCs w:val="21"/>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21"/>
                <w:szCs w:val="21"/>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21"/>
                <w:szCs w:val="21"/>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一般公共服务支出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19.25</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19.25</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20111</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纪检监察事务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2.40</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2.40</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2011101</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2.40</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2.40</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20199</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2019999</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其他一般公共服务支出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1,868.67</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1,868.67</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文化和旅游</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791.24</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791.24</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2070101</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169.18</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169.18</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2070102</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40.00</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40.00</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2070104</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图书馆</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55.03</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55.03</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2070108</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文化活动</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15.00</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15.00</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2070109</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群众文化</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90.83</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90.83</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2070111</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文化创作与保护</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13.00</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13.00</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2070112</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文化和旅游市场管理</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7.40</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7.40</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2070199</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其他文化和旅游支出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400.80</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400.80</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20702</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文物</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177.29</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177.29</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2070202</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2070204</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文物保护</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176.07</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176.07</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3"/>
                <w:szCs w:val="13"/>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20703</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895.76</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895.76</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2070305</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体育竞赛</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671.89</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671.89</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2070307</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体育场馆</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150.58</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150.58</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2070308</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群众体育</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23.29</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23.29</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2070399</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其他体育支出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20799</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4.38</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4.38</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2079999</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其他文化旅游体育与传媒支出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4.38</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4.38</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51.65</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51.65</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20805</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51.65</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51.65</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2080505</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51.65</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51.65</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卫生健康支出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19.96</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19.96</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21011</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行政事业单位医疗</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19.96</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19.96</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2101101</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行政单位医疗</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6.25</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6.25</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2101102</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13.71</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13.71</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112.92</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112.92</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22960</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112.92</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112.92</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2296003</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用于体育事业的彩票公益金支出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112.92</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112.92</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13"/>
                <w:szCs w:val="13"/>
                <w:u w:val="none"/>
                <w:lang w:val="en-US" w:eastAsia="zh-CN" w:bidi="ar"/>
              </w:rPr>
            </w:pPr>
          </w:p>
        </w:tc>
      </w:tr>
    </w:tbl>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注：本表反映部门本年度取得的各项收入情况。本表金额转换为万元时，因四舍五入可能存在尾差。</w:t>
      </w:r>
    </w:p>
    <w:p>
      <w:pPr>
        <w:widowControl/>
        <w:jc w:val="left"/>
        <w:textAlignment w:val="center"/>
        <w:rPr>
          <w:rFonts w:hint="eastAsia" w:ascii="宋体" w:hAnsi="宋体" w:eastAsia="宋体" w:cs="宋体"/>
          <w:color w:val="000000"/>
          <w:kern w:val="0"/>
          <w:sz w:val="22"/>
          <w:szCs w:val="2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支出决算表</w:t>
      </w:r>
    </w:p>
    <w:p>
      <w:pPr>
        <w:jc w:val="right"/>
        <w:rPr>
          <w:rFonts w:hint="eastAsia" w:ascii="宋体" w:hAnsi="宋体" w:eastAsia="宋体" w:cs="宋体"/>
          <w:b/>
          <w:bCs/>
          <w:sz w:val="20"/>
          <w:szCs w:val="20"/>
        </w:rPr>
      </w:pPr>
      <w:r>
        <w:rPr>
          <w:rFonts w:hint="eastAsia" w:ascii="仿宋_GB2312" w:hAnsi="仿宋_GB2312" w:eastAsia="仿宋_GB2312" w:cs="仿宋_GB2312"/>
          <w:b/>
          <w:bCs/>
          <w:sz w:val="21"/>
          <w:szCs w:val="21"/>
        </w:rPr>
        <w:t xml:space="preserve"> </w:t>
      </w:r>
      <w:r>
        <w:rPr>
          <w:rFonts w:hint="eastAsia" w:ascii="宋体" w:hAnsi="宋体" w:eastAsia="宋体" w:cs="宋体"/>
          <w:b/>
          <w:bCs/>
          <w:sz w:val="20"/>
          <w:szCs w:val="20"/>
        </w:rPr>
        <w:t xml:space="preserve">                                         </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公开03表</w:t>
      </w:r>
    </w:p>
    <w:p>
      <w:pPr>
        <w:jc w:val="right"/>
        <w:rPr>
          <w:rFonts w:hint="eastAsia" w:ascii="宋体" w:hAnsi="宋体" w:eastAsia="宋体" w:cs="宋体"/>
          <w:b/>
          <w:bCs/>
          <w:sz w:val="20"/>
          <w:szCs w:val="20"/>
        </w:rPr>
      </w:pPr>
      <w:r>
        <w:rPr>
          <w:rFonts w:hint="eastAsia" w:ascii="宋体" w:hAnsi="宋体" w:eastAsia="宋体" w:cs="宋体"/>
          <w:b/>
          <w:bCs/>
          <w:sz w:val="20"/>
          <w:szCs w:val="20"/>
        </w:rPr>
        <w:t xml:space="preserve">编制部门：           </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 xml:space="preserve">                                            金额单位：万元</w:t>
      </w:r>
    </w:p>
    <w:tbl>
      <w:tblPr>
        <w:tblStyle w:val="6"/>
        <w:tblW w:w="0" w:type="auto"/>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722"/>
        <w:gridCol w:w="934"/>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本年支出</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9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上缴上</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级支出</w:t>
            </w:r>
          </w:p>
        </w:tc>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经营支出</w:t>
            </w:r>
          </w:p>
        </w:tc>
        <w:tc>
          <w:tcPr>
            <w:tcW w:w="9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对附属单位</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功能分类科目编码</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11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合计</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1,640.62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125.24</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1,515.38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515"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一般公共服务支出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19.25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8.45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10.80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20111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纪检监察事务</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2.40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2.40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2011101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2.40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2.40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20199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16.85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6.05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10.80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2019999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16.85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6.05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10.80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1,868.67</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402.62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1,466.05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文化和旅游</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791.24</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300.04</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491.20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2070101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169.18</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169.18</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2070102</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40.00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40.00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2070104</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55.03</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50.03</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2070108</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文化活动</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15.00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15.00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2070109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90.83</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80.83</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2070111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13.00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13.00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2070112</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文化和旅游市场管理</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7.40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7.40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2070199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400.80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400.80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20702</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文物</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177.29</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177.29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2070202</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1.22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1.22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2070204</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176.07</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176.07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20703</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体育</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895.76</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102.58</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793.18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2070305</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体育竞赛</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671.89</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671.89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2070307</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体育场馆</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150.58</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102.58</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48.00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2070308</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群众体育</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23.29</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23.29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2070399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 xml:space="preserve">  其他体育支出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4.38</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4.38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2079999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4.38</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4.38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51.65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51.65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51.65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51.65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51.65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51.65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19.96</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19.96</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19.96</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19.96</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13.71</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13.71</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112.92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112.92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2296003</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112.92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r>
    </w:tbl>
    <w:p>
      <w:pPr>
        <w:widowControl/>
        <w:jc w:val="left"/>
        <w:textAlignment w:val="center"/>
        <w:rPr>
          <w:rFonts w:hint="eastAsia" w:ascii="仿宋_GB2312" w:hAnsi="仿宋_GB2312" w:eastAsia="仿宋_GB2312" w:cs="仿宋_GB2312"/>
          <w:sz w:val="24"/>
          <w:szCs w:val="24"/>
        </w:rPr>
      </w:pPr>
      <w:r>
        <w:rPr>
          <w:rFonts w:hint="eastAsia" w:ascii="宋体" w:hAnsi="宋体" w:eastAsia="宋体" w:cs="宋体"/>
          <w:color w:val="000000"/>
          <w:kern w:val="0"/>
          <w:sz w:val="22"/>
          <w:szCs w:val="22"/>
        </w:rPr>
        <w:t>注：本表反映部门本年度各项支出情况。本表金额转换为万元时，因四舍五入可能存在尾差。</w:t>
      </w:r>
    </w:p>
    <w:p>
      <w:pPr>
        <w:rPr>
          <w:rFonts w:hint="eastAsia" w:ascii="仿宋_GB2312" w:hAnsi="仿宋_GB2312" w:eastAsia="仿宋_GB2312" w:cs="仿宋_GB2312"/>
          <w:sz w:val="24"/>
          <w:szCs w:val="24"/>
        </w:rPr>
      </w:pPr>
    </w:p>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财政拨款收入支出决算总表</w:t>
      </w:r>
    </w:p>
    <w:p>
      <w:pPr>
        <w:jc w:val="right"/>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公开04表</w:t>
      </w:r>
    </w:p>
    <w:p>
      <w:pPr>
        <w:jc w:val="right"/>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编制部门：                                                           金额单位：万元</w:t>
      </w:r>
    </w:p>
    <w:tbl>
      <w:tblPr>
        <w:tblStyle w:val="6"/>
        <w:tblW w:w="8426" w:type="dxa"/>
        <w:tblInd w:w="0" w:type="dxa"/>
        <w:tblLayout w:type="fixed"/>
        <w:tblCellMar>
          <w:top w:w="15" w:type="dxa"/>
          <w:left w:w="15" w:type="dxa"/>
          <w:bottom w:w="15" w:type="dxa"/>
          <w:right w:w="15" w:type="dxa"/>
        </w:tblCellMar>
      </w:tblPr>
      <w:tblGrid>
        <w:gridCol w:w="1634"/>
        <w:gridCol w:w="1093"/>
        <w:gridCol w:w="1794"/>
        <w:gridCol w:w="959"/>
        <w:gridCol w:w="1018"/>
        <w:gridCol w:w="873"/>
        <w:gridCol w:w="1055"/>
      </w:tblGrid>
      <w:tr>
        <w:tblPrEx>
          <w:tblCellMar>
            <w:top w:w="15" w:type="dxa"/>
            <w:left w:w="15" w:type="dxa"/>
            <w:bottom w:w="15" w:type="dxa"/>
            <w:right w:w="15" w:type="dxa"/>
          </w:tblCellMar>
        </w:tblPrEx>
        <w:trPr>
          <w:trHeight w:val="367" w:hRule="atLeast"/>
        </w:trPr>
        <w:tc>
          <w:tcPr>
            <w:tcW w:w="27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eastAsia" w:ascii="宋体" w:hAnsi="宋体" w:eastAsia="宋体" w:cs="宋体"/>
                <w:b/>
                <w:bCs/>
                <w:i w:val="0"/>
                <w:color w:val="000000"/>
                <w:kern w:val="0"/>
                <w:sz w:val="22"/>
                <w:szCs w:val="22"/>
                <w:u w:val="none"/>
                <w:lang w:val="en-US" w:eastAsia="zh-CN" w:bidi="ar"/>
              </w:rPr>
              <w:t>收     入</w:t>
            </w:r>
          </w:p>
        </w:tc>
        <w:tc>
          <w:tcPr>
            <w:tcW w:w="569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eastAsia" w:ascii="宋体" w:hAnsi="宋体" w:eastAsia="宋体" w:cs="宋体"/>
                <w:b/>
                <w:bCs/>
                <w:i w:val="0"/>
                <w:color w:val="000000"/>
                <w:kern w:val="0"/>
                <w:sz w:val="22"/>
                <w:szCs w:val="22"/>
                <w:u w:val="none"/>
                <w:lang w:val="en-US" w:eastAsia="zh-CN" w:bidi="ar"/>
              </w:rPr>
              <w:t>支     出</w:t>
            </w:r>
          </w:p>
        </w:tc>
      </w:tr>
      <w:tr>
        <w:tblPrEx>
          <w:tblCellMar>
            <w:top w:w="15" w:type="dxa"/>
            <w:left w:w="15" w:type="dxa"/>
            <w:bottom w:w="15" w:type="dxa"/>
            <w:right w:w="15" w:type="dxa"/>
          </w:tblCellMar>
        </w:tblPrEx>
        <w:trPr>
          <w:trHeight w:val="800"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rPr>
            </w:pPr>
            <w:r>
              <w:rPr>
                <w:rFonts w:hint="eastAsia" w:ascii="宋体" w:hAnsi="宋体" w:eastAsia="宋体" w:cs="宋体"/>
                <w:b/>
                <w:bCs/>
                <w:i w:val="0"/>
                <w:color w:val="000000"/>
                <w:kern w:val="0"/>
                <w:sz w:val="22"/>
                <w:szCs w:val="22"/>
                <w:u w:val="none"/>
                <w:lang w:val="en-US" w:eastAsia="zh-CN" w:bidi="ar"/>
              </w:rPr>
              <w:t>项目</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rPr>
            </w:pPr>
            <w:r>
              <w:rPr>
                <w:rFonts w:hint="eastAsia" w:ascii="宋体" w:hAnsi="宋体" w:eastAsia="宋体" w:cs="宋体"/>
                <w:b/>
                <w:bCs/>
                <w:i w:val="0"/>
                <w:color w:val="000000"/>
                <w:kern w:val="0"/>
                <w:sz w:val="22"/>
                <w:szCs w:val="22"/>
                <w:u w:val="none"/>
                <w:lang w:val="en-US" w:eastAsia="zh-CN" w:bidi="ar"/>
              </w:rPr>
              <w:t>决算数</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rPr>
            </w:pPr>
            <w:r>
              <w:rPr>
                <w:rFonts w:hint="eastAsia" w:ascii="宋体" w:hAnsi="宋体" w:eastAsia="宋体" w:cs="宋体"/>
                <w:b/>
                <w:bCs/>
                <w:i w:val="0"/>
                <w:color w:val="000000"/>
                <w:kern w:val="0"/>
                <w:sz w:val="22"/>
                <w:szCs w:val="22"/>
                <w:u w:val="none"/>
                <w:lang w:val="en-US" w:eastAsia="zh-CN" w:bidi="ar"/>
              </w:rPr>
              <w:t>项目</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b/>
                <w:bCs/>
              </w:rPr>
            </w:pPr>
            <w:r>
              <w:rPr>
                <w:rFonts w:hint="eastAsia" w:ascii="宋体" w:hAnsi="宋体" w:eastAsia="宋体" w:cs="宋体"/>
                <w:b/>
                <w:bCs/>
                <w:i w:val="0"/>
                <w:color w:val="000000"/>
                <w:kern w:val="0"/>
                <w:sz w:val="22"/>
                <w:szCs w:val="22"/>
                <w:u w:val="none"/>
                <w:lang w:val="en-US" w:eastAsia="zh-CN" w:bidi="ar"/>
              </w:rPr>
              <w:t>合计</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rPr>
            </w:pPr>
            <w:r>
              <w:rPr>
                <w:rFonts w:hint="eastAsia" w:ascii="宋体" w:hAnsi="宋体" w:eastAsia="宋体" w:cs="宋体"/>
                <w:b/>
                <w:bCs/>
                <w:i w:val="0"/>
                <w:color w:val="000000"/>
                <w:kern w:val="0"/>
                <w:sz w:val="22"/>
                <w:szCs w:val="22"/>
                <w:u w:val="none"/>
                <w:lang w:val="en-US" w:eastAsia="zh-CN" w:bidi="ar"/>
              </w:rPr>
              <w:t>一般公共预算财政拨款</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rPr>
            </w:pPr>
            <w:r>
              <w:rPr>
                <w:rFonts w:hint="eastAsia" w:ascii="宋体" w:hAnsi="宋体" w:eastAsia="宋体" w:cs="宋体"/>
                <w:b/>
                <w:bCs/>
                <w:i w:val="0"/>
                <w:color w:val="000000"/>
                <w:kern w:val="0"/>
                <w:sz w:val="22"/>
                <w:szCs w:val="22"/>
                <w:u w:val="none"/>
                <w:lang w:val="en-US" w:eastAsia="zh-CN" w:bidi="ar"/>
              </w:rPr>
              <w:t>政府性基金预算财政拨款</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lang w:eastAsia="zh-CN"/>
              </w:rPr>
            </w:pPr>
            <w:r>
              <w:rPr>
                <w:rFonts w:hint="eastAsia" w:ascii="宋体" w:hAnsi="宋体" w:eastAsia="宋体" w:cs="宋体"/>
                <w:b/>
                <w:bCs/>
                <w:i w:val="0"/>
                <w:color w:val="000000"/>
                <w:kern w:val="0"/>
                <w:sz w:val="22"/>
                <w:szCs w:val="22"/>
                <w:u w:val="none"/>
                <w:lang w:val="en-US" w:eastAsia="zh-CN" w:bidi="ar"/>
              </w:rPr>
              <w:t>国有资本经营预算财政拨款</w:t>
            </w:r>
          </w:p>
        </w:tc>
      </w:tr>
      <w:tr>
        <w:tblPrEx>
          <w:tblCellMar>
            <w:top w:w="15" w:type="dxa"/>
            <w:left w:w="15" w:type="dxa"/>
            <w:bottom w:w="15" w:type="dxa"/>
            <w:right w:w="15" w:type="dxa"/>
          </w:tblCellMar>
        </w:tblPrEx>
        <w:trPr>
          <w:trHeight w:val="504"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1.一般公共预算财政拨款</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1,959.54</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1.一般公共服务支出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sz w:val="18"/>
                <w:szCs w:val="18"/>
                <w:lang w:val="en-US"/>
              </w:rPr>
            </w:pPr>
            <w:r>
              <w:rPr>
                <w:rFonts w:hint="eastAsia" w:ascii="宋体" w:hAnsi="宋体" w:eastAsia="宋体" w:cs="宋体"/>
                <w:i w:val="0"/>
                <w:iCs w:val="0"/>
                <w:color w:val="000000"/>
                <w:kern w:val="0"/>
                <w:sz w:val="18"/>
                <w:szCs w:val="18"/>
                <w:u w:val="none"/>
                <w:lang w:val="en-US" w:eastAsia="zh-CN" w:bidi="ar"/>
              </w:rPr>
              <w:t>19.24</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19.24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r>
      <w:tr>
        <w:tblPrEx>
          <w:tblCellMar>
            <w:top w:w="15" w:type="dxa"/>
            <w:left w:w="15" w:type="dxa"/>
            <w:bottom w:w="15" w:type="dxa"/>
            <w:right w:w="15" w:type="dxa"/>
          </w:tblCellMar>
        </w:tblPrEx>
        <w:trPr>
          <w:trHeight w:val="534"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2.政府性基金预算财政拨款</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2.外交支出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504"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3.国有资本经营预算财政拨款</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3.国防支出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4.公共安全支出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5.教育支出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6.科学技术支出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7.文化旅游体育与传媒支出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sz w:val="18"/>
                <w:szCs w:val="18"/>
                <w:lang w:val="en-US"/>
              </w:rPr>
            </w:pPr>
            <w:r>
              <w:rPr>
                <w:rFonts w:hint="eastAsia" w:ascii="宋体" w:hAnsi="宋体" w:eastAsia="宋体" w:cs="宋体"/>
                <w:i w:val="0"/>
                <w:iCs w:val="0"/>
                <w:color w:val="000000"/>
                <w:kern w:val="0"/>
                <w:sz w:val="18"/>
                <w:szCs w:val="18"/>
                <w:u w:val="none"/>
                <w:lang w:val="en-US" w:eastAsia="zh-CN" w:bidi="ar"/>
              </w:rPr>
              <w:t>1868.68</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1868.68</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8.社会保障和就业支出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sz w:val="18"/>
                <w:szCs w:val="18"/>
                <w:lang w:val="en-US"/>
              </w:rPr>
            </w:pPr>
            <w:r>
              <w:rPr>
                <w:rFonts w:hint="eastAsia" w:ascii="宋体" w:hAnsi="宋体" w:eastAsia="宋体" w:cs="宋体"/>
                <w:i w:val="0"/>
                <w:iCs w:val="0"/>
                <w:color w:val="000000"/>
                <w:kern w:val="0"/>
                <w:sz w:val="18"/>
                <w:szCs w:val="18"/>
                <w:u w:val="none"/>
                <w:lang w:val="en-US" w:eastAsia="zh-CN" w:bidi="ar"/>
              </w:rPr>
              <w:t>51.65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51.65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9.卫生健康支出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sz w:val="18"/>
                <w:szCs w:val="18"/>
                <w:lang w:val="en-US"/>
              </w:rPr>
            </w:pPr>
            <w:r>
              <w:rPr>
                <w:rFonts w:hint="eastAsia" w:ascii="宋体" w:hAnsi="宋体" w:eastAsia="宋体" w:cs="宋体"/>
                <w:i w:val="0"/>
                <w:iCs w:val="0"/>
                <w:color w:val="000000"/>
                <w:kern w:val="0"/>
                <w:sz w:val="18"/>
                <w:szCs w:val="18"/>
                <w:u w:val="none"/>
                <w:lang w:val="en-US" w:eastAsia="zh-CN" w:bidi="ar"/>
              </w:rPr>
              <w:t>19.96</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19.96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10.节能环保支出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42"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11.城乡社区支出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12.农林水支出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13.交通运输支出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14.资源勘探信息等支出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42"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15.商业服务业等支出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29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16.金融支出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2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17.援助其他地区支出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18.自然资源海洋气象等支出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42"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19.住房保障支出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5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i w:val="0"/>
                <w:color w:val="000000"/>
                <w:kern w:val="0"/>
                <w:sz w:val="18"/>
                <w:szCs w:val="18"/>
                <w:u w:val="none"/>
                <w:lang w:val="en-US" w:eastAsia="zh-CN" w:bidi="ar"/>
              </w:rPr>
              <w:t>20.粮油物资储备支出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42"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21.国有资本经营预算支出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456"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b/>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22.灾害防治及应急管理支出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b/>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b/>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239"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b/>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23.其他支出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1018" w:type="dxa"/>
            <w:tcBorders>
              <w:top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kern w:val="0"/>
                <w:sz w:val="18"/>
                <w:szCs w:val="18"/>
              </w:rPr>
            </w:pPr>
          </w:p>
        </w:tc>
        <w:tc>
          <w:tcPr>
            <w:tcW w:w="873"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b/>
                <w:color w:val="000000"/>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1055" w:type="dxa"/>
            <w:tcBorders>
              <w:top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b/>
                <w:color w:val="000000"/>
                <w:sz w:val="18"/>
                <w:szCs w:val="18"/>
              </w:rPr>
            </w:pPr>
          </w:p>
        </w:tc>
      </w:tr>
      <w:tr>
        <w:tblPrEx>
          <w:tblCellMar>
            <w:top w:w="15" w:type="dxa"/>
            <w:left w:w="15" w:type="dxa"/>
            <w:bottom w:w="15" w:type="dxa"/>
            <w:right w:w="15" w:type="dxa"/>
          </w:tblCellMar>
        </w:tblPrEx>
        <w:trPr>
          <w:trHeight w:val="304"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color w:val="000000"/>
                <w:sz w:val="21"/>
                <w:szCs w:val="21"/>
              </w:rPr>
            </w:pPr>
            <w:r>
              <w:rPr>
                <w:rFonts w:hint="eastAsia" w:ascii="宋体" w:hAnsi="宋体" w:eastAsia="宋体" w:cs="宋体"/>
                <w:b/>
                <w:bCs/>
                <w:i w:val="0"/>
                <w:color w:val="000000"/>
                <w:kern w:val="0"/>
                <w:sz w:val="22"/>
                <w:szCs w:val="22"/>
                <w:u w:val="none"/>
                <w:lang w:val="en-US" w:eastAsia="zh-CN" w:bidi="ar"/>
              </w:rPr>
              <w:t>本年收入合计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2,072.46</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bCs/>
                <w:i w:val="0"/>
                <w:color w:val="000000"/>
                <w:kern w:val="0"/>
                <w:sz w:val="22"/>
                <w:szCs w:val="22"/>
                <w:u w:val="none"/>
                <w:lang w:val="en-US" w:eastAsia="zh-CN" w:bidi="ar"/>
              </w:rPr>
              <w:t>本年支出合计</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sz w:val="18"/>
                <w:szCs w:val="18"/>
                <w:lang w:val="en-US"/>
              </w:rPr>
            </w:pPr>
            <w:r>
              <w:rPr>
                <w:rFonts w:hint="eastAsia" w:ascii="宋体" w:hAnsi="宋体" w:eastAsia="宋体" w:cs="宋体"/>
                <w:i w:val="0"/>
                <w:iCs w:val="0"/>
                <w:color w:val="000000"/>
                <w:kern w:val="0"/>
                <w:sz w:val="18"/>
                <w:szCs w:val="18"/>
                <w:u w:val="none"/>
                <w:lang w:val="en-US" w:eastAsia="zh-CN" w:bidi="ar"/>
              </w:rPr>
              <w:t>2072.46</w:t>
            </w:r>
          </w:p>
        </w:tc>
        <w:tc>
          <w:tcPr>
            <w:tcW w:w="1018"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1959.54</w:t>
            </w:r>
          </w:p>
        </w:tc>
        <w:tc>
          <w:tcPr>
            <w:tcW w:w="873"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b/>
                <w:color w:val="000000"/>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105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b/>
                <w:color w:val="000000"/>
                <w:sz w:val="18"/>
                <w:szCs w:val="18"/>
              </w:rPr>
            </w:pPr>
          </w:p>
        </w:tc>
      </w:tr>
    </w:tbl>
    <w:p>
      <w:r>
        <w:rPr>
          <w:rFonts w:hint="eastAsia" w:ascii="宋体" w:hAnsi="宋体" w:eastAsia="宋体" w:cs="宋体"/>
          <w:sz w:val="21"/>
          <w:szCs w:val="21"/>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财政拨款收入支出决算总表</w:t>
      </w:r>
      <w:r>
        <w:rPr>
          <w:rFonts w:hint="eastAsia" w:ascii="宋体" w:hAnsi="宋体" w:eastAsia="宋体" w:cs="宋体"/>
          <w:b/>
          <w:bCs/>
          <w:sz w:val="32"/>
          <w:szCs w:val="32"/>
          <w:lang w:eastAsia="zh-CN"/>
        </w:rPr>
        <w:t>（续）</w:t>
      </w:r>
    </w:p>
    <w:p>
      <w:pPr>
        <w:jc w:val="right"/>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 xml:space="preserve"> 公开04表</w:t>
      </w:r>
    </w:p>
    <w:p>
      <w:pPr>
        <w:jc w:val="right"/>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编制部门：                                                           金额单位：万元</w:t>
      </w:r>
    </w:p>
    <w:tbl>
      <w:tblPr>
        <w:tblStyle w:val="6"/>
        <w:tblW w:w="8426" w:type="dxa"/>
        <w:tblInd w:w="0" w:type="dxa"/>
        <w:tblLayout w:type="fixed"/>
        <w:tblCellMar>
          <w:top w:w="15" w:type="dxa"/>
          <w:left w:w="15" w:type="dxa"/>
          <w:bottom w:w="15" w:type="dxa"/>
          <w:right w:w="15" w:type="dxa"/>
        </w:tblCellMar>
      </w:tblPr>
      <w:tblGrid>
        <w:gridCol w:w="1681"/>
        <w:gridCol w:w="1304"/>
        <w:gridCol w:w="1523"/>
        <w:gridCol w:w="1032"/>
        <w:gridCol w:w="890"/>
        <w:gridCol w:w="1005"/>
        <w:gridCol w:w="990"/>
        <w:gridCol w:w="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收入</w:t>
            </w:r>
          </w:p>
        </w:tc>
        <w:tc>
          <w:tcPr>
            <w:tcW w:w="544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支出</w:t>
            </w:r>
          </w:p>
        </w:tc>
      </w:tr>
      <w:tr>
        <w:tblPrEx>
          <w:tblCellMar>
            <w:top w:w="15" w:type="dxa"/>
            <w:left w:w="15" w:type="dxa"/>
            <w:bottom w:w="15" w:type="dxa"/>
            <w:right w:w="15" w:type="dxa"/>
          </w:tblCellMar>
        </w:tblPrEx>
        <w:trPr>
          <w:gridAfter w:val="1"/>
          <w:wAfter w:w="1" w:type="dxa"/>
          <w:trHeight w:val="999"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    目</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决算数</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合计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一般公共预算财政拨款</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政府性基金预算财政拨款</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国有资本经营预算财政拨款</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年末财政拨款</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结转和结余</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一般公共预算财政拨款</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国有资本经营财政拨款</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收入总计</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2,072.46</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支出总计</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2072.46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1959.54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112.92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bl>
    <w:p>
      <w:pPr>
        <w:rPr>
          <w:sz w:val="22"/>
          <w:szCs w:val="22"/>
        </w:rPr>
      </w:pPr>
      <w:r>
        <w:rPr>
          <w:rFonts w:hint="eastAsia" w:ascii="宋体" w:hAnsi="宋体" w:eastAsia="宋体" w:cs="宋体"/>
          <w:sz w:val="22"/>
          <w:szCs w:val="22"/>
        </w:rPr>
        <w:t>注：本表反映部门本年度一般公共预算财政拨款、政府性基金预算财政拨款和国有资本经营预算财政拨款的总收支和年末结转结余情况。本表金额转换为万元时，因四舍五入可能存在尾差。</w:t>
      </w:r>
    </w:p>
    <w:p>
      <w:pPr>
        <w:rPr>
          <w:rFonts w:ascii="仿宋_GB2312" w:hAnsi="仿宋_GB2312" w:eastAsia="仿宋_GB2312" w:cs="仿宋_GB2312"/>
          <w:szCs w:val="32"/>
        </w:rPr>
      </w:pPr>
    </w:p>
    <w:p/>
    <w:p/>
    <w:p/>
    <w:p/>
    <w:p/>
    <w:p>
      <w:pPr>
        <w:jc w:val="center"/>
        <w:rPr>
          <w:rFonts w:hint="eastAsia" w:ascii="宋体" w:hAnsi="宋体" w:eastAsia="宋体" w:cs="宋体"/>
          <w:b/>
          <w:bCs/>
          <w:sz w:val="32"/>
          <w:szCs w:val="32"/>
        </w:rPr>
      </w:pPr>
      <w:r>
        <w:rPr>
          <w:rFonts w:hint="eastAsia" w:ascii="宋体" w:hAnsi="宋体" w:eastAsia="宋体" w:cs="宋体"/>
          <w:b/>
          <w:bCs/>
          <w:sz w:val="32"/>
          <w:szCs w:val="32"/>
        </w:rPr>
        <w:t>一般公共预算财政拨款支出决算表（按功能分类科目）</w:t>
      </w:r>
    </w:p>
    <w:p>
      <w:pPr>
        <w:jc w:val="right"/>
        <w:rPr>
          <w:rFonts w:hint="eastAsia" w:ascii="宋体" w:hAnsi="宋体" w:eastAsia="宋体" w:cs="宋体"/>
          <w:b/>
          <w:bCs/>
          <w:sz w:val="20"/>
          <w:szCs w:val="20"/>
          <w:lang w:val="en-US" w:eastAsia="zh-CN"/>
        </w:rPr>
      </w:pPr>
      <w:r>
        <w:rPr>
          <w:rFonts w:hint="eastAsia" w:ascii="宋体" w:hAnsi="宋体" w:eastAsia="宋体" w:cs="宋体"/>
          <w:b/>
          <w:bCs/>
          <w:sz w:val="21"/>
          <w:szCs w:val="21"/>
        </w:rPr>
        <w:t xml:space="preserve">    </w:t>
      </w:r>
      <w:r>
        <w:rPr>
          <w:rFonts w:hint="eastAsia" w:ascii="仿宋_GB2312" w:hAnsi="仿宋_GB2312" w:eastAsia="仿宋_GB2312" w:cs="仿宋_GB2312"/>
          <w:b/>
          <w:bCs/>
          <w:sz w:val="21"/>
          <w:szCs w:val="21"/>
        </w:rPr>
        <w:t xml:space="preserve">                                                                  </w:t>
      </w:r>
      <w:r>
        <w:rPr>
          <w:rFonts w:hint="eastAsia" w:ascii="宋体" w:hAnsi="宋体" w:eastAsia="宋体" w:cs="宋体"/>
          <w:b/>
          <w:bCs/>
          <w:sz w:val="20"/>
          <w:szCs w:val="20"/>
          <w:lang w:val="en-US" w:eastAsia="zh-CN"/>
        </w:rPr>
        <w:t>公开05表</w:t>
      </w:r>
    </w:p>
    <w:p>
      <w:pPr>
        <w:jc w:val="right"/>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编制部门：                                                           金额单位：万元</w:t>
      </w:r>
    </w:p>
    <w:tbl>
      <w:tblPr>
        <w:tblStyle w:val="6"/>
        <w:tblW w:w="0" w:type="auto"/>
        <w:tblInd w:w="0" w:type="dxa"/>
        <w:tblLayout w:type="fixed"/>
        <w:tblCellMar>
          <w:top w:w="15" w:type="dxa"/>
          <w:left w:w="15" w:type="dxa"/>
          <w:bottom w:w="15" w:type="dxa"/>
          <w:right w:w="15" w:type="dxa"/>
        </w:tblCellMar>
      </w:tblPr>
      <w:tblGrid>
        <w:gridCol w:w="1390"/>
        <w:gridCol w:w="2044"/>
        <w:gridCol w:w="1200"/>
        <w:gridCol w:w="1837"/>
        <w:gridCol w:w="1819"/>
      </w:tblGrid>
      <w:tr>
        <w:tblPrEx>
          <w:tblCellMar>
            <w:top w:w="15" w:type="dxa"/>
            <w:left w:w="15" w:type="dxa"/>
            <w:bottom w:w="15" w:type="dxa"/>
            <w:right w:w="15" w:type="dxa"/>
          </w:tblCellMar>
        </w:tblPrEx>
        <w:trPr>
          <w:trHeight w:val="414" w:hRule="atLeast"/>
        </w:trPr>
        <w:tc>
          <w:tcPr>
            <w:tcW w:w="34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    目</w:t>
            </w:r>
          </w:p>
        </w:tc>
        <w:tc>
          <w:tcPr>
            <w:tcW w:w="4856"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本年支出</w:t>
            </w:r>
          </w:p>
        </w:tc>
      </w:tr>
      <w:tr>
        <w:tblPrEx>
          <w:tblCellMar>
            <w:top w:w="15" w:type="dxa"/>
            <w:left w:w="15" w:type="dxa"/>
            <w:bottom w:w="15" w:type="dxa"/>
            <w:right w:w="15" w:type="dxa"/>
          </w:tblCellMar>
        </w:tblPrEx>
        <w:trPr>
          <w:trHeight w:val="781"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功能分类科目编码</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科目名称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小计</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基本支出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436"/>
              </w:tabs>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项目支出</w:t>
            </w:r>
          </w:p>
        </w:tc>
      </w:tr>
      <w:tr>
        <w:tblPrEx>
          <w:tblCellMar>
            <w:top w:w="15" w:type="dxa"/>
            <w:left w:w="15" w:type="dxa"/>
            <w:bottom w:w="15" w:type="dxa"/>
            <w:right w:w="15" w:type="dxa"/>
          </w:tblCellMar>
        </w:tblPrEx>
        <w:trPr>
          <w:trHeight w:val="414" w:hRule="atLeast"/>
        </w:trPr>
        <w:tc>
          <w:tcPr>
            <w:tcW w:w="34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1,959.54</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482.68</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1,476.86</w:t>
            </w:r>
          </w:p>
        </w:tc>
      </w:tr>
      <w:tr>
        <w:tblPrEx>
          <w:tblCellMar>
            <w:top w:w="15" w:type="dxa"/>
            <w:left w:w="15" w:type="dxa"/>
            <w:bottom w:w="15" w:type="dxa"/>
            <w:right w:w="15" w:type="dxa"/>
          </w:tblCellMar>
        </w:tblPrEx>
        <w:trPr>
          <w:trHeight w:val="696"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19.25</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8.45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10.80</w:t>
            </w:r>
          </w:p>
        </w:tc>
      </w:tr>
      <w:tr>
        <w:tblPrEx>
          <w:tblCellMar>
            <w:top w:w="15" w:type="dxa"/>
            <w:left w:w="15" w:type="dxa"/>
            <w:bottom w:w="15" w:type="dxa"/>
            <w:right w:w="15" w:type="dxa"/>
          </w:tblCellMar>
        </w:tblPrEx>
        <w:trPr>
          <w:trHeight w:val="70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20111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纪检监察事务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r>
      <w:tr>
        <w:tblPrEx>
          <w:tblCellMar>
            <w:top w:w="15" w:type="dxa"/>
            <w:left w:w="15" w:type="dxa"/>
            <w:bottom w:w="15" w:type="dxa"/>
            <w:right w:w="15" w:type="dxa"/>
          </w:tblCellMar>
        </w:tblPrEx>
        <w:trPr>
          <w:trHeight w:val="781"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2011101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20199</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16.85</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6.05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10.80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2019999</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16.85</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6.05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10.80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1,868.67</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402.62</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1,466.05</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文化和旅游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791.24</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300.04</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491.20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2070101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169.18</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169.18</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2070102</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2070104</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55.03</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50.03</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2070108</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文化活动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2070109</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90.83</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80.83</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r>
      <w:tr>
        <w:tblPrEx>
          <w:tblCellMar>
            <w:top w:w="15" w:type="dxa"/>
            <w:left w:w="15" w:type="dxa"/>
            <w:bottom w:w="15" w:type="dxa"/>
            <w:right w:w="15" w:type="dxa"/>
          </w:tblCellMar>
        </w:tblPrEx>
        <w:trPr>
          <w:trHeight w:val="45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2070111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2070112</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文化和旅游市场管理</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7.40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7.40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2070199</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400.80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400.80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20702</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文物</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177.29</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177.29</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2070202</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2070204</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176.07</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176.07</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20703</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体育</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895.76</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102.58</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793.18</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2070305</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体育竞赛</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671.89</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671.89</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2070307</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体育场馆</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150.58</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102.58</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48.00</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2070308</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群众体育</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23.29</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23.29</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2070399</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其他体育支出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20799</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4.38</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4.38</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2079999</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4.38</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4.38</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51.65</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51.65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51.65</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51.65</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19.96</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19.96</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19.96</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19.96</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6.25</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13.71</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13.71</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p>
        </w:tc>
      </w:tr>
    </w:tbl>
    <w:p>
      <w:pPr>
        <w:keepNext w:val="0"/>
        <w:keepLines w:val="0"/>
        <w:widowControl/>
        <w:suppressLineNumbers w:val="0"/>
        <w:jc w:val="left"/>
        <w:textAlignment w:val="center"/>
        <w:rPr>
          <w:rFonts w:hint="default" w:ascii="仿宋_GB2312" w:hAnsi="仿宋_GB2312" w:eastAsia="仿宋_GB2312" w:cs="仿宋_GB2312"/>
          <w:sz w:val="21"/>
          <w:szCs w:val="24"/>
          <w:lang w:val="en-US"/>
        </w:rPr>
      </w:pPr>
      <w:r>
        <w:rPr>
          <w:rFonts w:hint="eastAsia" w:ascii="宋体" w:hAnsi="宋体" w:eastAsia="宋体" w:cs="宋体"/>
          <w:i w:val="0"/>
          <w:color w:val="000000"/>
          <w:kern w:val="0"/>
          <w:sz w:val="22"/>
          <w:szCs w:val="22"/>
          <w:u w:val="none"/>
          <w:lang w:val="en-US" w:eastAsia="zh-CN" w:bidi="ar"/>
        </w:rPr>
        <w:t>注：本表反映部门本年度一般公共预算财政拨款实际支出情况。本表金额转换为万元时，因四舍五入可能存在尾差。</w:t>
      </w:r>
    </w:p>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jc w:val="center"/>
        <w:rPr>
          <w:rFonts w:hint="eastAsia" w:ascii="宋体" w:hAnsi="宋体" w:eastAsia="宋体" w:cs="宋体"/>
          <w:b/>
          <w:bCs/>
          <w:sz w:val="32"/>
          <w:szCs w:val="32"/>
        </w:rPr>
      </w:pPr>
      <w:r>
        <w:rPr>
          <w:rFonts w:hint="eastAsia" w:ascii="宋体" w:hAnsi="宋体" w:eastAsia="宋体" w:cs="宋体"/>
          <w:b/>
          <w:bCs/>
          <w:sz w:val="32"/>
          <w:szCs w:val="32"/>
        </w:rPr>
        <w:t>一般公共预算财政拨款基本支出决算表（按经济分类科目）</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公开06表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编制部门：                                                       金额单位：万元</w:t>
      </w:r>
    </w:p>
    <w:tbl>
      <w:tblPr>
        <w:tblStyle w:val="6"/>
        <w:tblW w:w="0" w:type="auto"/>
        <w:tblInd w:w="0" w:type="dxa"/>
        <w:tblLayout w:type="fixed"/>
        <w:tblCellMar>
          <w:top w:w="15" w:type="dxa"/>
          <w:left w:w="15" w:type="dxa"/>
          <w:bottom w:w="15" w:type="dxa"/>
          <w:right w:w="15" w:type="dxa"/>
        </w:tblCellMar>
      </w:tblPr>
      <w:tblGrid>
        <w:gridCol w:w="1062"/>
        <w:gridCol w:w="1857"/>
        <w:gridCol w:w="1462"/>
        <w:gridCol w:w="1463"/>
        <w:gridCol w:w="1406"/>
        <w:gridCol w:w="1050"/>
      </w:tblGrid>
      <w:tr>
        <w:tblPrEx>
          <w:tblCellMar>
            <w:top w:w="15" w:type="dxa"/>
            <w:left w:w="15" w:type="dxa"/>
            <w:bottom w:w="15" w:type="dxa"/>
            <w:right w:w="15" w:type="dxa"/>
          </w:tblCellMar>
        </w:tblPrEx>
        <w:trPr>
          <w:trHeight w:val="406" w:hRule="atLeast"/>
        </w:trPr>
        <w:tc>
          <w:tcPr>
            <w:tcW w:w="29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    目</w:t>
            </w: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本年支出合计</w:t>
            </w:r>
          </w:p>
        </w:tc>
        <w:tc>
          <w:tcPr>
            <w:tcW w:w="14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人员经费</w:t>
            </w:r>
          </w:p>
        </w:tc>
        <w:tc>
          <w:tcPr>
            <w:tcW w:w="14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公用经费</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备注</w:t>
            </w:r>
          </w:p>
        </w:tc>
      </w:tr>
      <w:tr>
        <w:tblPrEx>
          <w:tblCellMar>
            <w:top w:w="15" w:type="dxa"/>
            <w:left w:w="15" w:type="dxa"/>
            <w:bottom w:w="15" w:type="dxa"/>
            <w:right w:w="15" w:type="dxa"/>
          </w:tblCellMar>
        </w:tblPrEx>
        <w:trPr>
          <w:trHeight w:val="723"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经济分类科目编码</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科目名称</w:t>
            </w: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14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14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29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合计</w:t>
            </w:r>
          </w:p>
        </w:tc>
        <w:tc>
          <w:tcPr>
            <w:tcW w:w="146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482.68</w:t>
            </w:r>
          </w:p>
        </w:tc>
        <w:tc>
          <w:tcPr>
            <w:tcW w:w="146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443.60</w:t>
            </w:r>
          </w:p>
        </w:tc>
        <w:tc>
          <w:tcPr>
            <w:tcW w:w="140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39.08</w:t>
            </w:r>
          </w:p>
        </w:tc>
        <w:tc>
          <w:tcPr>
            <w:tcW w:w="1050" w:type="dxa"/>
            <w:tcBorders>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工资福利支出</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427.46</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427.46</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30101</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141.01</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141.01</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30102</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66.15</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66.15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30103</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奖金</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32.77</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32.77</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30107</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48.28</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48.28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30108</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51.65</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30109</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6.74</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6.74</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30110</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22.35</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30113</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58.51</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58.51</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商品和服务支出</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39.08</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30201</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8.69</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30202</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0.52</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30205</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水费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0.47</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30206</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电费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30207</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0.71</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30211</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3.43</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30215</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0.41</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30216</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0.39</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30217</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0.46</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30228</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30231</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6.92</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30239</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11.16</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16.13</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16.13</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30302</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15.35</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30305</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0.78</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bl>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注：本表反映部门本年度一般公共预算财政拨款基本支出明细情况。本表金额转换为万元时，因四舍五入可能存在尾差。</w:t>
      </w:r>
    </w:p>
    <w:p/>
    <w:p/>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一般公共预算财政拨款“三公”经费</w:t>
      </w:r>
    </w:p>
    <w:p>
      <w:pPr>
        <w:jc w:val="center"/>
        <w:rPr>
          <w:rFonts w:hint="eastAsia" w:ascii="宋体" w:hAnsi="宋体" w:eastAsia="宋体" w:cs="宋体"/>
          <w:b/>
          <w:bCs/>
          <w:sz w:val="32"/>
          <w:szCs w:val="32"/>
        </w:rPr>
      </w:pPr>
      <w:r>
        <w:rPr>
          <w:rFonts w:hint="eastAsia" w:ascii="宋体" w:hAnsi="宋体" w:eastAsia="宋体" w:cs="宋体"/>
          <w:b/>
          <w:bCs/>
          <w:sz w:val="32"/>
          <w:szCs w:val="32"/>
        </w:rPr>
        <w:t>及会议费、培训费支出决算表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公开07表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编制部门：                                                       金额单位：万元</w:t>
      </w:r>
    </w:p>
    <w:tbl>
      <w:tblPr>
        <w:tblStyle w:val="6"/>
        <w:tblW w:w="0" w:type="auto"/>
        <w:tblInd w:w="0" w:type="dxa"/>
        <w:tblLayout w:type="fixed"/>
        <w:tblCellMar>
          <w:top w:w="15" w:type="dxa"/>
          <w:left w:w="15" w:type="dxa"/>
          <w:bottom w:w="15" w:type="dxa"/>
          <w:right w:w="15" w:type="dxa"/>
        </w:tblCellMar>
      </w:tblPr>
      <w:tblGrid>
        <w:gridCol w:w="1079"/>
        <w:gridCol w:w="865"/>
        <w:gridCol w:w="1162"/>
        <w:gridCol w:w="881"/>
        <w:gridCol w:w="750"/>
        <w:gridCol w:w="1013"/>
        <w:gridCol w:w="1069"/>
        <w:gridCol w:w="731"/>
        <w:gridCol w:w="769"/>
      </w:tblGrid>
      <w:tr>
        <w:tblPrEx>
          <w:tblCellMar>
            <w:top w:w="15" w:type="dxa"/>
            <w:left w:w="15" w:type="dxa"/>
            <w:bottom w:w="15" w:type="dxa"/>
            <w:right w:w="15" w:type="dxa"/>
          </w:tblCellMar>
        </w:tblPrEx>
        <w:trPr>
          <w:trHeight w:val="726" w:hRule="atLeast"/>
        </w:trPr>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w:t>
            </w:r>
          </w:p>
        </w:tc>
        <w:tc>
          <w:tcPr>
            <w:tcW w:w="5740" w:type="dxa"/>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一般公共预算财政拨款安排的“三公”经费</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会议费</w:t>
            </w:r>
          </w:p>
        </w:tc>
        <w:tc>
          <w:tcPr>
            <w:tcW w:w="7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865"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小计</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因公出国（境）费用</w:t>
            </w:r>
          </w:p>
        </w:tc>
        <w:tc>
          <w:tcPr>
            <w:tcW w:w="8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公务接待费</w:t>
            </w:r>
          </w:p>
        </w:tc>
        <w:tc>
          <w:tcPr>
            <w:tcW w:w="28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公务用车购置及运行维护费</w:t>
            </w: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753" w:hRule="atLeast"/>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865"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公务用车购置费</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公务用车运行维护费</w:t>
            </w: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726" w:hRule="atLeast"/>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6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r>
      <w:tr>
        <w:tblPrEx>
          <w:tblCellMar>
            <w:top w:w="15" w:type="dxa"/>
            <w:left w:w="15" w:type="dxa"/>
            <w:bottom w:w="15" w:type="dxa"/>
            <w:right w:w="15" w:type="dxa"/>
          </w:tblCellMar>
        </w:tblPrEx>
        <w:trPr>
          <w:trHeight w:val="726" w:hRule="atLeast"/>
        </w:trPr>
        <w:tc>
          <w:tcPr>
            <w:tcW w:w="10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预算数</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8.25</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7.55</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决算数</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7.38</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6.92</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6.92</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0.39</w:t>
            </w:r>
          </w:p>
        </w:tc>
      </w:tr>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本表金额转换为万元时，因四舍五入可能存在尾差。</w:t>
      </w:r>
    </w:p>
    <w:p>
      <w:pPr>
        <w:rPr>
          <w:rFonts w:hint="eastAsia" w:ascii="仿宋_GB2312" w:hAnsi="仿宋_GB2312" w:eastAsia="仿宋_GB2312" w:cs="仿宋_GB2312"/>
        </w:rPr>
      </w:pPr>
    </w:p>
    <w:p/>
    <w:p/>
    <w:p/>
    <w:p/>
    <w:p/>
    <w:p/>
    <w:p/>
    <w:p/>
    <w:p>
      <w:pPr>
        <w:jc w:val="center"/>
        <w:rPr>
          <w:rFonts w:hint="eastAsia" w:ascii="宋体" w:hAnsi="宋体" w:eastAsia="宋体" w:cs="宋体"/>
          <w:b/>
          <w:bCs/>
          <w:sz w:val="32"/>
          <w:szCs w:val="32"/>
        </w:rPr>
      </w:pPr>
      <w:r>
        <w:rPr>
          <w:rFonts w:hint="eastAsia" w:ascii="宋体" w:hAnsi="宋体" w:eastAsia="宋体" w:cs="宋体"/>
          <w:b/>
          <w:bCs/>
          <w:sz w:val="32"/>
          <w:szCs w:val="32"/>
        </w:rPr>
        <w:t>政府性基金预算财政拨款收入支出决算表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公开08表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编制部门：                                                       金额单位：万元</w:t>
      </w:r>
    </w:p>
    <w:tbl>
      <w:tblPr>
        <w:tblStyle w:val="6"/>
        <w:tblW w:w="0" w:type="auto"/>
        <w:tblInd w:w="0" w:type="dxa"/>
        <w:tblLayout w:type="fixed"/>
        <w:tblCellMar>
          <w:top w:w="15" w:type="dxa"/>
          <w:left w:w="15" w:type="dxa"/>
          <w:bottom w:w="15" w:type="dxa"/>
          <w:right w:w="15" w:type="dxa"/>
        </w:tblCellMar>
      </w:tblPr>
      <w:tblGrid>
        <w:gridCol w:w="1023"/>
        <w:gridCol w:w="1258"/>
        <w:gridCol w:w="1132"/>
        <w:gridCol w:w="990"/>
        <w:gridCol w:w="930"/>
        <w:gridCol w:w="1049"/>
        <w:gridCol w:w="1024"/>
        <w:gridCol w:w="931"/>
      </w:tblGrid>
      <w:tr>
        <w:tblPrEx>
          <w:tblCellMar>
            <w:top w:w="15" w:type="dxa"/>
            <w:left w:w="15" w:type="dxa"/>
            <w:bottom w:w="15" w:type="dxa"/>
            <w:right w:w="15" w:type="dxa"/>
          </w:tblCellMar>
        </w:tblPrEx>
        <w:trPr>
          <w:trHeight w:val="491" w:hRule="atLeast"/>
        </w:trPr>
        <w:tc>
          <w:tcPr>
            <w:tcW w:w="2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    目</w:t>
            </w:r>
          </w:p>
        </w:tc>
        <w:tc>
          <w:tcPr>
            <w:tcW w:w="11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年初结转</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和结余</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本年收入</w:t>
            </w:r>
          </w:p>
        </w:tc>
        <w:tc>
          <w:tcPr>
            <w:tcW w:w="3003"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本年支出</w:t>
            </w:r>
          </w:p>
        </w:tc>
        <w:tc>
          <w:tcPr>
            <w:tcW w:w="9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功能分类科目编码</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科目名称</w:t>
            </w: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小计</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基本支出</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项目支出</w:t>
            </w:r>
          </w:p>
        </w:tc>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2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合计</w:t>
            </w:r>
          </w:p>
        </w:tc>
        <w:tc>
          <w:tcPr>
            <w:tcW w:w="1132" w:type="dxa"/>
            <w:tcBorders>
              <w:top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2296003</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
      <w:pPr>
        <w:jc w:val="center"/>
        <w:rPr>
          <w:rFonts w:hint="eastAsia" w:ascii="宋体" w:hAnsi="宋体" w:eastAsia="宋体" w:cs="宋体"/>
          <w:b/>
          <w:bCs/>
          <w:sz w:val="32"/>
          <w:szCs w:val="32"/>
        </w:rPr>
      </w:pPr>
      <w:r>
        <w:rPr>
          <w:rFonts w:hint="eastAsia" w:ascii="宋体" w:hAnsi="宋体" w:eastAsia="宋体" w:cs="宋体"/>
          <w:b/>
          <w:bCs/>
          <w:sz w:val="32"/>
          <w:szCs w:val="32"/>
          <w:lang w:eastAsia="zh-CN"/>
        </w:rPr>
        <w:t>国有资本经营</w:t>
      </w:r>
      <w:r>
        <w:rPr>
          <w:rFonts w:hint="eastAsia" w:ascii="宋体" w:hAnsi="宋体" w:eastAsia="宋体" w:cs="宋体"/>
          <w:b/>
          <w:bCs/>
          <w:sz w:val="32"/>
          <w:szCs w:val="32"/>
        </w:rPr>
        <w:t>预算财政拨款支出决算表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公开0</w:t>
      </w:r>
      <w:r>
        <w:rPr>
          <w:rFonts w:hint="eastAsia" w:ascii="仿宋_GB2312" w:hAnsi="仿宋_GB2312" w:eastAsia="仿宋_GB2312" w:cs="仿宋_GB2312"/>
          <w:b/>
          <w:bCs/>
          <w:sz w:val="21"/>
          <w:szCs w:val="21"/>
          <w:lang w:val="en-US" w:eastAsia="zh-CN"/>
        </w:rPr>
        <w:t>9</w:t>
      </w:r>
      <w:r>
        <w:rPr>
          <w:rFonts w:hint="eastAsia" w:ascii="仿宋_GB2312" w:hAnsi="仿宋_GB2312" w:eastAsia="仿宋_GB2312" w:cs="仿宋_GB2312"/>
          <w:b/>
          <w:bCs/>
          <w:sz w:val="21"/>
          <w:szCs w:val="21"/>
        </w:rPr>
        <w:t>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编制部门：                                                       金额单位：万元</w:t>
      </w:r>
    </w:p>
    <w:tbl>
      <w:tblPr>
        <w:tblStyle w:val="6"/>
        <w:tblW w:w="0" w:type="auto"/>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    目</w:t>
            </w:r>
          </w:p>
        </w:tc>
        <w:tc>
          <w:tcPr>
            <w:tcW w:w="4283"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科目编码</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科目名称</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小计</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基本支出</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合计</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注：本表反映部门本年度国有资本经营预算财政拨款支出情况。本表金额转换为万元时，因四舍五入可能存在尾差。</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jc w:val="center"/>
        <w:rPr>
          <w:rFonts w:hint="eastAsia" w:ascii="黑体" w:hAnsi="宋体" w:eastAsia="黑体"/>
          <w:color w:val="000000"/>
          <w:kern w:val="0"/>
          <w:sz w:val="44"/>
          <w:szCs w:val="44"/>
        </w:rPr>
      </w:pPr>
    </w:p>
    <w:p>
      <w:pPr>
        <w:ind w:firstLine="883" w:firstLineChars="200"/>
        <w:jc w:val="both"/>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 xml:space="preserve">第三部分 </w:t>
      </w:r>
      <w:r>
        <w:rPr>
          <w:rFonts w:hint="eastAsia" w:asciiTheme="majorEastAsia" w:hAnsiTheme="majorEastAsia" w:eastAsiaTheme="majorEastAsia" w:cstheme="majorEastAsia"/>
          <w:b/>
          <w:bCs/>
          <w:color w:val="000000"/>
          <w:kern w:val="0"/>
          <w:sz w:val="44"/>
          <w:szCs w:val="44"/>
          <w:lang w:eastAsia="zh-CN"/>
        </w:rPr>
        <w:t>202</w:t>
      </w:r>
      <w:r>
        <w:rPr>
          <w:rFonts w:hint="eastAsia" w:asciiTheme="majorEastAsia" w:hAnsiTheme="majorEastAsia" w:eastAsiaTheme="majorEastAsia" w:cstheme="majorEastAsia"/>
          <w:b/>
          <w:bCs/>
          <w:color w:val="000000"/>
          <w:kern w:val="0"/>
          <w:sz w:val="44"/>
          <w:szCs w:val="44"/>
          <w:lang w:val="en-US" w:eastAsia="zh-CN"/>
        </w:rPr>
        <w:t>1</w:t>
      </w:r>
      <w:r>
        <w:rPr>
          <w:rFonts w:hint="eastAsia" w:asciiTheme="majorEastAsia" w:hAnsiTheme="majorEastAsia" w:eastAsiaTheme="majorEastAsia" w:cstheme="majorEastAsia"/>
          <w:b/>
          <w:bCs/>
          <w:color w:val="000000"/>
          <w:kern w:val="0"/>
          <w:sz w:val="44"/>
          <w:szCs w:val="44"/>
          <w:lang w:eastAsia="zh-CN"/>
        </w:rPr>
        <w:t>年</w:t>
      </w:r>
      <w:r>
        <w:rPr>
          <w:rFonts w:hint="eastAsia" w:asciiTheme="majorEastAsia" w:hAnsiTheme="majorEastAsia" w:eastAsiaTheme="majorEastAsia" w:cstheme="majorEastAsia"/>
          <w:b/>
          <w:bCs/>
          <w:color w:val="000000"/>
          <w:kern w:val="0"/>
          <w:sz w:val="44"/>
          <w:szCs w:val="44"/>
        </w:rPr>
        <w:t>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一、收入支出决算总体情况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 w:eastAsia="仿宋_GB2312"/>
          <w:szCs w:val="32"/>
          <w:lang w:eastAsia="zh-CN"/>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 w:eastAsia="仿宋_GB2312"/>
          <w:szCs w:val="32"/>
        </w:rPr>
      </w:pPr>
      <w:r>
        <w:rPr>
          <w:rFonts w:hint="eastAsia" w:ascii="仿宋_GB2312" w:hAnsi="仿宋" w:eastAsia="仿宋_GB2312"/>
          <w:szCs w:val="32"/>
        </w:rPr>
        <w:drawing>
          <wp:inline distT="0" distB="0" distL="114300" distR="114300">
            <wp:extent cx="5080000" cy="2406015"/>
            <wp:effectExtent l="4445" t="4445" r="20955"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line="500" w:lineRule="exact"/>
        <w:ind w:firstLine="640" w:firstLineChars="200"/>
        <w:jc w:val="left"/>
        <w:rPr>
          <w:rFonts w:hint="eastAsia" w:ascii="仿宋_GB2312" w:hAnsi="仿宋" w:eastAsia="仿宋_GB2312"/>
          <w:szCs w:val="32"/>
          <w:lang w:eastAsia="zh-CN"/>
        </w:rPr>
      </w:pPr>
      <w:r>
        <w:rPr>
          <w:rFonts w:hint="eastAsia" w:ascii="仿宋_GB2312" w:hAnsi="仿宋" w:eastAsia="仿宋_GB2312"/>
          <w:szCs w:val="32"/>
          <w:lang w:val="en-US" w:eastAsia="zh-CN"/>
        </w:rPr>
        <w:t>2021年度收</w:t>
      </w:r>
      <w:r>
        <w:rPr>
          <w:rFonts w:hint="eastAsia" w:ascii="仿宋_GB2312" w:hAnsi="仿宋" w:eastAsia="仿宋_GB2312"/>
          <w:szCs w:val="32"/>
        </w:rPr>
        <w:t>入</w:t>
      </w:r>
      <w:r>
        <w:rPr>
          <w:rFonts w:hint="eastAsia" w:ascii="仿宋_GB2312" w:hAnsi="仿宋" w:eastAsia="仿宋_GB2312"/>
          <w:szCs w:val="32"/>
          <w:lang w:val="en-US" w:eastAsia="zh-CN"/>
        </w:rPr>
        <w:t>2072.46</w:t>
      </w:r>
      <w:r>
        <w:rPr>
          <w:rFonts w:hint="eastAsia" w:ascii="仿宋_GB2312" w:hAnsi="仿宋" w:eastAsia="仿宋_GB2312"/>
          <w:szCs w:val="32"/>
        </w:rPr>
        <w:t>万元，20</w:t>
      </w:r>
      <w:r>
        <w:rPr>
          <w:rFonts w:hint="eastAsia" w:ascii="仿宋_GB2312" w:hAnsi="仿宋" w:eastAsia="仿宋_GB2312"/>
          <w:szCs w:val="32"/>
          <w:lang w:val="en-US" w:eastAsia="zh-CN"/>
        </w:rPr>
        <w:t>20</w:t>
      </w:r>
      <w:r>
        <w:rPr>
          <w:rFonts w:hint="eastAsia" w:ascii="仿宋_GB2312" w:hAnsi="仿宋" w:eastAsia="仿宋_GB2312"/>
          <w:szCs w:val="32"/>
        </w:rPr>
        <w:t>年收入</w:t>
      </w:r>
      <w:r>
        <w:rPr>
          <w:rFonts w:hint="eastAsia" w:ascii="仿宋_GB2312" w:hAnsi="仿宋" w:eastAsia="仿宋_GB2312"/>
          <w:szCs w:val="32"/>
          <w:lang w:val="en-US" w:eastAsia="zh-CN"/>
        </w:rPr>
        <w:t>2650.13</w:t>
      </w:r>
      <w:r>
        <w:rPr>
          <w:rFonts w:hint="eastAsia" w:ascii="仿宋_GB2312" w:hAnsi="仿宋" w:eastAsia="仿宋_GB2312"/>
          <w:szCs w:val="32"/>
        </w:rPr>
        <w:t>万元，20</w:t>
      </w:r>
      <w:r>
        <w:rPr>
          <w:rFonts w:hint="eastAsia" w:ascii="仿宋_GB2312" w:hAnsi="仿宋" w:eastAsia="仿宋_GB2312"/>
          <w:szCs w:val="32"/>
          <w:lang w:val="en-US" w:eastAsia="zh-CN"/>
        </w:rPr>
        <w:t>21</w:t>
      </w:r>
      <w:r>
        <w:rPr>
          <w:rFonts w:hint="eastAsia" w:ascii="仿宋_GB2312" w:hAnsi="仿宋" w:eastAsia="仿宋_GB2312"/>
          <w:szCs w:val="32"/>
        </w:rPr>
        <w:t>年比20</w:t>
      </w:r>
      <w:r>
        <w:rPr>
          <w:rFonts w:hint="eastAsia" w:ascii="仿宋_GB2312" w:hAnsi="仿宋" w:eastAsia="仿宋_GB2312"/>
          <w:szCs w:val="32"/>
          <w:lang w:val="en-US" w:eastAsia="zh-CN"/>
        </w:rPr>
        <w:t>20</w:t>
      </w:r>
      <w:r>
        <w:rPr>
          <w:rFonts w:hint="eastAsia" w:ascii="仿宋_GB2312" w:hAnsi="仿宋" w:eastAsia="仿宋_GB2312"/>
          <w:szCs w:val="32"/>
        </w:rPr>
        <w:t>年减少</w:t>
      </w:r>
      <w:r>
        <w:rPr>
          <w:rFonts w:hint="eastAsia" w:ascii="仿宋_GB2312" w:hAnsi="仿宋" w:eastAsia="仿宋_GB2312"/>
          <w:szCs w:val="32"/>
          <w:lang w:val="en-US" w:eastAsia="zh-CN"/>
        </w:rPr>
        <w:t>577.67</w:t>
      </w:r>
      <w:r>
        <w:rPr>
          <w:rFonts w:hint="eastAsia" w:ascii="仿宋_GB2312" w:hAnsi="仿宋" w:eastAsia="仿宋_GB2312"/>
          <w:szCs w:val="32"/>
        </w:rPr>
        <w:t>万元，主要是单位项目减少</w:t>
      </w:r>
      <w:r>
        <w:rPr>
          <w:rFonts w:hint="eastAsia" w:ascii="仿宋_GB2312" w:hAnsi="仿宋" w:eastAsia="仿宋_GB2312"/>
          <w:szCs w:val="32"/>
          <w:lang w:eastAsia="zh-CN"/>
        </w:rPr>
        <w:t>（十四运建设项目的完成）和压缩经费。</w:t>
      </w:r>
    </w:p>
    <w:p>
      <w:pPr>
        <w:widowControl/>
        <w:spacing w:line="500" w:lineRule="exact"/>
        <w:ind w:firstLine="640" w:firstLineChars="200"/>
        <w:jc w:val="left"/>
        <w:rPr>
          <w:rFonts w:hint="default" w:ascii="仿宋_GB2312" w:hAnsi="仿宋" w:eastAsia="仿宋_GB2312"/>
          <w:szCs w:val="32"/>
          <w:lang w:val="en-US" w:eastAsia="zh-CN"/>
        </w:rPr>
      </w:pPr>
      <w:r>
        <w:rPr>
          <w:rFonts w:hint="eastAsia" w:ascii="仿宋_GB2312" w:hAnsi="仿宋" w:eastAsia="仿宋_GB2312"/>
          <w:szCs w:val="32"/>
        </w:rPr>
        <w:t>20</w:t>
      </w:r>
      <w:r>
        <w:rPr>
          <w:rFonts w:hint="eastAsia" w:ascii="仿宋_GB2312" w:hAnsi="仿宋" w:eastAsia="仿宋_GB2312"/>
          <w:szCs w:val="32"/>
          <w:lang w:val="en-US" w:eastAsia="zh-CN"/>
        </w:rPr>
        <w:t>21</w:t>
      </w:r>
      <w:r>
        <w:rPr>
          <w:rFonts w:hint="eastAsia" w:ascii="仿宋_GB2312" w:hAnsi="仿宋" w:eastAsia="仿宋_GB2312"/>
          <w:szCs w:val="32"/>
        </w:rPr>
        <w:t>度年支出</w:t>
      </w:r>
      <w:r>
        <w:rPr>
          <w:rFonts w:hint="eastAsia" w:ascii="仿宋_GB2312" w:hAnsi="仿宋" w:eastAsia="仿宋_GB2312"/>
          <w:szCs w:val="32"/>
          <w:lang w:val="en-US" w:eastAsia="zh-CN"/>
        </w:rPr>
        <w:t>2072.46</w:t>
      </w:r>
      <w:r>
        <w:rPr>
          <w:rFonts w:hint="eastAsia" w:ascii="仿宋_GB2312" w:hAnsi="仿宋" w:eastAsia="仿宋_GB2312"/>
          <w:szCs w:val="32"/>
        </w:rPr>
        <w:t>万元，20</w:t>
      </w:r>
      <w:r>
        <w:rPr>
          <w:rFonts w:hint="eastAsia" w:ascii="仿宋_GB2312" w:hAnsi="仿宋" w:eastAsia="仿宋_GB2312"/>
          <w:szCs w:val="32"/>
          <w:lang w:val="en-US" w:eastAsia="zh-CN"/>
        </w:rPr>
        <w:t>20</w:t>
      </w:r>
      <w:r>
        <w:rPr>
          <w:rFonts w:hint="eastAsia" w:ascii="仿宋_GB2312" w:hAnsi="仿宋" w:eastAsia="仿宋_GB2312"/>
          <w:szCs w:val="32"/>
        </w:rPr>
        <w:t>年支出</w:t>
      </w:r>
      <w:r>
        <w:rPr>
          <w:rFonts w:hint="eastAsia" w:ascii="仿宋_GB2312" w:hAnsi="仿宋" w:eastAsia="仿宋_GB2312"/>
          <w:szCs w:val="32"/>
          <w:lang w:val="en-US" w:eastAsia="zh-CN"/>
        </w:rPr>
        <w:t>2650.15</w:t>
      </w:r>
      <w:r>
        <w:rPr>
          <w:rFonts w:hint="eastAsia" w:ascii="仿宋_GB2312" w:hAnsi="仿宋" w:eastAsia="仿宋_GB2312"/>
          <w:szCs w:val="32"/>
        </w:rPr>
        <w:t>万元，20</w:t>
      </w:r>
      <w:r>
        <w:rPr>
          <w:rFonts w:hint="eastAsia" w:ascii="仿宋_GB2312" w:hAnsi="仿宋" w:eastAsia="仿宋_GB2312"/>
          <w:szCs w:val="32"/>
          <w:lang w:val="en-US" w:eastAsia="zh-CN"/>
        </w:rPr>
        <w:t>21</w:t>
      </w:r>
      <w:r>
        <w:rPr>
          <w:rFonts w:hint="eastAsia" w:ascii="仿宋_GB2312" w:hAnsi="仿宋" w:eastAsia="仿宋_GB2312"/>
          <w:szCs w:val="32"/>
        </w:rPr>
        <w:t>年比20</w:t>
      </w:r>
      <w:r>
        <w:rPr>
          <w:rFonts w:hint="eastAsia" w:ascii="仿宋_GB2312" w:hAnsi="仿宋" w:eastAsia="仿宋_GB2312"/>
          <w:szCs w:val="32"/>
          <w:lang w:val="en-US" w:eastAsia="zh-CN"/>
        </w:rPr>
        <w:t>20</w:t>
      </w:r>
      <w:r>
        <w:rPr>
          <w:rFonts w:hint="eastAsia" w:ascii="仿宋_GB2312" w:hAnsi="仿宋" w:eastAsia="仿宋_GB2312"/>
          <w:szCs w:val="32"/>
        </w:rPr>
        <w:t>年</w:t>
      </w:r>
      <w:r>
        <w:rPr>
          <w:rFonts w:hint="eastAsia" w:ascii="仿宋_GB2312" w:hAnsi="仿宋" w:eastAsia="仿宋_GB2312"/>
          <w:szCs w:val="32"/>
          <w:lang w:eastAsia="zh-CN"/>
        </w:rPr>
        <w:t>减少</w:t>
      </w:r>
      <w:r>
        <w:rPr>
          <w:rFonts w:hint="eastAsia" w:ascii="仿宋_GB2312" w:hAnsi="仿宋" w:eastAsia="仿宋_GB2312"/>
          <w:szCs w:val="32"/>
          <w:lang w:val="en-US" w:eastAsia="zh-CN"/>
        </w:rPr>
        <w:t>577.69</w:t>
      </w:r>
      <w:r>
        <w:rPr>
          <w:rFonts w:hint="eastAsia" w:ascii="仿宋_GB2312" w:hAnsi="仿宋" w:eastAsia="仿宋_GB2312"/>
          <w:szCs w:val="32"/>
        </w:rPr>
        <w:t>万元，主要是</w:t>
      </w:r>
      <w:r>
        <w:rPr>
          <w:rFonts w:hint="eastAsia" w:ascii="仿宋_GB2312" w:hAnsi="仿宋" w:eastAsia="仿宋_GB2312"/>
          <w:szCs w:val="32"/>
          <w:lang w:val="en-US" w:eastAsia="zh-CN"/>
        </w:rPr>
        <w:t>2020年十四运建设项目的完成和压缩经费。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w:t>
      </w:r>
      <w:r>
        <w:rPr>
          <w:rFonts w:hint="eastAsia" w:asciiTheme="minorEastAsia" w:hAnsiTheme="minorEastAsia" w:eastAsiaTheme="minorEastAsia" w:cstheme="minorEastAsia"/>
          <w:b/>
          <w:bCs/>
          <w:color w:val="000000"/>
          <w:kern w:val="0"/>
          <w:sz w:val="32"/>
          <w:szCs w:val="32"/>
          <w:lang w:bidi="ar"/>
        </w:rPr>
        <w:t>、收入决算情况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360" w:lineRule="auto"/>
        <w:ind w:left="320" w:leftChars="100" w:firstLine="0" w:firstLineChars="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inline distT="0" distB="0" distL="114300" distR="114300">
            <wp:extent cx="5652135" cy="2176780"/>
            <wp:effectExtent l="4445" t="4445" r="2032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eastAsia="zh-CN"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仿宋" w:eastAsia="仿宋_GB2312"/>
          <w:szCs w:val="32"/>
          <w:lang w:val="en-US" w:eastAsia="zh-CN"/>
        </w:rPr>
        <w:t>2072.46</w:t>
      </w:r>
      <w:r>
        <w:rPr>
          <w:rFonts w:ascii="仿宋_GB2312" w:hAnsi="宋体" w:eastAsia="仿宋_GB2312" w:cs="仿宋_GB2312"/>
          <w:color w:val="000000"/>
          <w:kern w:val="0"/>
          <w:sz w:val="32"/>
          <w:szCs w:val="32"/>
          <w:lang w:bidi="ar"/>
        </w:rPr>
        <w:t>万元，其中：财政拨款收</w:t>
      </w:r>
      <w:r>
        <w:rPr>
          <w:rFonts w:hint="eastAsia" w:ascii="仿宋_GB2312" w:hAnsi="宋体" w:eastAsia="仿宋_GB2312" w:cs="仿宋_GB2312"/>
          <w:color w:val="000000"/>
          <w:kern w:val="0"/>
          <w:sz w:val="32"/>
          <w:szCs w:val="32"/>
          <w:lang w:eastAsia="zh-CN" w:bidi="ar"/>
        </w:rPr>
        <w:t>入</w:t>
      </w:r>
      <w:r>
        <w:rPr>
          <w:rFonts w:hint="eastAsia" w:ascii="仿宋_GB2312" w:hAnsi="仿宋" w:eastAsia="仿宋_GB2312"/>
          <w:szCs w:val="32"/>
          <w:lang w:val="en-US" w:eastAsia="zh-CN"/>
        </w:rPr>
        <w:t>2072.46</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%；经营收入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%；其他收入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w:t>
      </w:r>
      <w:r>
        <w:rPr>
          <w:rFonts w:hint="eastAsia" w:asciiTheme="minorEastAsia" w:hAnsiTheme="minorEastAsia" w:eastAsiaTheme="minorEastAsia" w:cstheme="minorEastAsia"/>
          <w:b/>
          <w:bCs/>
          <w:color w:val="000000"/>
          <w:kern w:val="0"/>
          <w:sz w:val="32"/>
          <w:szCs w:val="32"/>
          <w:lang w:bidi="ar"/>
        </w:rPr>
        <w:t>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inline distT="0" distB="0" distL="114300" distR="114300">
            <wp:extent cx="5080000" cy="2025015"/>
            <wp:effectExtent l="4445" t="4445" r="20955" b="88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t>202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eastAsia="zh-CN"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仿宋" w:eastAsia="仿宋_GB2312"/>
          <w:szCs w:val="32"/>
          <w:lang w:val="en-US" w:eastAsia="zh-CN"/>
        </w:rPr>
        <w:t>2072.46</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482.68</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themeColor="text1"/>
          <w:kern w:val="0"/>
          <w:sz w:val="32"/>
          <w:szCs w:val="32"/>
          <w:lang w:bidi="ar"/>
          <w14:textFill>
            <w14:solidFill>
              <w14:schemeClr w14:val="tx1"/>
            </w14:solidFill>
          </w14:textFill>
        </w:rPr>
        <w:t>占</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23</w:t>
      </w:r>
      <w:r>
        <w:rPr>
          <w:rFonts w:ascii="仿宋_GB2312" w:hAnsi="宋体" w:eastAsia="仿宋_GB2312" w:cs="仿宋_GB2312"/>
          <w:color w:val="000000" w:themeColor="text1"/>
          <w:kern w:val="0"/>
          <w:sz w:val="32"/>
          <w:szCs w:val="32"/>
          <w:lang w:bidi="ar"/>
          <w14:textFill>
            <w14:solidFill>
              <w14:schemeClr w14:val="tx1"/>
            </w14:solidFill>
          </w14:textFill>
        </w:rPr>
        <w:t>%</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1589.78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77</w:t>
      </w:r>
      <w:r>
        <w:rPr>
          <w:rFonts w:ascii="仿宋_GB2312" w:hAnsi="宋体" w:eastAsia="仿宋_GB2312" w:cs="仿宋_GB2312"/>
          <w:color w:val="000000"/>
          <w:kern w:val="0"/>
          <w:sz w:val="32"/>
          <w:szCs w:val="32"/>
          <w:lang w:bidi="ar"/>
        </w:rPr>
        <w:t>%；经营支出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黑体" w:hAnsi="黑体" w:eastAsia="黑体"/>
          <w:color w:val="000000"/>
          <w:kern w:val="0"/>
          <w:sz w:val="32"/>
          <w:szCs w:val="32"/>
          <w:lang w:bidi="ar"/>
        </w:rPr>
        <w:t>四</w:t>
      </w:r>
      <w:r>
        <w:rPr>
          <w:rFonts w:hint="eastAsia" w:asciiTheme="minorEastAsia" w:hAnsiTheme="minorEastAsia" w:eastAsiaTheme="minorEastAsia" w:cstheme="minorEastAsia"/>
          <w:b/>
          <w:bCs/>
          <w:color w:val="000000"/>
          <w:kern w:val="0"/>
          <w:sz w:val="32"/>
          <w:szCs w:val="32"/>
          <w:lang w:bidi="ar"/>
        </w:rPr>
        <w:t>、财政拨款收入支出决算总体情况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drawing>
          <wp:inline distT="0" distB="0" distL="114300" distR="114300">
            <wp:extent cx="5080000" cy="2251075"/>
            <wp:effectExtent l="5080" t="4445" r="20320" b="114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w:t>
      </w:r>
      <w:r>
        <w:rPr>
          <w:rFonts w:hint="eastAsia" w:ascii="仿宋_GB2312" w:hAnsi="仿宋" w:eastAsia="仿宋_GB2312"/>
          <w:sz w:val="32"/>
          <w:szCs w:val="32"/>
          <w:lang w:val="en-US" w:eastAsia="zh-CN"/>
        </w:rPr>
        <w:t>为</w:t>
      </w:r>
      <w:r>
        <w:rPr>
          <w:rFonts w:hint="eastAsia" w:ascii="仿宋_GB2312" w:hAnsi="仿宋" w:eastAsia="仿宋_GB2312"/>
          <w:szCs w:val="32"/>
          <w:lang w:val="en-US" w:eastAsia="zh-CN"/>
        </w:rPr>
        <w:t>2072.46万元</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2020年相比减少了577.67</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w:t>
      </w:r>
      <w:r>
        <w:rPr>
          <w:rFonts w:hint="eastAsia" w:ascii="仿宋_GB2312" w:hAnsi="仿宋" w:eastAsia="仿宋_GB2312"/>
          <w:sz w:val="32"/>
          <w:szCs w:val="32"/>
          <w:lang w:val="en-US" w:eastAsia="zh-CN"/>
        </w:rPr>
        <w:t>减少28%</w:t>
      </w:r>
      <w:r>
        <w:rPr>
          <w:rFonts w:hint="eastAsia" w:ascii="仿宋_GB2312" w:hAnsi="仿宋" w:eastAsia="仿宋_GB2312"/>
          <w:sz w:val="32"/>
          <w:szCs w:val="32"/>
        </w:rPr>
        <w:t>，</w:t>
      </w:r>
      <w:r>
        <w:rPr>
          <w:rFonts w:hint="eastAsia" w:ascii="仿宋_GB2312" w:hAnsi="仿宋" w:eastAsia="仿宋_GB2312"/>
          <w:sz w:val="32"/>
          <w:szCs w:val="32"/>
          <w:lang w:eastAsia="zh-CN"/>
        </w:rPr>
        <w:t>主要原因是</w:t>
      </w:r>
      <w:r>
        <w:rPr>
          <w:rFonts w:hint="eastAsia" w:ascii="仿宋_GB2312" w:hAnsi="仿宋" w:eastAsia="仿宋_GB2312"/>
          <w:sz w:val="32"/>
          <w:szCs w:val="32"/>
          <w:lang w:val="en-US" w:eastAsia="zh-CN"/>
        </w:rPr>
        <w:t>2020年</w:t>
      </w:r>
      <w:r>
        <w:rPr>
          <w:rFonts w:hint="eastAsia" w:ascii="仿宋_GB2312" w:hAnsi="仿宋" w:eastAsia="仿宋_GB2312"/>
          <w:sz w:val="32"/>
          <w:szCs w:val="32"/>
          <w:lang w:eastAsia="zh-CN"/>
        </w:rPr>
        <w:t>十四运场馆</w:t>
      </w:r>
      <w:r>
        <w:rPr>
          <w:rFonts w:hint="eastAsia" w:ascii="仿宋_GB2312" w:hAnsi="仿宋" w:eastAsia="仿宋_GB2312"/>
          <w:sz w:val="32"/>
          <w:szCs w:val="32"/>
          <w:lang w:val="en-US" w:eastAsia="zh-CN"/>
        </w:rPr>
        <w:t>建设项目的竣工和压缩经费</w:t>
      </w:r>
      <w:r>
        <w:rPr>
          <w:rFonts w:hint="eastAsia" w:ascii="仿宋_GB2312" w:hAnsi="仿宋"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为2072.46万元</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2020年相比减少</w:t>
      </w:r>
      <w:r>
        <w:rPr>
          <w:rFonts w:hint="eastAsia" w:ascii="仿宋_GB2312" w:hAnsi="仿宋" w:eastAsia="仿宋_GB2312"/>
          <w:sz w:val="32"/>
          <w:szCs w:val="32"/>
          <w:lang w:eastAsia="zh-CN"/>
        </w:rPr>
        <w:t>了</w:t>
      </w:r>
      <w:r>
        <w:rPr>
          <w:rFonts w:hint="eastAsia" w:ascii="仿宋_GB2312" w:hAnsi="仿宋" w:eastAsia="仿宋_GB2312"/>
          <w:sz w:val="32"/>
          <w:szCs w:val="32"/>
          <w:lang w:val="en-US" w:eastAsia="zh-CN"/>
        </w:rPr>
        <w:t>577.69</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w:t>
      </w:r>
      <w:r>
        <w:rPr>
          <w:rFonts w:hint="eastAsia" w:ascii="仿宋_GB2312" w:hAnsi="仿宋" w:eastAsia="仿宋_GB2312"/>
          <w:sz w:val="32"/>
          <w:szCs w:val="32"/>
          <w:lang w:val="en-US" w:eastAsia="zh-CN"/>
        </w:rPr>
        <w:t>减少28%</w:t>
      </w:r>
      <w:r>
        <w:rPr>
          <w:rFonts w:hint="eastAsia" w:ascii="仿宋_GB2312" w:hAnsi="仿宋" w:eastAsia="仿宋_GB2312"/>
          <w:sz w:val="32"/>
          <w:szCs w:val="32"/>
        </w:rPr>
        <w:t>，</w:t>
      </w:r>
      <w:r>
        <w:rPr>
          <w:rFonts w:hint="eastAsia" w:ascii="仿宋_GB2312" w:hAnsi="仿宋" w:eastAsia="仿宋_GB2312"/>
          <w:sz w:val="32"/>
          <w:szCs w:val="32"/>
          <w:lang w:eastAsia="zh-CN"/>
        </w:rPr>
        <w:t>主要原因是</w:t>
      </w:r>
      <w:r>
        <w:rPr>
          <w:rFonts w:hint="eastAsia" w:ascii="仿宋_GB2312" w:hAnsi="仿宋" w:eastAsia="仿宋_GB2312"/>
          <w:sz w:val="32"/>
          <w:szCs w:val="32"/>
          <w:lang w:val="en-US" w:eastAsia="zh-CN"/>
        </w:rPr>
        <w:t>2020年</w:t>
      </w:r>
      <w:r>
        <w:rPr>
          <w:rFonts w:hint="eastAsia" w:ascii="仿宋_GB2312" w:hAnsi="仿宋" w:eastAsia="仿宋_GB2312"/>
          <w:sz w:val="32"/>
          <w:szCs w:val="32"/>
          <w:lang w:eastAsia="zh-CN"/>
        </w:rPr>
        <w:t>十四运场馆建设</w:t>
      </w:r>
      <w:r>
        <w:rPr>
          <w:rFonts w:hint="eastAsia" w:ascii="仿宋_GB2312" w:hAnsi="仿宋" w:eastAsia="仿宋_GB2312"/>
          <w:sz w:val="32"/>
          <w:szCs w:val="32"/>
          <w:lang w:val="en-US" w:eastAsia="zh-CN"/>
        </w:rPr>
        <w:t>项目已竣工和项目减少。</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五、一般公共预算财政拨款支出决算情况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outlineLvl w:val="9"/>
        <w:rPr>
          <w:rFonts w:hint="eastAsia" w:ascii="楷体_GB2312" w:hAnsi="宋体" w:eastAsia="楷体_GB2312" w:cs="楷体_GB2312"/>
          <w:b/>
          <w:color w:val="000000"/>
          <w:kern w:val="0"/>
          <w:sz w:val="32"/>
          <w:szCs w:val="32"/>
          <w:lang w:eastAsia="zh-CN"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drawing>
          <wp:inline distT="0" distB="0" distL="114300" distR="114300">
            <wp:extent cx="5139055" cy="2167890"/>
            <wp:effectExtent l="5080" t="4445" r="18415" b="1841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eastAsia="zh-CN"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1959.54</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95</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w:t>
      </w:r>
      <w:r>
        <w:rPr>
          <w:rFonts w:hint="eastAsia" w:ascii="仿宋_GB2312" w:hAnsi="宋体" w:eastAsia="仿宋_GB2312" w:cs="仿宋_GB2312"/>
          <w:color w:val="000000"/>
          <w:kern w:val="0"/>
          <w:sz w:val="32"/>
          <w:szCs w:val="32"/>
          <w:lang w:val="en-US" w:eastAsia="zh-CN" w:bidi="ar"/>
        </w:rPr>
        <w:t>减少了404.28</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val="en-US" w:eastAsia="zh-CN" w:bidi="ar"/>
        </w:rPr>
        <w:t>减少21</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hAnsi="仿宋" w:eastAsia="仿宋_GB2312"/>
          <w:sz w:val="32"/>
          <w:szCs w:val="32"/>
          <w:lang w:val="en-US" w:eastAsia="zh-CN"/>
        </w:rPr>
        <w:t>项目减少（2020年十四运场馆建设竣工），压缩经费</w:t>
      </w:r>
      <w:r>
        <w:rPr>
          <w:rFonts w:hint="eastAsia" w:ascii="仿宋_GB2312" w:hAnsi="仿宋"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color w:val="000000" w:themeColor="text1"/>
          <w14:textFill>
            <w14:solidFill>
              <w14:schemeClr w14:val="tx1"/>
            </w14:solidFill>
          </w14:textFill>
        </w:rPr>
      </w:pPr>
      <w:r>
        <w:rPr>
          <w:rFonts w:hint="eastAsia" w:ascii="仿宋_GB2312" w:hAnsi="宋体" w:eastAsia="仿宋_GB2312" w:cs="仿宋_GB2312"/>
          <w:color w:val="000000"/>
          <w:kern w:val="0"/>
          <w:sz w:val="32"/>
          <w:szCs w:val="32"/>
          <w:lang w:eastAsia="zh-CN" w:bidi="ar"/>
        </w:rPr>
        <w:t>202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eastAsia="zh-CN"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w:t>
      </w:r>
      <w:r>
        <w:rPr>
          <w:rFonts w:ascii="仿宋_GB2312" w:hAnsi="宋体" w:eastAsia="仿宋_GB2312" w:cs="仿宋_GB2312"/>
          <w:color w:val="000000" w:themeColor="text1"/>
          <w:kern w:val="0"/>
          <w:sz w:val="32"/>
          <w:szCs w:val="32"/>
          <w:lang w:bidi="ar"/>
          <w14:textFill>
            <w14:solidFill>
              <w14:schemeClr w14:val="tx1"/>
            </w14:solidFill>
          </w14:textFill>
        </w:rPr>
        <w:t>算为</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475.87</w:t>
      </w:r>
      <w:r>
        <w:rPr>
          <w:rFonts w:ascii="仿宋_GB2312" w:hAnsi="宋体" w:eastAsia="仿宋_GB2312" w:cs="仿宋_GB2312"/>
          <w:color w:val="000000" w:themeColor="text1"/>
          <w:kern w:val="0"/>
          <w:sz w:val="32"/>
          <w:szCs w:val="32"/>
          <w:lang w:bidi="ar"/>
          <w14:textFill>
            <w14:solidFill>
              <w14:schemeClr w14:val="tx1"/>
            </w14:solidFill>
          </w14:textFill>
        </w:rPr>
        <w:t>万元，支出决算为</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1959.54</w:t>
      </w:r>
      <w:r>
        <w:rPr>
          <w:rFonts w:ascii="仿宋_GB2312" w:hAnsi="宋体" w:eastAsia="仿宋_GB2312" w:cs="仿宋_GB2312"/>
          <w:color w:val="000000" w:themeColor="text1"/>
          <w:kern w:val="0"/>
          <w:sz w:val="32"/>
          <w:szCs w:val="32"/>
          <w:lang w:bidi="ar"/>
          <w14:textFill>
            <w14:solidFill>
              <w14:schemeClr w14:val="tx1"/>
            </w14:solidFill>
          </w14:textFill>
        </w:rPr>
        <w:t>万元，完成年初预算的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412</w:t>
      </w:r>
      <w:r>
        <w:rPr>
          <w:rFonts w:ascii="仿宋_GB2312" w:hAnsi="宋体" w:eastAsia="仿宋_GB2312" w:cs="仿宋_GB2312"/>
          <w:color w:val="000000" w:themeColor="text1"/>
          <w:kern w:val="0"/>
          <w:sz w:val="32"/>
          <w:szCs w:val="32"/>
          <w:lang w:bidi="ar"/>
          <w14:textFill>
            <w14:solidFill>
              <w14:schemeClr w14:val="tx1"/>
            </w14:solidFill>
          </w14:textFill>
        </w:rPr>
        <w:t>%。</w:t>
      </w:r>
      <w:r>
        <w:rPr>
          <w:rFonts w:hint="eastAsia" w:ascii="仿宋_GB2312" w:hAnsi="宋体" w:eastAsia="仿宋_GB2312" w:cs="仿宋_GB2312"/>
          <w:color w:val="000000" w:themeColor="text1"/>
          <w:kern w:val="0"/>
          <w:sz w:val="32"/>
          <w:szCs w:val="32"/>
          <w:lang w:bidi="ar"/>
          <w14:textFill>
            <w14:solidFill>
              <w14:schemeClr w14:val="tx1"/>
            </w14:solidFill>
          </w14:textFill>
        </w:rPr>
        <w:t>按照政府功能分类科目，</w:t>
      </w:r>
      <w:r>
        <w:rPr>
          <w:rFonts w:ascii="仿宋_GB2312" w:hAnsi="宋体" w:eastAsia="仿宋_GB2312" w:cs="仿宋_GB2312"/>
          <w:color w:val="000000" w:themeColor="text1"/>
          <w:kern w:val="0"/>
          <w:sz w:val="32"/>
          <w:szCs w:val="32"/>
          <w:lang w:bidi="ar"/>
          <w14:textFill>
            <w14:solidFill>
              <w14:schemeClr w14:val="tx1"/>
            </w14:solidFill>
          </w14:textFill>
        </w:rPr>
        <w:t xml:space="preserve">其中： </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3" w:firstLineChars="200"/>
        <w:jc w:val="left"/>
        <w:textAlignment w:val="auto"/>
        <w:outlineLvl w:val="9"/>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ascii="仿宋_GB2312" w:hAnsi="宋体" w:eastAsia="仿宋_GB2312" w:cs="仿宋_GB2312"/>
          <w:b/>
          <w:color w:val="000000" w:themeColor="text1"/>
          <w:kern w:val="0"/>
          <w:sz w:val="32"/>
          <w:szCs w:val="32"/>
          <w:lang w:bidi="ar"/>
          <w14:textFill>
            <w14:solidFill>
              <w14:schemeClr w14:val="tx1"/>
            </w14:solidFill>
          </w14:textFill>
        </w:rPr>
        <w:t>一般公共服务支出</w:t>
      </w:r>
      <w:r>
        <w:rPr>
          <w:rFonts w:ascii="仿宋_GB2312" w:hAnsi="宋体" w:eastAsia="仿宋_GB2312" w:cs="仿宋_GB2312"/>
          <w:color w:val="000000" w:themeColor="text1"/>
          <w:kern w:val="0"/>
          <w:sz w:val="32"/>
          <w:szCs w:val="32"/>
          <w:lang w:bidi="ar"/>
          <w14:textFill>
            <w14:solidFill>
              <w14:schemeClr w14:val="tx1"/>
            </w14:solidFill>
          </w14:textFill>
        </w:rPr>
        <w:t>年初预算为</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2.4</w:t>
      </w:r>
      <w:r>
        <w:rPr>
          <w:rFonts w:ascii="仿宋_GB2312" w:hAnsi="宋体" w:eastAsia="仿宋_GB2312" w:cs="仿宋_GB2312"/>
          <w:color w:val="000000" w:themeColor="text1"/>
          <w:kern w:val="0"/>
          <w:sz w:val="32"/>
          <w:szCs w:val="32"/>
          <w:lang w:bidi="ar"/>
          <w14:textFill>
            <w14:solidFill>
              <w14:schemeClr w14:val="tx1"/>
            </w14:solidFill>
          </w14:textFill>
        </w:rPr>
        <w:t>万元，支出决算为</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19.25万元，完成年初预算的802%,决算数大于预算数原因是预算追加。</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文化旅游体育与传媒支出年初预算</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407.91万元，支出决算为1868.67万元，完成年初预算的458%，决算数高于预算数主要原因为体育项目费用增加。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3.社会保障和就业支出年初预算52.56万元，</w:t>
      </w:r>
      <w:r>
        <w:rPr>
          <w:rFonts w:ascii="仿宋_GB2312" w:hAnsi="宋体" w:eastAsia="仿宋_GB2312" w:cs="仿宋_GB2312"/>
          <w:color w:val="000000" w:themeColor="text1"/>
          <w:kern w:val="0"/>
          <w:sz w:val="32"/>
          <w:szCs w:val="32"/>
          <w:lang w:bidi="ar"/>
          <w14:textFill>
            <w14:solidFill>
              <w14:schemeClr w14:val="tx1"/>
            </w14:solidFill>
          </w14:textFill>
        </w:rPr>
        <w:t>决算数</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为51.65万元，完成年初预算的98%,决算数小于预算数原因是人员调动。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4.卫生健康支出年初预算13</w:t>
      </w:r>
      <w:r>
        <w:rPr>
          <w:rFonts w:hint="eastAsia" w:ascii="仿宋_GB2312" w:hAnsi="宋体" w:eastAsia="仿宋_GB2312" w:cs="仿宋_GB2312"/>
          <w:color w:val="000000"/>
          <w:kern w:val="0"/>
          <w:sz w:val="32"/>
          <w:szCs w:val="32"/>
          <w:lang w:val="en-US" w:eastAsia="zh-CN" w:bidi="ar"/>
        </w:rPr>
        <w:t>万元，支出决算为19.96万元</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，完成年初预算的153%,决算数大于预算数原因是预算追加。</w:t>
      </w:r>
      <w:bookmarkStart w:id="4" w:name="_GoBack"/>
      <w:bookmarkEnd w:id="4"/>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bidi="ar"/>
        </w:rPr>
        <w:t>六、一般公共预算财政拨款基本支出决算情况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202</w:t>
      </w:r>
      <w:r>
        <w:rPr>
          <w:rFonts w:hint="eastAsia"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eastAsia="zh-CN"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482.68</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443.6</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39.08</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仿宋_GB2312" w:hAnsi="宋体" w:eastAsia="仿宋_GB2312" w:cs="仿宋_GB2312"/>
          <w:color w:val="000000"/>
          <w:kern w:val="0"/>
          <w:szCs w:val="32"/>
          <w:lang w:val="en-US" w:eastAsia="zh-CN"/>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443.6</w:t>
      </w:r>
      <w:r>
        <w:rPr>
          <w:rFonts w:ascii="仿宋_GB2312" w:hAnsi="宋体" w:eastAsia="仿宋_GB2312" w:cs="仿宋_GB2312"/>
          <w:color w:val="000000"/>
          <w:kern w:val="0"/>
          <w:sz w:val="32"/>
          <w:szCs w:val="32"/>
          <w:lang w:bidi="ar"/>
        </w:rPr>
        <w:t>万元，主要包括</w:t>
      </w:r>
      <w:r>
        <w:rPr>
          <w:rFonts w:ascii="仿宋_GB2312" w:hAnsi="宋体" w:eastAsia="仿宋_GB2312" w:cs="仿宋_GB2312"/>
          <w:color w:val="000000"/>
          <w:kern w:val="0"/>
          <w:szCs w:val="32"/>
        </w:rPr>
        <w:t>基本工资</w:t>
      </w:r>
      <w:r>
        <w:rPr>
          <w:rFonts w:hint="eastAsia" w:ascii="仿宋_GB2312" w:hAnsi="宋体" w:eastAsia="仿宋_GB2312" w:cs="仿宋_GB2312"/>
          <w:color w:val="000000"/>
          <w:kern w:val="0"/>
          <w:szCs w:val="32"/>
          <w:lang w:val="en-US" w:eastAsia="zh-CN"/>
        </w:rPr>
        <w:t>141.01</w:t>
      </w:r>
      <w:r>
        <w:rPr>
          <w:rFonts w:hint="eastAsia" w:ascii="仿宋_GB2312" w:hAnsi="宋体" w:eastAsia="仿宋_GB2312" w:cs="仿宋_GB2312"/>
          <w:color w:val="000000"/>
          <w:kern w:val="0"/>
          <w:szCs w:val="32"/>
        </w:rPr>
        <w:t>万元，津补贴</w:t>
      </w:r>
      <w:r>
        <w:rPr>
          <w:rFonts w:hint="eastAsia" w:ascii="仿宋_GB2312" w:hAnsi="宋体" w:eastAsia="仿宋_GB2312" w:cs="仿宋_GB2312"/>
          <w:color w:val="000000"/>
          <w:kern w:val="0"/>
          <w:szCs w:val="32"/>
          <w:lang w:val="en-US" w:eastAsia="zh-CN"/>
        </w:rPr>
        <w:t>66.15</w:t>
      </w:r>
      <w:r>
        <w:rPr>
          <w:rFonts w:hint="eastAsia" w:ascii="仿宋_GB2312" w:hAnsi="宋体" w:eastAsia="仿宋_GB2312" w:cs="仿宋_GB2312"/>
          <w:color w:val="000000"/>
          <w:kern w:val="0"/>
          <w:szCs w:val="32"/>
        </w:rPr>
        <w:t>万元，奖金</w:t>
      </w:r>
      <w:r>
        <w:rPr>
          <w:rFonts w:hint="eastAsia" w:ascii="仿宋_GB2312" w:hAnsi="宋体" w:eastAsia="仿宋_GB2312" w:cs="仿宋_GB2312"/>
          <w:color w:val="000000"/>
          <w:kern w:val="0"/>
          <w:szCs w:val="32"/>
          <w:lang w:val="en-US" w:eastAsia="zh-CN"/>
        </w:rPr>
        <w:t>32.77</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绩效工资</w:t>
      </w:r>
      <w:r>
        <w:rPr>
          <w:rFonts w:hint="eastAsia" w:ascii="仿宋_GB2312" w:hAnsi="宋体" w:eastAsia="仿宋_GB2312" w:cs="仿宋_GB2312"/>
          <w:color w:val="000000"/>
          <w:kern w:val="0"/>
          <w:szCs w:val="32"/>
          <w:lang w:val="en-US" w:eastAsia="zh-CN"/>
        </w:rPr>
        <w:t>48.28万元，</w:t>
      </w:r>
      <w:r>
        <w:rPr>
          <w:rFonts w:hint="eastAsia" w:ascii="仿宋_GB2312" w:hAnsi="宋体" w:eastAsia="仿宋_GB2312" w:cs="仿宋_GB2312"/>
          <w:color w:val="000000"/>
          <w:kern w:val="0"/>
          <w:szCs w:val="32"/>
        </w:rPr>
        <w:t>机关养老保险</w:t>
      </w:r>
      <w:r>
        <w:rPr>
          <w:rFonts w:hint="eastAsia" w:ascii="仿宋_GB2312" w:hAnsi="宋体" w:eastAsia="仿宋_GB2312" w:cs="仿宋_GB2312"/>
          <w:color w:val="000000"/>
          <w:kern w:val="0"/>
          <w:szCs w:val="32"/>
          <w:lang w:val="en-US" w:eastAsia="zh-CN"/>
        </w:rPr>
        <w:t>51.65</w:t>
      </w:r>
      <w:r>
        <w:rPr>
          <w:rFonts w:hint="eastAsia" w:ascii="仿宋_GB2312" w:hAnsi="宋体" w:eastAsia="仿宋_GB2312" w:cs="仿宋_GB2312"/>
          <w:color w:val="000000"/>
          <w:kern w:val="0"/>
          <w:szCs w:val="32"/>
        </w:rPr>
        <w:t>万元，职业年金</w:t>
      </w:r>
      <w:r>
        <w:rPr>
          <w:rFonts w:hint="eastAsia" w:ascii="仿宋_GB2312" w:hAnsi="宋体" w:eastAsia="仿宋_GB2312" w:cs="仿宋_GB2312"/>
          <w:color w:val="000000"/>
          <w:kern w:val="0"/>
          <w:szCs w:val="32"/>
          <w:lang w:val="en-US" w:eastAsia="zh-CN"/>
        </w:rPr>
        <w:t>6.74</w:t>
      </w:r>
      <w:r>
        <w:rPr>
          <w:rFonts w:hint="eastAsia" w:ascii="仿宋_GB2312" w:hAnsi="宋体" w:eastAsia="仿宋_GB2312" w:cs="仿宋_GB2312"/>
          <w:color w:val="000000"/>
          <w:kern w:val="0"/>
          <w:szCs w:val="32"/>
        </w:rPr>
        <w:t>万元，职工医疗保险</w:t>
      </w:r>
      <w:r>
        <w:rPr>
          <w:rFonts w:hint="eastAsia" w:ascii="仿宋_GB2312" w:hAnsi="宋体" w:eastAsia="仿宋_GB2312" w:cs="仿宋_GB2312"/>
          <w:color w:val="000000"/>
          <w:kern w:val="0"/>
          <w:szCs w:val="32"/>
          <w:lang w:val="en-US" w:eastAsia="zh-CN"/>
        </w:rPr>
        <w:t>22.35</w:t>
      </w:r>
      <w:r>
        <w:rPr>
          <w:rFonts w:hint="eastAsia" w:ascii="仿宋_GB2312" w:hAnsi="宋体" w:eastAsia="仿宋_GB2312" w:cs="仿宋_GB2312"/>
          <w:color w:val="000000"/>
          <w:kern w:val="0"/>
          <w:szCs w:val="32"/>
        </w:rPr>
        <w:t>万元，住房公积金</w:t>
      </w:r>
      <w:r>
        <w:rPr>
          <w:rFonts w:hint="eastAsia" w:ascii="仿宋_GB2312" w:hAnsi="宋体" w:eastAsia="仿宋_GB2312" w:cs="仿宋_GB2312"/>
          <w:color w:val="000000"/>
          <w:kern w:val="0"/>
          <w:szCs w:val="32"/>
          <w:lang w:val="en-US" w:eastAsia="zh-CN"/>
        </w:rPr>
        <w:t>58.51</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，退休费</w:t>
      </w:r>
      <w:r>
        <w:rPr>
          <w:rFonts w:hint="eastAsia" w:ascii="仿宋_GB2312" w:hAnsi="宋体" w:eastAsia="仿宋_GB2312" w:cs="仿宋_GB2312"/>
          <w:color w:val="000000"/>
          <w:kern w:val="0"/>
          <w:szCs w:val="32"/>
          <w:lang w:val="en-US" w:eastAsia="zh-CN"/>
        </w:rPr>
        <w:t>15.35万元，生活补助0.78万元。</w:t>
      </w:r>
    </w:p>
    <w:p>
      <w:pPr>
        <w:widowControl/>
        <w:spacing w:line="560" w:lineRule="exact"/>
        <w:ind w:firstLine="643" w:firstLineChars="200"/>
        <w:jc w:val="left"/>
        <w:rPr>
          <w:rFonts w:hint="default" w:eastAsia="仿宋_GB2312"/>
          <w:lang w:val="en-US" w:eastAsia="zh-CN"/>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39.08</w:t>
      </w:r>
      <w:r>
        <w:rPr>
          <w:rFonts w:ascii="仿宋_GB2312" w:hAnsi="宋体" w:eastAsia="仿宋_GB2312" w:cs="仿宋_GB2312"/>
          <w:color w:val="000000"/>
          <w:kern w:val="0"/>
          <w:sz w:val="32"/>
          <w:szCs w:val="32"/>
          <w:lang w:bidi="ar"/>
        </w:rPr>
        <w:t>万元，主要包括</w:t>
      </w:r>
      <w:r>
        <w:rPr>
          <w:rFonts w:ascii="仿宋_GB2312" w:hAnsi="宋体" w:eastAsia="仿宋_GB2312" w:cs="仿宋_GB2312"/>
          <w:color w:val="000000"/>
          <w:kern w:val="0"/>
          <w:szCs w:val="32"/>
        </w:rPr>
        <w:t>办公费</w:t>
      </w:r>
      <w:r>
        <w:rPr>
          <w:rFonts w:hint="eastAsia" w:ascii="仿宋_GB2312" w:hAnsi="宋体" w:eastAsia="仿宋_GB2312" w:cs="仿宋_GB2312"/>
          <w:color w:val="000000"/>
          <w:kern w:val="0"/>
          <w:szCs w:val="32"/>
          <w:lang w:val="en-US" w:eastAsia="zh-CN"/>
        </w:rPr>
        <w:t>8.69</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印刷费</w:t>
      </w:r>
      <w:r>
        <w:rPr>
          <w:rFonts w:hint="eastAsia" w:ascii="仿宋_GB2312" w:hAnsi="宋体" w:eastAsia="仿宋_GB2312" w:cs="仿宋_GB2312"/>
          <w:color w:val="000000"/>
          <w:kern w:val="0"/>
          <w:szCs w:val="32"/>
          <w:lang w:val="en-US" w:eastAsia="zh-CN"/>
        </w:rPr>
        <w:t>0.52万元，</w:t>
      </w:r>
      <w:r>
        <w:rPr>
          <w:rFonts w:hint="eastAsia" w:ascii="仿宋_GB2312" w:hAnsi="宋体" w:eastAsia="仿宋_GB2312" w:cs="仿宋_GB2312"/>
          <w:color w:val="000000"/>
          <w:kern w:val="0"/>
          <w:szCs w:val="32"/>
          <w:lang w:eastAsia="zh-CN"/>
        </w:rPr>
        <w:t>水费</w:t>
      </w:r>
      <w:r>
        <w:rPr>
          <w:rFonts w:hint="eastAsia" w:ascii="仿宋_GB2312" w:hAnsi="宋体" w:eastAsia="仿宋_GB2312" w:cs="仿宋_GB2312"/>
          <w:color w:val="000000"/>
          <w:kern w:val="0"/>
          <w:szCs w:val="32"/>
          <w:lang w:val="en-US" w:eastAsia="zh-CN"/>
        </w:rPr>
        <w:t>0.47</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val="en-US" w:eastAsia="zh-CN"/>
        </w:rPr>
        <w:t>电</w:t>
      </w:r>
      <w:r>
        <w:rPr>
          <w:rFonts w:hint="eastAsia" w:ascii="仿宋_GB2312" w:hAnsi="宋体" w:eastAsia="仿宋_GB2312" w:cs="仿宋_GB2312"/>
          <w:color w:val="000000"/>
          <w:kern w:val="0"/>
          <w:szCs w:val="32"/>
        </w:rPr>
        <w:t>费</w:t>
      </w:r>
      <w:r>
        <w:rPr>
          <w:rFonts w:hint="eastAsia" w:ascii="仿宋_GB2312" w:hAnsi="宋体" w:eastAsia="仿宋_GB2312" w:cs="仿宋_GB2312"/>
          <w:color w:val="000000"/>
          <w:kern w:val="0"/>
          <w:szCs w:val="32"/>
          <w:lang w:val="en-US" w:eastAsia="zh-CN"/>
        </w:rPr>
        <w:t>3</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邮电费</w:t>
      </w:r>
      <w:r>
        <w:rPr>
          <w:rFonts w:hint="eastAsia" w:ascii="仿宋_GB2312" w:hAnsi="宋体" w:eastAsia="仿宋_GB2312" w:cs="仿宋_GB2312"/>
          <w:color w:val="000000"/>
          <w:kern w:val="0"/>
          <w:szCs w:val="32"/>
          <w:lang w:val="en-US" w:eastAsia="zh-CN"/>
        </w:rPr>
        <w:t>0.71万元，差旅费3.43</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val="en-US" w:eastAsia="zh-CN"/>
        </w:rPr>
        <w:t>会议费0.41</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val="en-US" w:eastAsia="zh-CN"/>
        </w:rPr>
        <w:t>培训费0.39</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val="en-US" w:eastAsia="zh-CN"/>
        </w:rPr>
        <w:t>公务接待费0.46万元，</w:t>
      </w:r>
      <w:r>
        <w:rPr>
          <w:rFonts w:hint="eastAsia" w:ascii="仿宋_GB2312" w:hAnsi="宋体" w:eastAsia="仿宋_GB2312" w:cs="仿宋_GB2312"/>
          <w:color w:val="000000"/>
          <w:kern w:val="0"/>
          <w:szCs w:val="32"/>
        </w:rPr>
        <w:t>公务用车运行经费</w:t>
      </w:r>
      <w:r>
        <w:rPr>
          <w:rFonts w:hint="eastAsia" w:ascii="仿宋_GB2312" w:hAnsi="宋体" w:eastAsia="仿宋_GB2312" w:cs="仿宋_GB2312"/>
          <w:color w:val="000000"/>
          <w:kern w:val="0"/>
          <w:szCs w:val="32"/>
          <w:lang w:val="en-US" w:eastAsia="zh-CN"/>
        </w:rPr>
        <w:t>6.92</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，其他</w:t>
      </w:r>
      <w:r>
        <w:rPr>
          <w:rFonts w:hint="eastAsia" w:ascii="仿宋_GB2312" w:hAnsi="宋体" w:eastAsia="仿宋_GB2312" w:cs="仿宋_GB2312"/>
          <w:color w:val="000000"/>
          <w:kern w:val="0"/>
          <w:szCs w:val="32"/>
          <w:lang w:val="en-US" w:eastAsia="zh-CN"/>
        </w:rPr>
        <w:t>交通费用11.16万元。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七、一般公共预算财政拨款“三公”经费及会议费、培训费支出决算情况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eastAsia="zh-CN"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8.25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7.38</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89</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val="en-US" w:eastAsia="zh-CN" w:bidi="ar"/>
        </w:rPr>
        <w:t>减少</w:t>
      </w:r>
      <w:r>
        <w:rPr>
          <w:rFonts w:hint="eastAsia" w:ascii="仿宋_GB2312" w:hAnsi="宋体" w:eastAsia="仿宋_GB2312" w:cs="仿宋_GB2312"/>
          <w:color w:val="000000"/>
          <w:kern w:val="0"/>
          <w:sz w:val="32"/>
          <w:szCs w:val="32"/>
          <w:lang w:eastAsia="zh-CN" w:bidi="ar"/>
        </w:rPr>
        <w:t>了</w:t>
      </w:r>
      <w:r>
        <w:rPr>
          <w:rFonts w:hint="eastAsia" w:ascii="仿宋_GB2312" w:hAnsi="宋体" w:eastAsia="仿宋_GB2312" w:cs="仿宋_GB2312"/>
          <w:color w:val="000000"/>
          <w:kern w:val="0"/>
          <w:sz w:val="32"/>
          <w:szCs w:val="32"/>
          <w:lang w:val="en-US" w:eastAsia="zh-CN" w:bidi="ar"/>
        </w:rPr>
        <w:t>0.87</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压缩经费</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inline distT="0" distB="0" distL="114300" distR="114300">
            <wp:extent cx="5080000" cy="2644775"/>
            <wp:effectExtent l="4445" t="4445" r="20955" b="177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eastAsia="zh-CN"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6.92</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94</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0.46</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6</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无出国出境人员</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hint="eastAsia" w:ascii="仿宋_GB2312" w:hAnsi="仿宋" w:eastAsia="仿宋_GB2312"/>
          <w:sz w:val="32"/>
          <w:szCs w:val="32"/>
        </w:rPr>
        <w:t>购置车辆</w:t>
      </w:r>
      <w:r>
        <w:rPr>
          <w:rFonts w:hint="eastAsia" w:ascii="仿宋_GB2312" w:hAnsi="仿宋" w:eastAsia="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无购置车辆</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7.55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6.92</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92</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0.63</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val="en-US" w:eastAsia="zh-CN" w:bidi="ar"/>
        </w:rPr>
        <w:t>,主要原因是用车量减少。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年初</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0.7</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0.46</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66</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0.24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接待次数减少</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0.39</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0.39</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年初无预算培训费</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0.41</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0.41</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年初无预算会议费</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八、政府性基金预算财政拨款收入支出情况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lang w:eastAsia="zh-CN"/>
        </w:rPr>
        <w:t>政府性基金预算财政拨款收入为</w:t>
      </w:r>
      <w:r>
        <w:rPr>
          <w:rFonts w:hint="eastAsia" w:ascii="仿宋_GB2312" w:hAnsi="仿宋_GB2312" w:eastAsia="仿宋_GB2312" w:cs="仿宋_GB2312"/>
          <w:sz w:val="32"/>
          <w:szCs w:val="32"/>
          <w:lang w:val="en-US" w:eastAsia="zh-CN"/>
        </w:rPr>
        <w:t>112.92万元，支出决算为112.92万元，主要用于体彩公益金项目。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九、国有资本经营财政拨款收</w:t>
      </w:r>
      <w:r>
        <w:rPr>
          <w:rFonts w:hint="eastAsia" w:asciiTheme="minorEastAsia" w:hAnsiTheme="minorEastAsia" w:eastAsiaTheme="minorEastAsia" w:cstheme="minorEastAsia"/>
          <w:b/>
          <w:bCs/>
          <w:color w:val="000000"/>
          <w:kern w:val="0"/>
          <w:sz w:val="32"/>
          <w:szCs w:val="32"/>
          <w:lang w:eastAsia="zh-CN" w:bidi="ar"/>
        </w:rPr>
        <w:t>入</w:t>
      </w:r>
      <w:r>
        <w:rPr>
          <w:rFonts w:hint="eastAsia" w:asciiTheme="minorEastAsia" w:hAnsiTheme="minorEastAsia" w:eastAsiaTheme="minorEastAsia" w:cstheme="minorEastAsia"/>
          <w:b/>
          <w:bCs/>
          <w:color w:val="000000"/>
          <w:kern w:val="0"/>
          <w:sz w:val="32"/>
          <w:szCs w:val="32"/>
          <w:lang w:bidi="ar"/>
        </w:rPr>
        <w:t>支</w:t>
      </w:r>
      <w:r>
        <w:rPr>
          <w:rFonts w:hint="eastAsia" w:asciiTheme="minorEastAsia" w:hAnsiTheme="minorEastAsia" w:eastAsiaTheme="minorEastAsia" w:cstheme="minorEastAsia"/>
          <w:b/>
          <w:bCs/>
          <w:color w:val="000000"/>
          <w:kern w:val="0"/>
          <w:sz w:val="32"/>
          <w:szCs w:val="32"/>
          <w:lang w:eastAsia="zh-CN" w:bidi="ar"/>
        </w:rPr>
        <w:t>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themeColor="text1"/>
          <w:kern w:val="0"/>
          <w:sz w:val="32"/>
          <w:szCs w:val="32"/>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32"/>
          <w:szCs w:val="32"/>
          <w:lang w:bidi="ar"/>
          <w14:textFill>
            <w14:solidFill>
              <w14:schemeClr w14:val="tx1"/>
            </w14:solidFill>
          </w14:textFill>
        </w:rPr>
        <w:t>十、</w:t>
      </w:r>
      <w:r>
        <w:rPr>
          <w:rFonts w:hint="eastAsia" w:asciiTheme="minorEastAsia" w:hAnsiTheme="minorEastAsia" w:eastAsiaTheme="minorEastAsia" w:cstheme="minorEastAsia"/>
          <w:b/>
          <w:bCs/>
          <w:color w:val="000000" w:themeColor="text1"/>
          <w:kern w:val="0"/>
          <w:sz w:val="32"/>
          <w:szCs w:val="32"/>
          <w:lang w:eastAsia="zh-CN" w:bidi="ar"/>
          <w14:textFill>
            <w14:solidFill>
              <w14:schemeClr w14:val="tx1"/>
            </w14:solidFill>
          </w14:textFill>
        </w:rPr>
        <w:t>机关运行经费支出</w:t>
      </w:r>
      <w:r>
        <w:rPr>
          <w:rFonts w:hint="eastAsia" w:asciiTheme="minorEastAsia" w:hAnsiTheme="minorEastAsia" w:eastAsiaTheme="minorEastAsia" w:cstheme="minorEastAsia"/>
          <w:b/>
          <w:bCs/>
          <w:color w:val="000000" w:themeColor="text1"/>
          <w:kern w:val="0"/>
          <w:sz w:val="32"/>
          <w:szCs w:val="32"/>
          <w:lang w:bidi="ar"/>
          <w14:textFill>
            <w14:solidFill>
              <w14:schemeClr w14:val="tx1"/>
            </w14:solidFill>
          </w14:textFill>
        </w:rPr>
        <w:t>情况</w:t>
      </w:r>
      <w:r>
        <w:rPr>
          <w:rFonts w:hint="eastAsia" w:asciiTheme="minorEastAsia" w:hAnsiTheme="minorEastAsia" w:eastAsiaTheme="minorEastAsia" w:cstheme="minorEastAsia"/>
          <w:b/>
          <w:bCs/>
          <w:color w:val="000000" w:themeColor="text1"/>
          <w:kern w:val="0"/>
          <w:sz w:val="32"/>
          <w:szCs w:val="32"/>
          <w:lang w:eastAsia="zh-CN" w:bidi="ar"/>
          <w14:textFill>
            <w14:solidFill>
              <w14:schemeClr w14:val="tx1"/>
            </w14:solidFill>
          </w14:textFill>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kern w:val="0"/>
          <w:sz w:val="31"/>
          <w:szCs w:val="31"/>
          <w:lang w:bidi="ar"/>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年机关运行经费预算为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0万元，支出决算为0万元，</w:t>
      </w:r>
      <w:r>
        <w:rPr>
          <w:rFonts w:ascii="仿宋_GB2312" w:hAnsi="宋体" w:eastAsia="仿宋_GB2312" w:cs="仿宋_GB2312"/>
          <w:color w:val="000000" w:themeColor="text1"/>
          <w:kern w:val="0"/>
          <w:sz w:val="32"/>
          <w:szCs w:val="32"/>
          <w:lang w:bidi="ar"/>
          <w14:textFill>
            <w14:solidFill>
              <w14:schemeClr w14:val="tx1"/>
            </w14:solidFill>
          </w14:textFill>
        </w:rPr>
        <w:t>完成预算的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0</w:t>
      </w:r>
      <w:r>
        <w:rPr>
          <w:rFonts w:ascii="仿宋_GB2312" w:hAnsi="宋体" w:eastAsia="仿宋_GB2312" w:cs="仿宋_GB2312"/>
          <w:color w:val="000000" w:themeColor="text1"/>
          <w:kern w:val="0"/>
          <w:sz w:val="32"/>
          <w:szCs w:val="32"/>
          <w:lang w:bidi="ar"/>
          <w14:textFill>
            <w14:solidFill>
              <w14:schemeClr w14:val="tx1"/>
            </w14:solidFill>
          </w14:textFill>
        </w:rPr>
        <w:t>%</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r>
        <w:rPr>
          <w:rFonts w:ascii="仿宋_GB2312" w:hAnsi="宋体" w:eastAsia="仿宋_GB2312" w:cs="仿宋_GB2312"/>
          <w:color w:val="000000" w:themeColor="text1"/>
          <w:kern w:val="0"/>
          <w:sz w:val="32"/>
          <w:szCs w:val="32"/>
          <w:lang w:bidi="ar"/>
          <w14:textFill>
            <w14:solidFill>
              <w14:schemeClr w14:val="tx1"/>
            </w14:solidFill>
          </w14:textFill>
        </w:rPr>
        <w:t>决算数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较</w:t>
      </w:r>
      <w:r>
        <w:rPr>
          <w:rFonts w:ascii="仿宋_GB2312" w:hAnsi="宋体" w:eastAsia="仿宋_GB2312" w:cs="仿宋_GB2312"/>
          <w:color w:val="000000" w:themeColor="text1"/>
          <w:kern w:val="0"/>
          <w:sz w:val="32"/>
          <w:szCs w:val="32"/>
          <w:lang w:bidi="ar"/>
          <w14:textFill>
            <w14:solidFill>
              <w14:schemeClr w14:val="tx1"/>
            </w14:solidFill>
          </w14:textFill>
        </w:rPr>
        <w:t>预算数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减少（增加）</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0</w:t>
      </w:r>
      <w:r>
        <w:rPr>
          <w:rFonts w:hint="eastAsia" w:ascii="仿宋_GB2312" w:hAnsi="宋体" w:eastAsia="仿宋_GB2312" w:cs="仿宋_GB2312"/>
          <w:color w:val="000000" w:themeColor="text1"/>
          <w:kern w:val="0"/>
          <w:sz w:val="32"/>
          <w:szCs w:val="32"/>
          <w:lang w:bidi="ar"/>
          <w14:textFill>
            <w14:solidFill>
              <w14:schemeClr w14:val="tx1"/>
            </w14:solidFill>
          </w14:textFill>
        </w:rPr>
        <w:t>万元，</w:t>
      </w:r>
      <w:r>
        <w:rPr>
          <w:rFonts w:ascii="仿宋_GB2312" w:hAnsi="宋体" w:eastAsia="仿宋_GB2312" w:cs="仿宋_GB2312"/>
          <w:color w:val="000000" w:themeColor="text1"/>
          <w:kern w:val="0"/>
          <w:sz w:val="32"/>
          <w:szCs w:val="32"/>
          <w:lang w:bidi="ar"/>
          <w14:textFill>
            <w14:solidFill>
              <w14:schemeClr w14:val="tx1"/>
            </w14:solidFill>
          </w14:textFill>
        </w:rPr>
        <w:t>主要原因是</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无机关运行经费</w:t>
      </w:r>
      <w:r>
        <w:rPr>
          <w:rFonts w:hint="eastAsia" w:ascii="仿宋_GB2312" w:hAnsi="宋体"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一</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政府采购支出</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w:t>
      </w:r>
      <w:r>
        <w:rPr>
          <w:rFonts w:hint="eastAsia" w:ascii="仿宋_GB2312" w:hAnsi="仿宋_GB2312" w:eastAsia="仿宋_GB2312" w:cs="仿宋_GB2312"/>
          <w:sz w:val="32"/>
          <w:szCs w:val="32"/>
          <w:lang w:eastAsia="zh-CN"/>
        </w:rPr>
        <w:t>政府采购支出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二</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国有资产占用及购置</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截</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至</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年末，本部门机关及所属单位实有车辆1辆，其中副部（省）级以上领导用车0辆，主要领导干部用车0辆，机要通信用车0辆，应急保障用车0辆，执法执勤用车1辆，特种专业技术用车0辆，离退休干部用车0辆，其他用车0辆。单价</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万元以上的通用设备0台（套）；单价</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100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万元以上的专用设备0台（</w:t>
      </w:r>
      <w:r>
        <w:rPr>
          <w:rFonts w:hint="eastAsia" w:ascii="仿宋_GB2312" w:hAnsi="仿宋_GB2312" w:eastAsia="仿宋_GB2312" w:cs="仿宋_GB2312"/>
          <w:sz w:val="32"/>
          <w:szCs w:val="32"/>
          <w:highlight w:val="none"/>
          <w:lang w:val="en-US" w:eastAsia="zh-CN"/>
        </w:rPr>
        <w:t>套）。</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 xml:space="preserve">年当年购置车辆0辆；购置单价 </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 xml:space="preserve">万元 以上的通用设备0台（套）；购置单价 </w:t>
      </w:r>
      <w:r>
        <w:rPr>
          <w:rFonts w:hint="default"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万元以上的专用设备0台（套）。（</w:t>
      </w:r>
      <w:r>
        <w:rPr>
          <w:rFonts w:hint="eastAsia" w:ascii="仿宋_GB2312" w:hAnsi="仿宋_GB2312" w:eastAsia="仿宋_GB2312" w:cs="仿宋_GB2312"/>
          <w:sz w:val="32"/>
          <w:szCs w:val="32"/>
          <w:highlight w:val="none"/>
        </w:rPr>
        <w:t>如没有填0</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三</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预算绩效</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lang w:val="en-US" w:eastAsia="zh-CN"/>
        </w:rPr>
        <w:t>竞赛</w:t>
      </w:r>
      <w:r>
        <w:rPr>
          <w:rFonts w:hint="eastAsia" w:ascii="仿宋_GB2312" w:hAnsi="仿宋_GB2312" w:eastAsia="仿宋_GB2312" w:cs="仿宋_GB2312"/>
          <w:sz w:val="32"/>
          <w:szCs w:val="32"/>
          <w:lang w:eastAsia="zh-CN"/>
        </w:rPr>
        <w:t>项目</w:t>
      </w:r>
      <w:r>
        <w:rPr>
          <w:rFonts w:ascii="仿宋_GB2312" w:hAnsi="仿宋_GB2312" w:eastAsia="仿宋_GB2312" w:cs="仿宋_GB2312"/>
          <w:sz w:val="32"/>
          <w:szCs w:val="32"/>
        </w:rPr>
        <w:t>，共涉及资金</w:t>
      </w:r>
      <w:r>
        <w:rPr>
          <w:rFonts w:hint="eastAsia" w:ascii="仿宋_GB2312" w:hAnsi="仿宋_GB2312" w:eastAsia="仿宋_GB2312" w:cs="仿宋_GB2312"/>
          <w:sz w:val="32"/>
          <w:szCs w:val="32"/>
          <w:lang w:val="en-US" w:eastAsia="zh-CN"/>
        </w:rPr>
        <w:t>523.89</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37</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组织对20</w:t>
      </w:r>
      <w:r>
        <w:rPr>
          <w:rFonts w:hint="eastAsia" w:ascii="仿宋_GB2312" w:hAnsi="仿宋_GB2312" w:eastAsia="仿宋_GB2312" w:cs="仿宋_GB2312"/>
          <w:color w:val="000000"/>
          <w:kern w:val="0"/>
          <w:sz w:val="31"/>
          <w:szCs w:val="31"/>
          <w:lang w:val="en-US" w:eastAsia="zh-CN" w:bidi="ar"/>
        </w:rPr>
        <w:t>21</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宋体" w:eastAsia="仿宋_GB2312" w:cs="仿宋_GB2312"/>
          <w:color w:val="000000"/>
          <w:kern w:val="0"/>
          <w:sz w:val="32"/>
          <w:szCs w:val="32"/>
          <w:lang w:val="en-US" w:eastAsia="zh-CN" w:bidi="ar"/>
        </w:rPr>
        <w:t>1515.38</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lang w:eastAsia="zh-CN" w:bidi="ar"/>
        </w:rPr>
        <w:t>体育建设</w:t>
      </w:r>
      <w:r>
        <w:rPr>
          <w:rFonts w:ascii="仿宋_GB2312" w:hAnsi="仿宋_GB2312" w:eastAsia="仿宋_GB2312" w:cs="仿宋_GB2312"/>
          <w:color w:val="000000"/>
          <w:kern w:val="0"/>
          <w:sz w:val="31"/>
          <w:szCs w:val="31"/>
          <w:lang w:bidi="ar"/>
        </w:rPr>
        <w:t>项目绩效自评综述：根据年初设定的绩效目标，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bidi="ar"/>
        </w:rPr>
        <w:t>或部门机关</w:t>
      </w:r>
      <w:r>
        <w:rPr>
          <w:rFonts w:hint="eastAsia" w:ascii="仿宋_GB2312" w:hAnsi="仿宋_GB2312" w:eastAsia="仿宋_GB2312" w:cs="仿宋_GB2312"/>
          <w:color w:val="000000"/>
          <w:kern w:val="0"/>
          <w:sz w:val="31"/>
          <w:szCs w:val="31"/>
          <w:lang w:eastAsia="zh-CN" w:bidi="ar"/>
        </w:rPr>
        <w:t>本级，</w:t>
      </w:r>
      <w:r>
        <w:rPr>
          <w:rFonts w:hint="eastAsia" w:ascii="仿宋_GB2312" w:hAnsi="仿宋_GB2312" w:eastAsia="仿宋_GB2312" w:cs="仿宋_GB2312"/>
          <w:color w:val="000000"/>
          <w:kern w:val="0"/>
          <w:sz w:val="31"/>
          <w:szCs w:val="31"/>
          <w:lang w:bidi="ar"/>
        </w:rPr>
        <w:t>或所属二级单位</w:t>
      </w:r>
      <w:r>
        <w:rPr>
          <w:rFonts w:hint="eastAsia" w:ascii="仿宋_GB2312" w:hAnsi="仿宋_GB2312" w:eastAsia="仿宋_GB2312" w:cs="仿宋_GB2312"/>
          <w:color w:val="000000"/>
          <w:kern w:val="0"/>
          <w:sz w:val="31"/>
          <w:szCs w:val="31"/>
          <w:lang w:val="en-US" w:eastAsia="zh-CN" w:bidi="ar"/>
        </w:rPr>
        <w:t>）2021年度整体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523.89</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523.89</w:t>
      </w:r>
      <w:r>
        <w:rPr>
          <w:rFonts w:ascii="仿宋_GB2312" w:hAnsi="仿宋_GB2312" w:eastAsia="仿宋_GB2312" w:cs="仿宋_GB2312"/>
          <w:color w:val="000000"/>
          <w:kern w:val="0"/>
          <w:sz w:val="31"/>
          <w:szCs w:val="31"/>
          <w:lang w:bidi="ar"/>
        </w:rPr>
        <w:t>万元，</w:t>
      </w:r>
      <w:r>
        <w:rPr>
          <w:rFonts w:ascii="仿宋_GB2312" w:hAnsi="仿宋_GB2312" w:eastAsia="仿宋_GB2312" w:cs="仿宋_GB2312"/>
          <w:color w:val="000000"/>
          <w:kern w:val="0"/>
          <w:sz w:val="31"/>
          <w:szCs w:val="31"/>
          <w:highlight w:val="none"/>
          <w:lang w:bidi="ar"/>
        </w:rPr>
        <w:t>完成预算的</w:t>
      </w:r>
      <w:r>
        <w:rPr>
          <w:rFonts w:hint="eastAsia" w:ascii="仿宋_GB2312" w:hAnsi="仿宋_GB2312" w:eastAsia="仿宋_GB2312" w:cs="仿宋_GB2312"/>
          <w:color w:val="000000"/>
          <w:kern w:val="0"/>
          <w:sz w:val="31"/>
          <w:szCs w:val="31"/>
          <w:highlight w:val="none"/>
          <w:lang w:val="en-US" w:eastAsia="zh-CN" w:bidi="ar"/>
        </w:rPr>
        <w:t>100</w:t>
      </w:r>
      <w:r>
        <w:rPr>
          <w:rFonts w:ascii="仿宋_GB2312" w:hAnsi="仿宋_GB2312" w:eastAsia="仿宋_GB2312" w:cs="仿宋_GB2312"/>
          <w:color w:val="000000"/>
          <w:kern w:val="0"/>
          <w:sz w:val="31"/>
          <w:szCs w:val="31"/>
          <w:highlight w:val="none"/>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eastAsia="仿宋_GB2312"/>
          <w:sz w:val="32"/>
          <w:szCs w:val="32"/>
          <w:lang w:eastAsia="zh-CN"/>
        </w:rPr>
      </w:pPr>
      <w:r>
        <w:rPr>
          <w:rFonts w:hint="eastAsia" w:ascii="仿宋_GB2312" w:hAnsi="仿宋_GB2312" w:eastAsia="仿宋_GB2312" w:cs="仿宋_GB2312"/>
          <w:color w:val="000000"/>
          <w:kern w:val="0"/>
          <w:sz w:val="31"/>
          <w:szCs w:val="31"/>
          <w:lang w:eastAsia="zh-CN" w:bidi="ar"/>
        </w:rPr>
        <w:t>项目绩效目标完成情况</w:t>
      </w:r>
      <w:r>
        <w:rPr>
          <w:rFonts w:ascii="仿宋_GB2312" w:hAnsi="仿宋_GB2312" w:eastAsia="仿宋_GB2312" w:cs="仿宋_GB2312"/>
          <w:color w:val="000000"/>
          <w:kern w:val="0"/>
          <w:sz w:val="31"/>
          <w:szCs w:val="31"/>
          <w:lang w:bidi="ar"/>
        </w:rPr>
        <w:t>：围绕“精彩圆满”目标，营造全民全运氛围。全力推进“十四运会”竞赛组织，抽调80%的班子成员、60%的中层和干部加入竞委会，在竞赛组织、行政接待、综合协调、反兴奋剂、体育展示、场地环境等6个核心处室，全力开展备赛工作，9月10-21日，成功举办十四运会攀岩、滑板比赛，共产生10枚金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sz w:val="32"/>
          <w:szCs w:val="32"/>
          <w:lang w:eastAsia="zh-CN"/>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bookmarkStart w:id="0" w:name="_1662907161"/>
      <w:bookmarkEnd w:id="0"/>
      <w:bookmarkStart w:id="1" w:name="_1662907596"/>
      <w:bookmarkEnd w:id="1"/>
      <w:bookmarkStart w:id="2" w:name="_1662907080"/>
      <w:bookmarkEnd w:id="2"/>
      <w:r>
        <w:rPr>
          <w:rFonts w:hint="eastAsia" w:ascii="仿宋_GB2312" w:hAnsi="仿宋_GB2312" w:eastAsia="仿宋_GB2312" w:cs="仿宋_GB2312"/>
          <w:color w:val="000000"/>
          <w:sz w:val="31"/>
          <w:szCs w:val="31"/>
          <w:lang w:bidi="ar"/>
        </w:rPr>
        <w:object>
          <v:shape id="_x0000_i1025" o:spt="75" type="#_x0000_t75" style="height:641.2pt;width:385.5pt;" o:ole="t" filled="f" o:preferrelative="t" stroked="f" coordsize="21600,21600">
            <v:path/>
            <v:fill on="f" focussize="0,0"/>
            <v:stroke on="f"/>
            <v:imagedata r:id="rId14" o:title=""/>
            <o:lock v:ext="edit" aspectratio="f"/>
            <w10:wrap type="none"/>
            <w10:anchorlock/>
          </v:shape>
          <o:OLEObject Type="Embed" ProgID="Excel.Sheet.12" ShapeID="_x0000_i1025" DrawAspect="Content" ObjectID="_1468075725" r:id="rId13">
            <o:LockedField>false</o:LockedField>
          </o:OLEObject>
        </w:object>
      </w:r>
    </w:p>
    <w:p>
      <w:pPr>
        <w:widowControl/>
        <w:jc w:val="left"/>
        <w:rPr>
          <w:rFonts w:hint="eastAsia" w:ascii="仿宋_GB2312" w:hAnsi="仿宋_GB2312" w:eastAsia="仿宋_GB2312" w:cs="仿宋_GB2312"/>
          <w:color w:val="000000"/>
          <w:kern w:val="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2021年度整体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分。全年预算数</w:t>
      </w:r>
      <w:r>
        <w:rPr>
          <w:rFonts w:hint="eastAsia" w:ascii="仿宋_GB2312" w:hAnsi="宋体" w:eastAsia="仿宋_GB2312" w:cs="仿宋_GB2312"/>
          <w:color w:val="000000"/>
          <w:kern w:val="0"/>
          <w:sz w:val="32"/>
          <w:szCs w:val="32"/>
          <w:lang w:val="en-US" w:eastAsia="zh-CN" w:bidi="ar"/>
        </w:rPr>
        <w:t>1515.38</w:t>
      </w:r>
      <w:r>
        <w:rPr>
          <w:rFonts w:ascii="仿宋_GB2312" w:hAnsi="仿宋_GB2312" w:eastAsia="仿宋_GB2312" w:cs="仿宋_GB2312"/>
          <w:color w:val="000000"/>
          <w:kern w:val="0"/>
          <w:sz w:val="31"/>
          <w:szCs w:val="31"/>
          <w:lang w:bidi="ar"/>
        </w:rPr>
        <w:t>万元，执行数</w:t>
      </w:r>
      <w:r>
        <w:rPr>
          <w:rFonts w:hint="eastAsia" w:ascii="仿宋_GB2312" w:hAnsi="宋体" w:eastAsia="仿宋_GB2312" w:cs="仿宋_GB2312"/>
          <w:color w:val="000000"/>
          <w:kern w:val="0"/>
          <w:sz w:val="32"/>
          <w:szCs w:val="32"/>
          <w:lang w:val="en-US" w:eastAsia="zh-CN" w:bidi="ar"/>
        </w:rPr>
        <w:t>1515.38</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widowControl/>
        <w:spacing w:line="560" w:lineRule="exact"/>
        <w:ind w:firstLine="622"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bidi="ar"/>
        </w:rPr>
        <w:t>1</w:t>
      </w:r>
      <w:r>
        <w:rPr>
          <w:rFonts w:hint="eastAsia"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体育</w:t>
      </w:r>
      <w:r>
        <w:rPr>
          <w:rFonts w:hint="eastAsia" w:ascii="仿宋_GB2312" w:hAnsi="仿宋_GB2312" w:eastAsia="仿宋_GB2312" w:cs="仿宋_GB2312"/>
          <w:color w:val="000000"/>
          <w:kern w:val="0"/>
          <w:sz w:val="31"/>
          <w:szCs w:val="31"/>
          <w:lang w:val="en-US" w:eastAsia="zh-CN" w:bidi="ar"/>
        </w:rPr>
        <w:t>活动</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bidi="ar"/>
        </w:rPr>
        <w:t>100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904.9</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904.9</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bidi="ar"/>
        </w:rPr>
        <w:t>100</w:t>
      </w:r>
      <w:r>
        <w:rPr>
          <w:rFonts w:ascii="仿宋_GB2312" w:hAnsi="仿宋_GB2312" w:eastAsia="仿宋_GB2312" w:cs="仿宋_GB2312"/>
          <w:color w:val="000000"/>
          <w:kern w:val="0"/>
          <w:sz w:val="31"/>
          <w:szCs w:val="31"/>
          <w:lang w:bidi="ar"/>
        </w:rPr>
        <w:t>%。</w:t>
      </w:r>
    </w:p>
    <w:p>
      <w:pPr>
        <w:widowControl/>
        <w:spacing w:line="560" w:lineRule="exact"/>
        <w:ind w:firstLine="620" w:firstLineChars="200"/>
        <w:jc w:val="left"/>
        <w:rPr>
          <w:rFonts w:hint="default"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val="en-US" w:eastAsia="zh-CN" w:bidi="ar"/>
        </w:rPr>
        <w:t>全力推进“十四运会”竞赛组织，抽调80%的班子成员、60%的中层和干部加入竞委会，在竞赛组织、行政接待、综合协调、反兴奋剂、体育展示、场地环境等6个核心处室，全力开展备赛工作，9月10-21日，成功举办十四运会攀岩、滑板比赛，共产生10枚金牌。积极营造全民全运氛围，推进全民健身惠民工程，投资100万对新华路街办、凤凰路街办8个社区全民健身设施进行提升改造；对全区7个行政村配备全民健身路径A类型6套，新建笼式篮球场2个，截至目前，开展国民体质监测2300余人。竞技体育成绩突出，全年开展线上线下体育活动11场次，组队参加陕西省第三届全民健身运动会，以4个一等奖和1个三等奖的优异成绩荣获“陕西省第三届全民健身运动会全民健身活力县”称号。</w:t>
      </w:r>
    </w:p>
    <w:p>
      <w:pPr>
        <w:widowControl/>
        <w:spacing w:line="560" w:lineRule="exact"/>
        <w:ind w:firstLine="622" w:firstLineChars="200"/>
        <w:jc w:val="left"/>
        <w:rPr>
          <w:rFonts w:hint="eastAsia"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val="en-US" w:eastAsia="zh-CN" w:bidi="ar"/>
        </w:rPr>
        <w:t>2</w:t>
      </w:r>
      <w:r>
        <w:rPr>
          <w:rFonts w:hint="eastAsia" w:ascii="仿宋_GB2312" w:hAnsi="仿宋_GB2312" w:eastAsia="仿宋_GB2312" w:cs="仿宋_GB2312"/>
          <w:b/>
          <w:bCs/>
          <w:color w:val="000000"/>
          <w:kern w:val="0"/>
          <w:sz w:val="31"/>
          <w:szCs w:val="31"/>
          <w:lang w:bidi="ar"/>
        </w:rPr>
        <w:t>.</w:t>
      </w:r>
      <w:r>
        <w:rPr>
          <w:rFonts w:hint="eastAsia" w:ascii="仿宋_GB2312" w:hAnsi="仿宋_GB2312" w:eastAsia="仿宋_GB2312" w:cs="仿宋_GB2312"/>
          <w:b w:val="0"/>
          <w:bCs w:val="0"/>
          <w:color w:val="000000"/>
          <w:kern w:val="0"/>
          <w:sz w:val="31"/>
          <w:szCs w:val="31"/>
          <w:lang w:eastAsia="zh-CN" w:bidi="ar"/>
        </w:rPr>
        <w:t>文化</w:t>
      </w:r>
      <w:r>
        <w:rPr>
          <w:rFonts w:hint="eastAsia" w:ascii="仿宋_GB2312" w:hAnsi="仿宋_GB2312" w:eastAsia="仿宋_GB2312" w:cs="仿宋_GB2312"/>
          <w:b w:val="0"/>
          <w:bCs w:val="0"/>
          <w:color w:val="000000"/>
          <w:kern w:val="0"/>
          <w:sz w:val="31"/>
          <w:szCs w:val="31"/>
          <w:lang w:bidi="ar"/>
        </w:rPr>
        <w:t>旅游项目绩效自评综述：根据年初设定的绩效目标，项目自评得分100分。项目全年预算</w:t>
      </w:r>
      <w:r>
        <w:rPr>
          <w:rFonts w:hint="eastAsia" w:ascii="仿宋_GB2312" w:hAnsi="仿宋_GB2312" w:eastAsia="仿宋_GB2312" w:cs="仿宋_GB2312"/>
          <w:b w:val="0"/>
          <w:bCs w:val="0"/>
          <w:color w:val="000000"/>
          <w:kern w:val="0"/>
          <w:sz w:val="31"/>
          <w:szCs w:val="31"/>
          <w:lang w:eastAsia="zh-CN" w:bidi="ar"/>
        </w:rPr>
        <w:t>、</w:t>
      </w:r>
      <w:r>
        <w:rPr>
          <w:rFonts w:hint="eastAsia" w:ascii="仿宋_GB2312" w:hAnsi="仿宋_GB2312" w:eastAsia="仿宋_GB2312" w:cs="仿宋_GB2312"/>
          <w:b w:val="0"/>
          <w:bCs w:val="0"/>
          <w:color w:val="000000"/>
          <w:kern w:val="0"/>
          <w:sz w:val="31"/>
          <w:szCs w:val="31"/>
          <w:lang w:val="en-US" w:eastAsia="zh-CN" w:bidi="ar"/>
        </w:rPr>
        <w:t>433.18</w:t>
      </w:r>
      <w:r>
        <w:rPr>
          <w:rFonts w:hint="eastAsia" w:ascii="仿宋_GB2312" w:hAnsi="仿宋_GB2312" w:eastAsia="仿宋_GB2312" w:cs="仿宋_GB2312"/>
          <w:b w:val="0"/>
          <w:bCs w:val="0"/>
          <w:color w:val="000000"/>
          <w:kern w:val="0"/>
          <w:sz w:val="31"/>
          <w:szCs w:val="31"/>
          <w:lang w:bidi="ar"/>
        </w:rPr>
        <w:t>万元，执行数</w:t>
      </w:r>
      <w:r>
        <w:rPr>
          <w:rFonts w:hint="eastAsia" w:ascii="仿宋_GB2312" w:hAnsi="仿宋_GB2312" w:eastAsia="仿宋_GB2312" w:cs="仿宋_GB2312"/>
          <w:b w:val="0"/>
          <w:bCs w:val="0"/>
          <w:color w:val="000000"/>
          <w:kern w:val="0"/>
          <w:sz w:val="31"/>
          <w:szCs w:val="31"/>
          <w:lang w:val="en-US" w:eastAsia="zh-CN" w:bidi="ar"/>
        </w:rPr>
        <w:t>433.18</w:t>
      </w:r>
      <w:r>
        <w:rPr>
          <w:rFonts w:hint="eastAsia" w:ascii="仿宋_GB2312" w:hAnsi="仿宋_GB2312" w:eastAsia="仿宋_GB2312" w:cs="仿宋_GB2312"/>
          <w:b w:val="0"/>
          <w:bCs w:val="0"/>
          <w:color w:val="000000"/>
          <w:kern w:val="0"/>
          <w:sz w:val="31"/>
          <w:szCs w:val="31"/>
          <w:lang w:bidi="ar"/>
        </w:rPr>
        <w:t>万元，完成预算的100%。</w:t>
      </w:r>
    </w:p>
    <w:p>
      <w:pPr>
        <w:spacing w:line="580" w:lineRule="exact"/>
        <w:ind w:firstLine="620" w:firstLineChars="200"/>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pPr>
      <w:r>
        <w:rPr>
          <w:rFonts w:ascii="仿宋_GB2312" w:hAnsi="仿宋_GB2312" w:eastAsia="仿宋_GB2312" w:cs="仿宋_GB2312"/>
          <w:color w:val="000000"/>
          <w:kern w:val="0"/>
          <w:sz w:val="31"/>
          <w:szCs w:val="31"/>
          <w:lang w:bidi="ar"/>
        </w:rPr>
        <w:t>主要产出和效果：</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西安阎良·中国航空文化博览园</w:t>
      </w:r>
      <w:r>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、飞翔梦航空科教文化示范园区、</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石川河综合展示服务中心等文旅</w:t>
      </w:r>
      <w:r>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项目持续推进</w:t>
      </w:r>
      <w:r>
        <w:rPr>
          <w:rFonts w:hint="eastAsia" w:ascii="Times New Roman" w:hAnsi="Times New Roman" w:eastAsia="仿宋_GB2312" w:cs="Times New Roman"/>
          <w:bCs/>
          <w:color w:val="0D0D0D" w:themeColor="text1" w:themeTint="F2"/>
          <w:sz w:val="32"/>
          <w:szCs w:val="32"/>
          <w:lang w:eastAsia="zh-CN"/>
          <w14:textFill>
            <w14:solidFill>
              <w14:schemeClr w14:val="tx1">
                <w14:lumMod w14:val="95000"/>
                <w14:lumOff w14:val="5000"/>
              </w14:schemeClr>
            </w14:solidFill>
          </w14:textFill>
        </w:rPr>
        <w:t>，</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深入开展“服务十四运·奉献我的城”主题实践活动</w:t>
      </w:r>
      <w:r>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，获得西安市“永远跟党走”红色故事讲解员大赛志愿组三等奖、</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2021西安市旅游商品大赛 “最佳创意奖”，入选西安市“金口碑·最人气”星级饭店和 “2021西安最佳人气旅行社名单”，举办阎良区文旅行业“塑美创佳争优”活动</w:t>
      </w:r>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圆满举办山东民俗节、梨花节、甜瓜节、羊乳文化节、火龙果节等品牌活动；发布“庆华诞、迎全运、助振兴”精品旅游线路4条，“西安阎良极限运动体验之旅”入选国家体育总局和国家文旅部联合发布的“2021年国庆假期体育旅游精品线路”，推出特色工业旅游景区景点3处；赴珠海、海口参加市文旅局组织的2021西安城市营销路演活动。截至目前，我区接待游客3</w:t>
      </w:r>
      <w:r>
        <w:rPr>
          <w:rFonts w:hint="eastAsia"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92</w:t>
      </w:r>
      <w:r>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万人次，实现旅游业总收入11.</w:t>
      </w:r>
      <w:r>
        <w:rPr>
          <w:rFonts w:hint="eastAsia"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86</w:t>
      </w:r>
      <w:r>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亿元。</w:t>
      </w:r>
    </w:p>
    <w:p>
      <w:pPr>
        <w:widowControl/>
        <w:spacing w:line="560" w:lineRule="exact"/>
        <w:ind w:firstLine="622" w:firstLineChars="200"/>
        <w:jc w:val="left"/>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3.</w:t>
      </w:r>
      <w:r>
        <w:rPr>
          <w:rFonts w:hint="eastAsia" w:ascii="仿宋_GB2312" w:hAnsi="仿宋_GB2312" w:eastAsia="仿宋_GB2312" w:cs="仿宋_GB2312"/>
          <w:b w:val="0"/>
          <w:bCs w:val="0"/>
          <w:color w:val="000000"/>
          <w:kern w:val="0"/>
          <w:sz w:val="31"/>
          <w:szCs w:val="31"/>
          <w:lang w:val="en-US" w:eastAsia="zh-CN" w:bidi="ar"/>
        </w:rPr>
        <w:t>文物旅游规划编制项目：根据年初设定的绩效目标，项目自评得分100分。项目全年预算数177.29万元，执行数177.29万元，完成预算的100%。</w:t>
      </w:r>
    </w:p>
    <w:p>
      <w:pPr>
        <w:spacing w:line="580" w:lineRule="exact"/>
        <w:ind w:firstLine="620" w:firstLineChars="200"/>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b w:val="0"/>
          <w:bCs w:val="0"/>
          <w:color w:val="000000"/>
          <w:kern w:val="0"/>
          <w:sz w:val="31"/>
          <w:szCs w:val="31"/>
          <w:lang w:val="en-US" w:eastAsia="zh-CN" w:bidi="ar"/>
        </w:rPr>
        <w:t>完善文物保护体制机制，成立阎良区文物保护管理所（阎良区为内涵栎阳城遗址文物保护管理所），加强全区文物保护工作的人、财、物投入。保障重点项目建设，做好区级重点项目文勘办理工作，持续推进栎阳城遗址保护利用，完善《栎阳城遗址保护总体规划》，建成6000平方米的秦汉栎阳城遗址保护展示厅，接待区内外参观群众4000余人，启动遗址安防升级改造项目。夯实文物安全责任，以“两办”名义印发《西安市阎良区关于加强文物保护利用改革的实施方案》；加强汛期栎阳桥安全巡查，印发《栎阳桥加固保护工作实施方案》，召开栎阳桥应急保护专题会3次，为古桥本体加固奠定基础；开展义和遗址保护范围和建设控制地带的划定工作；与各街办和公安阎良分局，建立文物安全联动机制，开展田野文物巡查41次，全年无文物安全事件发生。</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bidi="ar"/>
        </w:rPr>
      </w:pP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p>
    <w:p>
      <w:pPr>
        <w:spacing w:line="580" w:lineRule="exact"/>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项目总体评价：</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1.项目的实施进度，按照预算目标，100%完成了项目的工作进度。</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2.项目完成质量，2021年预算资金严格按照预算实施，完成质量良好。</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3.项目的效益性，通过项目的实施，完成了十四运攀岩滑板项目的比赛，也完成了举</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办全年群众文化体育活动要求场次的工作目标。</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项目实施对经济和社会的影响。通过文化体育活动活动的实施以及旅游宣传文物保护工作，提升了我区特色文化内涵，宣传了阎良，传承了文化遗产，丰富了广大人民群众的精神文化生活的同时，产生了重大的积极的社会效应、得到社会各界的广泛认可；带动了我的相关产业的发展，产生了一定的经济效益。</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下一步改进措施：</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1.加强预算和决算的执行工作。严格按照《预算法》的规定编制部门预算，坚决杜绝虚列财政收入和支出。 </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加强财务管理。严格按照《会计法》和会计制度的规定，进一步加强会计工作的规范化，建立健全财务内部管理制度，按规定设置会计科目，进行帐务处理。1、加强专项资金的管理。对专项资金，注重资金使用效益，实行财政专户管理，确保专款专用。2、加强支出管理。要建立和完善支出管理有关制度，建立和完善费用报销制度。通过建章立制，从严控制开支，坚决制止铺张浪费。对不真实、不合理、不合法的票据，不予报销入帐。3、加强固定资产的管理。建立健全固定资产相关帐簿，加强对固定资产的管理，防止国有资产流失。</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3.加强制度建设。在现有制度的基础上进一步健全完善内部管控制度体系。</w:t>
      </w:r>
    </w:p>
    <w:p>
      <w:pPr>
        <w:spacing w:line="580" w:lineRule="exact"/>
        <w:ind w:firstLine="620" w:firstLineChars="200"/>
        <w:rPr>
          <w:rFonts w:hint="default" w:ascii="仿宋_GB2312" w:hAnsi="仿宋_GB2312" w:eastAsia="仿宋_GB2312" w:cs="仿宋_GB2312"/>
          <w:b w:val="0"/>
          <w:bCs w:val="0"/>
          <w:color w:val="000000"/>
          <w:kern w:val="0"/>
          <w:sz w:val="31"/>
          <w:szCs w:val="31"/>
          <w:lang w:val="en-US" w:eastAsia="zh-CN" w:bidi="ar"/>
        </w:rPr>
      </w:pPr>
    </w:p>
    <w:p>
      <w:pPr>
        <w:widowControl/>
        <w:jc w:val="left"/>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color w:val="000000"/>
          <w:kern w:val="0"/>
          <w:sz w:val="31"/>
          <w:szCs w:val="31"/>
          <w:lang w:bidi="ar"/>
        </w:rPr>
        <w:object>
          <v:shape id="_x0000_i1026" o:spt="75" type="#_x0000_t75" style="height:966.3pt;width:697.55pt;" o:ole="t" filled="f" o:preferrelative="t" stroked="f" coordsize="21600,21600">
            <v:path/>
            <v:fill on="f" focussize="0,0"/>
            <v:stroke on="f"/>
            <v:imagedata r:id="rId16" o:title=""/>
            <o:lock v:ext="edit" aspectratio="f"/>
            <w10:wrap type="none"/>
            <w10:anchorlock/>
          </v:shape>
          <o:OLEObject Type="Embed" ProgID="Excel.Sheet.12" ShapeID="_x0000_i1026" DrawAspect="Content" ObjectID="_1468075726" r:id="rId15">
            <o:LockedField>false</o:LockedField>
          </o:OLEObject>
        </w:object>
      </w:r>
      <w:bookmarkStart w:id="3" w:name="_1662907696"/>
      <w:bookmarkEnd w:id="3"/>
    </w:p>
    <w:p>
      <w:pPr>
        <w:numPr>
          <w:ilvl w:val="0"/>
          <w:numId w:val="0"/>
        </w:numPr>
        <w:ind w:firstLine="1760" w:firstLineChars="400"/>
        <w:jc w:val="both"/>
        <w:rPr>
          <w:rFonts w:hint="eastAsia" w:ascii="黑体" w:hAnsi="宋体" w:eastAsia="黑体"/>
          <w:color w:val="000000"/>
          <w:kern w:val="0"/>
          <w:sz w:val="44"/>
          <w:szCs w:val="44"/>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rPr>
        <w:t>专业名词解释</w:t>
      </w:r>
    </w:p>
    <w:p>
      <w:pPr>
        <w:numPr>
          <w:ilvl w:val="0"/>
          <w:numId w:val="0"/>
        </w:numPr>
        <w:jc w:val="center"/>
        <w:rPr>
          <w:rFonts w:hint="eastAsia"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p>
      <w:pPr>
        <w:widowControl/>
        <w:ind w:firstLine="620" w:firstLineChars="200"/>
        <w:jc w:val="left"/>
        <w:rPr>
          <w:rFonts w:hint="eastAsia" w:ascii="仿宋_GB2312" w:hAnsi="仿宋_GB2312" w:eastAsia="仿宋_GB2312" w:cs="仿宋_GB2312"/>
          <w:color w:val="000000"/>
          <w:kern w:val="0"/>
          <w:sz w:val="31"/>
          <w:szCs w:val="31"/>
          <w:highlight w:val="yellow"/>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楷体" w:hAnsi="楷体" w:eastAsia="楷体" w:cs="楷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7F01F"/>
    <w:multiLevelType w:val="singleLevel"/>
    <w:tmpl w:val="89C7F01F"/>
    <w:lvl w:ilvl="0" w:tentative="0">
      <w:start w:val="1"/>
      <w:numFmt w:val="decimal"/>
      <w:lvlText w:val="%1."/>
      <w:lvlJc w:val="left"/>
      <w:pPr>
        <w:tabs>
          <w:tab w:val="left" w:pos="312"/>
        </w:tabs>
      </w:pPr>
    </w:lvl>
  </w:abstractNum>
  <w:abstractNum w:abstractNumId="1">
    <w:nsid w:val="9F232710"/>
    <w:multiLevelType w:val="singleLevel"/>
    <w:tmpl w:val="9F232710"/>
    <w:lvl w:ilvl="0" w:tentative="0">
      <w:start w:val="1"/>
      <w:numFmt w:val="chineseCounting"/>
      <w:suff w:val="space"/>
      <w:lvlText w:val="第%1部分"/>
      <w:lvlJc w:val="left"/>
      <w:rPr>
        <w:rFonts w:hint="eastAsia"/>
      </w:rPr>
    </w:lvl>
  </w:abstractNum>
  <w:abstractNum w:abstractNumId="2">
    <w:nsid w:val="AC9976CA"/>
    <w:multiLevelType w:val="singleLevel"/>
    <w:tmpl w:val="AC9976CA"/>
    <w:lvl w:ilvl="0" w:tentative="0">
      <w:start w:val="1"/>
      <w:numFmt w:val="chineseCounting"/>
      <w:suff w:val="nothing"/>
      <w:lvlText w:val="%1、"/>
      <w:lvlJc w:val="left"/>
      <w:rPr>
        <w:rFonts w:hint="eastAsia"/>
      </w:rPr>
    </w:lvl>
  </w:abstractNum>
  <w:abstractNum w:abstractNumId="3">
    <w:nsid w:val="1838599E"/>
    <w:multiLevelType w:val="singleLevel"/>
    <w:tmpl w:val="1838599E"/>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ZWQ2YTE5NDAyMmE1YmMxNzgyYjIyYjU2Y2MyMWUifQ=="/>
  </w:docVars>
  <w:rsids>
    <w:rsidRoot w:val="20E506C4"/>
    <w:rsid w:val="005F65CD"/>
    <w:rsid w:val="00CA3659"/>
    <w:rsid w:val="00D44852"/>
    <w:rsid w:val="010E3361"/>
    <w:rsid w:val="01840A76"/>
    <w:rsid w:val="019001DE"/>
    <w:rsid w:val="01E73B91"/>
    <w:rsid w:val="02586463"/>
    <w:rsid w:val="02B806E5"/>
    <w:rsid w:val="03A7089C"/>
    <w:rsid w:val="047F1934"/>
    <w:rsid w:val="04D806FC"/>
    <w:rsid w:val="04DB464C"/>
    <w:rsid w:val="068648B3"/>
    <w:rsid w:val="068B7849"/>
    <w:rsid w:val="07292B29"/>
    <w:rsid w:val="073D0B7A"/>
    <w:rsid w:val="07422AC4"/>
    <w:rsid w:val="078D1C71"/>
    <w:rsid w:val="07B61C44"/>
    <w:rsid w:val="07BE557C"/>
    <w:rsid w:val="08134E54"/>
    <w:rsid w:val="08586301"/>
    <w:rsid w:val="086C1E64"/>
    <w:rsid w:val="093E0634"/>
    <w:rsid w:val="09F56D6B"/>
    <w:rsid w:val="0A557F81"/>
    <w:rsid w:val="0BA7522A"/>
    <w:rsid w:val="0C2C1F1F"/>
    <w:rsid w:val="0C2D7704"/>
    <w:rsid w:val="0CBF74DF"/>
    <w:rsid w:val="0D047580"/>
    <w:rsid w:val="0D0C2BC4"/>
    <w:rsid w:val="0D2941EA"/>
    <w:rsid w:val="0DAD6BC9"/>
    <w:rsid w:val="0DBA6E85"/>
    <w:rsid w:val="0DC72692"/>
    <w:rsid w:val="0E2B5C83"/>
    <w:rsid w:val="0EC368FB"/>
    <w:rsid w:val="0ECE423F"/>
    <w:rsid w:val="0EF5200E"/>
    <w:rsid w:val="0F3022A5"/>
    <w:rsid w:val="0FE73EE9"/>
    <w:rsid w:val="102B6DF1"/>
    <w:rsid w:val="110671B9"/>
    <w:rsid w:val="11951E4E"/>
    <w:rsid w:val="11EC3A38"/>
    <w:rsid w:val="120E784D"/>
    <w:rsid w:val="12184E79"/>
    <w:rsid w:val="12372F05"/>
    <w:rsid w:val="127F68D6"/>
    <w:rsid w:val="12B26A30"/>
    <w:rsid w:val="13753E1B"/>
    <w:rsid w:val="13BA2CC9"/>
    <w:rsid w:val="14174CED"/>
    <w:rsid w:val="153674A4"/>
    <w:rsid w:val="15453B8B"/>
    <w:rsid w:val="15916C1F"/>
    <w:rsid w:val="16921B06"/>
    <w:rsid w:val="16B207CA"/>
    <w:rsid w:val="178E4E9E"/>
    <w:rsid w:val="178F31FD"/>
    <w:rsid w:val="17C77071"/>
    <w:rsid w:val="18281798"/>
    <w:rsid w:val="18634A0D"/>
    <w:rsid w:val="18BC4DAB"/>
    <w:rsid w:val="18E20488"/>
    <w:rsid w:val="191A102A"/>
    <w:rsid w:val="19DA40E6"/>
    <w:rsid w:val="1A5410C4"/>
    <w:rsid w:val="1A6178A4"/>
    <w:rsid w:val="1A6265A0"/>
    <w:rsid w:val="1A913AE8"/>
    <w:rsid w:val="1AF22409"/>
    <w:rsid w:val="1B055B6B"/>
    <w:rsid w:val="1CBA09BB"/>
    <w:rsid w:val="1CC315DB"/>
    <w:rsid w:val="1D5A219E"/>
    <w:rsid w:val="1D8B0C78"/>
    <w:rsid w:val="1E3F4958"/>
    <w:rsid w:val="1E6E4C3B"/>
    <w:rsid w:val="1E711180"/>
    <w:rsid w:val="1E7D6429"/>
    <w:rsid w:val="1F1A1F49"/>
    <w:rsid w:val="1F226BC7"/>
    <w:rsid w:val="1FE94670"/>
    <w:rsid w:val="20016901"/>
    <w:rsid w:val="20236F2E"/>
    <w:rsid w:val="20B96E79"/>
    <w:rsid w:val="20E506C4"/>
    <w:rsid w:val="21E922E4"/>
    <w:rsid w:val="220031EB"/>
    <w:rsid w:val="22551999"/>
    <w:rsid w:val="2256467C"/>
    <w:rsid w:val="23371961"/>
    <w:rsid w:val="23610FD3"/>
    <w:rsid w:val="236267D8"/>
    <w:rsid w:val="23857D2F"/>
    <w:rsid w:val="24171B10"/>
    <w:rsid w:val="24537A42"/>
    <w:rsid w:val="245918C8"/>
    <w:rsid w:val="246B06D0"/>
    <w:rsid w:val="24861FF8"/>
    <w:rsid w:val="256264C3"/>
    <w:rsid w:val="262C087E"/>
    <w:rsid w:val="26377520"/>
    <w:rsid w:val="2642696E"/>
    <w:rsid w:val="2660352B"/>
    <w:rsid w:val="27345405"/>
    <w:rsid w:val="287C13F1"/>
    <w:rsid w:val="28C03F87"/>
    <w:rsid w:val="28E71CD7"/>
    <w:rsid w:val="28FB2AB2"/>
    <w:rsid w:val="295415FA"/>
    <w:rsid w:val="29D65047"/>
    <w:rsid w:val="2A7F5B56"/>
    <w:rsid w:val="2AE632C3"/>
    <w:rsid w:val="2BFF61D7"/>
    <w:rsid w:val="2C1E58CB"/>
    <w:rsid w:val="2C366C63"/>
    <w:rsid w:val="2C8F7948"/>
    <w:rsid w:val="2CF051FA"/>
    <w:rsid w:val="2D38229C"/>
    <w:rsid w:val="2D62741D"/>
    <w:rsid w:val="2DA368D1"/>
    <w:rsid w:val="2DF854D4"/>
    <w:rsid w:val="2EC53938"/>
    <w:rsid w:val="2F3F7267"/>
    <w:rsid w:val="30AC7B38"/>
    <w:rsid w:val="30DF4759"/>
    <w:rsid w:val="32370DD4"/>
    <w:rsid w:val="324878CF"/>
    <w:rsid w:val="326B0A0B"/>
    <w:rsid w:val="32A7158A"/>
    <w:rsid w:val="32E651BA"/>
    <w:rsid w:val="32F51E2E"/>
    <w:rsid w:val="3339709D"/>
    <w:rsid w:val="333C204A"/>
    <w:rsid w:val="339F628F"/>
    <w:rsid w:val="33B06F9D"/>
    <w:rsid w:val="33D12052"/>
    <w:rsid w:val="347D3DBD"/>
    <w:rsid w:val="3504022C"/>
    <w:rsid w:val="350A5D93"/>
    <w:rsid w:val="3669223E"/>
    <w:rsid w:val="366C12FC"/>
    <w:rsid w:val="37000267"/>
    <w:rsid w:val="373B04F2"/>
    <w:rsid w:val="373E3750"/>
    <w:rsid w:val="385C4BC4"/>
    <w:rsid w:val="390A5D5B"/>
    <w:rsid w:val="39504A81"/>
    <w:rsid w:val="39BE5AB2"/>
    <w:rsid w:val="3AFB7F86"/>
    <w:rsid w:val="3B021C6B"/>
    <w:rsid w:val="3B0C2B2C"/>
    <w:rsid w:val="3B5E2A01"/>
    <w:rsid w:val="3B6E43A4"/>
    <w:rsid w:val="3BA3564B"/>
    <w:rsid w:val="3BFC6DCC"/>
    <w:rsid w:val="3C067D8D"/>
    <w:rsid w:val="3C181ADB"/>
    <w:rsid w:val="3C2A0720"/>
    <w:rsid w:val="3C446E8B"/>
    <w:rsid w:val="3C7A6DAB"/>
    <w:rsid w:val="3CAE1CE4"/>
    <w:rsid w:val="3D380F19"/>
    <w:rsid w:val="3D4E2733"/>
    <w:rsid w:val="3D904069"/>
    <w:rsid w:val="3DB01CC2"/>
    <w:rsid w:val="3E3479B1"/>
    <w:rsid w:val="3E3F696B"/>
    <w:rsid w:val="3E4A28BC"/>
    <w:rsid w:val="3ED56FAF"/>
    <w:rsid w:val="3F034EFD"/>
    <w:rsid w:val="3F0D2807"/>
    <w:rsid w:val="3FCA23EC"/>
    <w:rsid w:val="40871E38"/>
    <w:rsid w:val="41942E54"/>
    <w:rsid w:val="424D60E4"/>
    <w:rsid w:val="42DF3ED1"/>
    <w:rsid w:val="42FA4769"/>
    <w:rsid w:val="433A1366"/>
    <w:rsid w:val="43BC1030"/>
    <w:rsid w:val="43BF7D37"/>
    <w:rsid w:val="4447106E"/>
    <w:rsid w:val="44786400"/>
    <w:rsid w:val="44BC5B5B"/>
    <w:rsid w:val="455734BD"/>
    <w:rsid w:val="4595018C"/>
    <w:rsid w:val="45C931B9"/>
    <w:rsid w:val="4610593D"/>
    <w:rsid w:val="46353C23"/>
    <w:rsid w:val="46F82343"/>
    <w:rsid w:val="47964FBE"/>
    <w:rsid w:val="47A141F9"/>
    <w:rsid w:val="482E2C6E"/>
    <w:rsid w:val="48F12D42"/>
    <w:rsid w:val="49616AEF"/>
    <w:rsid w:val="49915349"/>
    <w:rsid w:val="49DB26F6"/>
    <w:rsid w:val="49E07403"/>
    <w:rsid w:val="49EA6175"/>
    <w:rsid w:val="49F04C28"/>
    <w:rsid w:val="4A1752A2"/>
    <w:rsid w:val="4A583C8E"/>
    <w:rsid w:val="4AB663FF"/>
    <w:rsid w:val="4AC94221"/>
    <w:rsid w:val="4B1431E8"/>
    <w:rsid w:val="4B18398F"/>
    <w:rsid w:val="4B1D404D"/>
    <w:rsid w:val="4B724DD9"/>
    <w:rsid w:val="4BA62E25"/>
    <w:rsid w:val="4BC56EF7"/>
    <w:rsid w:val="4BCF243C"/>
    <w:rsid w:val="4C7E4CB1"/>
    <w:rsid w:val="4C8F1C6B"/>
    <w:rsid w:val="4CDF1BF4"/>
    <w:rsid w:val="4D9D33EE"/>
    <w:rsid w:val="4DAC3D0C"/>
    <w:rsid w:val="4E1826EB"/>
    <w:rsid w:val="502162E1"/>
    <w:rsid w:val="50446E39"/>
    <w:rsid w:val="50C46A00"/>
    <w:rsid w:val="50C62B98"/>
    <w:rsid w:val="51AA47B2"/>
    <w:rsid w:val="51C1525F"/>
    <w:rsid w:val="52AC7AB3"/>
    <w:rsid w:val="52C8312A"/>
    <w:rsid w:val="532511AB"/>
    <w:rsid w:val="534034E3"/>
    <w:rsid w:val="54207C4C"/>
    <w:rsid w:val="544D3043"/>
    <w:rsid w:val="54722E94"/>
    <w:rsid w:val="54890396"/>
    <w:rsid w:val="555C235D"/>
    <w:rsid w:val="55BC39C0"/>
    <w:rsid w:val="561550C1"/>
    <w:rsid w:val="572016AE"/>
    <w:rsid w:val="57E3761C"/>
    <w:rsid w:val="58BC6C35"/>
    <w:rsid w:val="58E26FD5"/>
    <w:rsid w:val="59477A05"/>
    <w:rsid w:val="595A5BCE"/>
    <w:rsid w:val="596D661C"/>
    <w:rsid w:val="59836C48"/>
    <w:rsid w:val="59C246B5"/>
    <w:rsid w:val="5A610FED"/>
    <w:rsid w:val="5AD32C36"/>
    <w:rsid w:val="5C252D34"/>
    <w:rsid w:val="5C8073CA"/>
    <w:rsid w:val="5C8207EE"/>
    <w:rsid w:val="5C85137D"/>
    <w:rsid w:val="5D7F0889"/>
    <w:rsid w:val="5DBC131F"/>
    <w:rsid w:val="5DF34FA9"/>
    <w:rsid w:val="5E7E3630"/>
    <w:rsid w:val="5F5027A5"/>
    <w:rsid w:val="604B4D81"/>
    <w:rsid w:val="6126014E"/>
    <w:rsid w:val="6151303A"/>
    <w:rsid w:val="618A6433"/>
    <w:rsid w:val="625B2DA2"/>
    <w:rsid w:val="636A5BE2"/>
    <w:rsid w:val="637D586B"/>
    <w:rsid w:val="6516448E"/>
    <w:rsid w:val="65706DA4"/>
    <w:rsid w:val="664C1E33"/>
    <w:rsid w:val="66611474"/>
    <w:rsid w:val="67074E34"/>
    <w:rsid w:val="671B1623"/>
    <w:rsid w:val="671E745B"/>
    <w:rsid w:val="68725B49"/>
    <w:rsid w:val="68777ACE"/>
    <w:rsid w:val="68DB6590"/>
    <w:rsid w:val="68F465CF"/>
    <w:rsid w:val="692B7805"/>
    <w:rsid w:val="696473D9"/>
    <w:rsid w:val="6977251D"/>
    <w:rsid w:val="697876A2"/>
    <w:rsid w:val="69A157A9"/>
    <w:rsid w:val="6A0E36C1"/>
    <w:rsid w:val="6AF21D88"/>
    <w:rsid w:val="6B3A19DE"/>
    <w:rsid w:val="6B3B79EC"/>
    <w:rsid w:val="6C843933"/>
    <w:rsid w:val="6C875E70"/>
    <w:rsid w:val="6CAD3A0C"/>
    <w:rsid w:val="6CED11A2"/>
    <w:rsid w:val="6DC7259C"/>
    <w:rsid w:val="6E82467D"/>
    <w:rsid w:val="6EAC6681"/>
    <w:rsid w:val="6EB546C3"/>
    <w:rsid w:val="6F094735"/>
    <w:rsid w:val="6F3715E2"/>
    <w:rsid w:val="6F4F2D6C"/>
    <w:rsid w:val="6FF43359"/>
    <w:rsid w:val="70D566CD"/>
    <w:rsid w:val="70EA4662"/>
    <w:rsid w:val="71840673"/>
    <w:rsid w:val="71C9684A"/>
    <w:rsid w:val="71FF4046"/>
    <w:rsid w:val="723534D6"/>
    <w:rsid w:val="72647864"/>
    <w:rsid w:val="72856C98"/>
    <w:rsid w:val="72CC2CB1"/>
    <w:rsid w:val="72E47E81"/>
    <w:rsid w:val="73431FE5"/>
    <w:rsid w:val="73A73AFE"/>
    <w:rsid w:val="74F620C5"/>
    <w:rsid w:val="751F1B54"/>
    <w:rsid w:val="7594634B"/>
    <w:rsid w:val="75B86FF9"/>
    <w:rsid w:val="760A19E3"/>
    <w:rsid w:val="76157B85"/>
    <w:rsid w:val="76301274"/>
    <w:rsid w:val="7687055C"/>
    <w:rsid w:val="76D06209"/>
    <w:rsid w:val="76DF5587"/>
    <w:rsid w:val="77285EAB"/>
    <w:rsid w:val="778B0394"/>
    <w:rsid w:val="77C43856"/>
    <w:rsid w:val="781E3916"/>
    <w:rsid w:val="790B55F2"/>
    <w:rsid w:val="791C4BA8"/>
    <w:rsid w:val="79861760"/>
    <w:rsid w:val="79DA500A"/>
    <w:rsid w:val="7A7921D3"/>
    <w:rsid w:val="7A9354C5"/>
    <w:rsid w:val="7B465659"/>
    <w:rsid w:val="7B6D5E4A"/>
    <w:rsid w:val="7CC00C24"/>
    <w:rsid w:val="7D91393A"/>
    <w:rsid w:val="7DDA6532"/>
    <w:rsid w:val="7E08083A"/>
    <w:rsid w:val="7E8C0663"/>
    <w:rsid w:val="7E985015"/>
    <w:rsid w:val="7F080287"/>
    <w:rsid w:val="7F203382"/>
    <w:rsid w:val="7F8F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人员结构</a:t>
            </a:r>
          </a:p>
        </c:rich>
      </c:tx>
      <c:layout>
        <c:manualLayout>
          <c:xMode val="edge"/>
          <c:yMode val="edge"/>
          <c:x val="0.0655"/>
          <c:y val="0.04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行政编制</c:v>
                </c:pt>
                <c:pt idx="1">
                  <c:v>事业编制</c:v>
                </c:pt>
              </c:strCache>
            </c:strRef>
          </c:cat>
          <c:val>
            <c:numRef>
              <c:f>Sheet1!$B$2:$B$3</c:f>
              <c:numCache>
                <c:formatCode>General</c:formatCode>
                <c:ptCount val="2"/>
                <c:pt idx="0">
                  <c:v>7</c:v>
                </c:pt>
                <c:pt idx="1">
                  <c:v>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t>年收支与</a:t>
            </a:r>
            <a:r>
              <a:rPr lang="en-US" altLang="zh-CN"/>
              <a:t>2020</a:t>
            </a:r>
            <a:r>
              <a:t>年情况对比图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2650.13</c:v>
                </c:pt>
                <c:pt idx="1">
                  <c:v>2650.15</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2072.46</c:v>
                </c:pt>
                <c:pt idx="1">
                  <c:v>2072.46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3278940"/>
        <c:axId val="829754290"/>
      </c:barChart>
      <c:catAx>
        <c:axId val="232789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9754290"/>
        <c:crosses val="autoZero"/>
        <c:auto val="1"/>
        <c:lblAlgn val="ctr"/>
        <c:lblOffset val="100"/>
        <c:noMultiLvlLbl val="0"/>
      </c:catAx>
      <c:valAx>
        <c:axId val="8297542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7894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收入构成</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财政拨款收入</c:v>
                </c:pt>
                <c:pt idx="1">
                  <c:v>事业收入</c:v>
                </c:pt>
                <c:pt idx="2">
                  <c:v>经营经营收入</c:v>
                </c:pt>
                <c:pt idx="3">
                  <c:v>其他收入</c:v>
                </c:pt>
              </c:strCache>
            </c:strRef>
          </c:cat>
          <c:val>
            <c:numRef>
              <c:f>Sheet1!$B$2:$B$5</c:f>
              <c:numCache>
                <c:formatCode>General</c:formatCode>
                <c:ptCount val="4"/>
                <c:pt idx="0">
                  <c:v>2072.46</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支出构成</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基本支出</c:v>
                </c:pt>
                <c:pt idx="1">
                  <c:v>项目支出</c:v>
                </c:pt>
                <c:pt idx="2">
                  <c:v>经营支出</c:v>
                </c:pt>
              </c:strCache>
            </c:strRef>
          </c:cat>
          <c:val>
            <c:numRef>
              <c:f>Sheet1!$B$2:$B$4</c:f>
              <c:numCache>
                <c:formatCode>General</c:formatCode>
                <c:ptCount val="3"/>
                <c:pt idx="0">
                  <c:v>482.68</c:v>
                </c:pt>
                <c:pt idx="1">
                  <c:v>1589.78</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本年财政拨款收支与上年情况对比图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Sheet1!$A$2:$A$3</c:f>
              <c:strCache>
                <c:ptCount val="2"/>
                <c:pt idx="0">
                  <c:v>财政拨款收入</c:v>
                </c:pt>
                <c:pt idx="1">
                  <c:v>财政拨款支出</c:v>
                </c:pt>
              </c:strCache>
            </c:strRef>
          </c:cat>
          <c:val>
            <c:numRef>
              <c:f>Sheet1!$B$2:$B$3</c:f>
              <c:numCache>
                <c:formatCode>General</c:formatCode>
                <c:ptCount val="2"/>
                <c:pt idx="0">
                  <c:v>2072.46</c:v>
                </c:pt>
                <c:pt idx="1">
                  <c:v>2072.46</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Sheet1!$A$2:$A$3</c:f>
              <c:strCache>
                <c:ptCount val="2"/>
                <c:pt idx="0">
                  <c:v>财政拨款收入</c:v>
                </c:pt>
                <c:pt idx="1">
                  <c:v>财政拨款支出</c:v>
                </c:pt>
              </c:strCache>
            </c:strRef>
          </c:cat>
          <c:val>
            <c:numRef>
              <c:f>Sheet1!$C$2:$C$3</c:f>
              <c:numCache>
                <c:formatCode>General</c:formatCode>
                <c:ptCount val="2"/>
                <c:pt idx="0">
                  <c:v>2650.13</c:v>
                </c:pt>
                <c:pt idx="1">
                  <c:v>2650.15</c:v>
                </c:pt>
              </c:numCache>
            </c:numRef>
          </c:val>
        </c:ser>
        <c:dLbls>
          <c:showLegendKey val="0"/>
          <c:showVal val="0"/>
          <c:showCatName val="0"/>
          <c:showSerName val="0"/>
          <c:showPercent val="0"/>
          <c:showBubbleSize val="0"/>
        </c:dLbls>
        <c:gapWidth val="219"/>
        <c:overlap val="-27"/>
        <c:axId val="646460787"/>
        <c:axId val="467156706"/>
      </c:barChart>
      <c:catAx>
        <c:axId val="6464607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156706"/>
        <c:crosses val="autoZero"/>
        <c:auto val="1"/>
        <c:lblAlgn val="ctr"/>
        <c:lblOffset val="100"/>
        <c:noMultiLvlLbl val="0"/>
      </c:catAx>
      <c:valAx>
        <c:axId val="4671567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4607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一般公共预算财政拨款支出决算与上年对比图</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c:f>
              <c:strCache>
                <c:ptCount val="1"/>
                <c:pt idx="0">
                  <c:v>财政拨款支出</c:v>
                </c:pt>
              </c:strCache>
            </c:strRef>
          </c:cat>
          <c:val>
            <c:numRef>
              <c:f>Sheet1!$B$2</c:f>
              <c:numCache>
                <c:formatCode>General</c:formatCode>
                <c:ptCount val="1"/>
                <c:pt idx="0">
                  <c:v>1959.54</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c:f>
              <c:strCache>
                <c:ptCount val="1"/>
                <c:pt idx="0">
                  <c:v>财政拨款支出</c:v>
                </c:pt>
              </c:strCache>
            </c:strRef>
          </c:cat>
          <c:val>
            <c:numRef>
              <c:f>Sheet1!$C$2</c:f>
              <c:numCache>
                <c:formatCode>General</c:formatCode>
                <c:ptCount val="1"/>
                <c:pt idx="0">
                  <c:v>2363.82</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c:f>
              <c:strCache>
                <c:ptCount val="1"/>
                <c:pt idx="0">
                  <c:v>财政拨款支出</c:v>
                </c:pt>
              </c:strCache>
            </c:strRef>
          </c:cat>
          <c:val>
            <c:numRef>
              <c:f>Sheet1!$D$2</c:f>
              <c:numCache>
                <c:formatCode>General</c:formatCode>
                <c:ptCount val="1"/>
              </c:numCache>
            </c:numRef>
          </c:val>
        </c:ser>
        <c:dLbls>
          <c:showLegendKey val="0"/>
          <c:showVal val="0"/>
          <c:showCatName val="0"/>
          <c:showSerName val="0"/>
          <c:showPercent val="0"/>
          <c:showBubbleSize val="0"/>
        </c:dLbls>
        <c:gapWidth val="219"/>
        <c:overlap val="-27"/>
        <c:axId val="340545925"/>
        <c:axId val="952925650"/>
      </c:barChart>
      <c:catAx>
        <c:axId val="3405459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925650"/>
        <c:crosses val="autoZero"/>
        <c:auto val="1"/>
        <c:lblAlgn val="ctr"/>
        <c:lblOffset val="100"/>
        <c:noMultiLvlLbl val="0"/>
      </c:catAx>
      <c:valAx>
        <c:axId val="9529256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5459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经费支出情况</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因公出国（境）费</c:v>
                </c:pt>
                <c:pt idx="1">
                  <c:v>公务用车运行维护费</c:v>
                </c:pt>
                <c:pt idx="2">
                  <c:v>公务接待费</c:v>
                </c:pt>
                <c:pt idx="3">
                  <c:v>公务用车购置费</c:v>
                </c:pt>
              </c:strCache>
            </c:strRef>
          </c:cat>
          <c:val>
            <c:numRef>
              <c:f>Sheet1!$B$2:$B$5</c:f>
              <c:numCache>
                <c:formatCode>General</c:formatCode>
                <c:ptCount val="4"/>
                <c:pt idx="0">
                  <c:v>0</c:v>
                </c:pt>
                <c:pt idx="1">
                  <c:v>6.92</c:v>
                </c:pt>
                <c:pt idx="2">
                  <c:v>0.46</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10288</Words>
  <Characters>13050</Characters>
  <Lines>0</Lines>
  <Paragraphs>0</Paragraphs>
  <TotalTime>1</TotalTime>
  <ScaleCrop>false</ScaleCrop>
  <LinksUpToDate>false</LinksUpToDate>
  <CharactersWithSpaces>14053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宝宝爱朵拉</cp:lastModifiedBy>
  <cp:lastPrinted>2021-10-18T05:31:00Z</cp:lastPrinted>
  <dcterms:modified xsi:type="dcterms:W3CDTF">2022-09-30T08:12:05Z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C59B3CA2EF5540999361023A2665CAB7</vt:lpwstr>
  </property>
</Properties>
</file>