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2022年10月新增财政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2022年上级下达我区直达资金29,771.62万元，截止10月31日，累计到达资金26,194万元；分配下达至相关部门29,300.24万元，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10月30日累计支出20,777.50万元，支出进度70.7%。其中增值税留抵退税资金转移支付支出1,788万元、其他减税降费资金转移支付支出2,286万元、就业补助资金支出685.74万元、基本公共卫生服务补助资金支出1,638.09万元、困难群众救助补助经费支出1,921.29万元、农业生产发展资金支出1,400万元、机关事业单位养老保险制度改革经费支出1,393万元、学生补助资助经费635.02万元、城乡义务教育补助经费支出1,629.33万元、计划生育转移支付资金支出74.42万元、城乡居民基本养老保险补助经费支出4,894万元、中央财政城镇保障性安居工程补助资金支出643.39万元、优抚对象医疗保障经费37万元、优抚对象补助经费1,058.01万元、县级基本财力保障机制奖励417万元、普惠金融发展专项资金277.21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2022年现代职业教育质量提升计划资金230万元，因项目未实施完成，暂未支出。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2022年10月31日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18F0C5C"/>
    <w:rsid w:val="062C495A"/>
    <w:rsid w:val="066D3EA3"/>
    <w:rsid w:val="0787062B"/>
    <w:rsid w:val="078A5E1C"/>
    <w:rsid w:val="0BA7488C"/>
    <w:rsid w:val="0DCE002C"/>
    <w:rsid w:val="10074F73"/>
    <w:rsid w:val="115830D0"/>
    <w:rsid w:val="138312DA"/>
    <w:rsid w:val="13AB5E58"/>
    <w:rsid w:val="14743EBC"/>
    <w:rsid w:val="168857FE"/>
    <w:rsid w:val="1A5A6370"/>
    <w:rsid w:val="1C6A2C9E"/>
    <w:rsid w:val="1DCA7414"/>
    <w:rsid w:val="203D490E"/>
    <w:rsid w:val="20F33875"/>
    <w:rsid w:val="210B280C"/>
    <w:rsid w:val="21DF4AA3"/>
    <w:rsid w:val="22EA28D4"/>
    <w:rsid w:val="2A70194B"/>
    <w:rsid w:val="2AA3509E"/>
    <w:rsid w:val="2B7E432F"/>
    <w:rsid w:val="2E594321"/>
    <w:rsid w:val="2EE05130"/>
    <w:rsid w:val="301137CF"/>
    <w:rsid w:val="38FE5910"/>
    <w:rsid w:val="39DF4470"/>
    <w:rsid w:val="404B2904"/>
    <w:rsid w:val="40A561A8"/>
    <w:rsid w:val="410321C6"/>
    <w:rsid w:val="419245B6"/>
    <w:rsid w:val="42066759"/>
    <w:rsid w:val="44AD258E"/>
    <w:rsid w:val="456C1581"/>
    <w:rsid w:val="45F94927"/>
    <w:rsid w:val="4652111B"/>
    <w:rsid w:val="4B517E89"/>
    <w:rsid w:val="4EC75A94"/>
    <w:rsid w:val="515C1347"/>
    <w:rsid w:val="525E7E7F"/>
    <w:rsid w:val="547C7F8C"/>
    <w:rsid w:val="59005A45"/>
    <w:rsid w:val="591E337E"/>
    <w:rsid w:val="5BFC3BA8"/>
    <w:rsid w:val="5F2E6331"/>
    <w:rsid w:val="60CA2104"/>
    <w:rsid w:val="62C06D3B"/>
    <w:rsid w:val="6817174E"/>
    <w:rsid w:val="69647C9F"/>
    <w:rsid w:val="6A204748"/>
    <w:rsid w:val="7426134C"/>
    <w:rsid w:val="75EF0B39"/>
    <w:rsid w:val="76F97A15"/>
    <w:rsid w:val="771924CA"/>
    <w:rsid w:val="77C16944"/>
    <w:rsid w:val="78D270CC"/>
    <w:rsid w:val="7B020EC4"/>
    <w:rsid w:val="7BD61810"/>
    <w:rsid w:val="7C0C1172"/>
    <w:rsid w:val="7D44050D"/>
    <w:rsid w:val="7F0328A9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2023-08-23T01:29:27Z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17EA95BBAC0648FB8EA893C78D29E988_12</vt:lpwstr>
  </property>
</Properties>
</file>