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i w:val="0"/>
          <w:iCs w:val="0"/>
          <w:caps w:val="0"/>
          <w:color w:val="000000"/>
          <w:spacing w:val="0"/>
          <w:sz w:val="40"/>
          <w:szCs w:val="40"/>
          <w:u w:val="none"/>
          <w:shd w:val="clear" w:fill="FFFFFF"/>
        </w:rPr>
      </w:pPr>
      <w:r>
        <w:rPr>
          <w:rFonts w:hint="eastAsia" w:ascii="宋体" w:hAnsi="宋体" w:eastAsia="宋体" w:cs="宋体"/>
          <w:b/>
          <w:bCs/>
          <w:i w:val="0"/>
          <w:iCs w:val="0"/>
          <w:caps w:val="0"/>
          <w:color w:val="000000"/>
          <w:spacing w:val="0"/>
          <w:sz w:val="40"/>
          <w:szCs w:val="40"/>
          <w:u w:val="none"/>
          <w:shd w:val="clear" w:fill="FFFFFF"/>
          <w:lang w:eastAsia="zh-CN"/>
        </w:rPr>
        <w:t>西安市阎良区水务局</w:t>
      </w:r>
      <w:r>
        <w:rPr>
          <w:rFonts w:hint="eastAsia" w:ascii="宋体" w:hAnsi="宋体" w:eastAsia="宋体" w:cs="宋体"/>
          <w:b/>
          <w:bCs/>
          <w:i w:val="0"/>
          <w:iCs w:val="0"/>
          <w:caps w:val="0"/>
          <w:color w:val="000000"/>
          <w:spacing w:val="0"/>
          <w:sz w:val="40"/>
          <w:szCs w:val="40"/>
          <w:u w:val="none"/>
          <w:shd w:val="clear" w:fill="FFFFFF"/>
        </w:rPr>
        <w:t>涉企行政执法事项清单</w:t>
      </w:r>
    </w:p>
    <w:p>
      <w:pPr>
        <w:keepNext w:val="0"/>
        <w:keepLines w:val="0"/>
        <w:pageBreakBefore w:val="0"/>
        <w:widowControl w:val="0"/>
        <w:kinsoku/>
        <w:wordWrap/>
        <w:overflowPunct/>
        <w:topLinePunct w:val="0"/>
        <w:autoSpaceDE/>
        <w:autoSpaceDN/>
        <w:bidi w:val="0"/>
        <w:adjustRightInd/>
        <w:snapToGrid/>
        <w:spacing w:after="157" w:afterLines="50"/>
        <w:ind w:firstLine="240" w:firstLineChars="100"/>
        <w:jc w:val="both"/>
        <w:textAlignment w:val="auto"/>
        <w:rPr>
          <w:rFonts w:hint="eastAsia" w:ascii="黑体" w:hAnsi="黑体" w:eastAsia="黑体" w:cs="黑体"/>
          <w:b w:val="0"/>
          <w:bCs w:val="0"/>
          <w:i w:val="0"/>
          <w:iCs w:val="0"/>
          <w:caps w:val="0"/>
          <w:color w:val="000000"/>
          <w:spacing w:val="0"/>
          <w:sz w:val="24"/>
          <w:szCs w:val="24"/>
          <w:u w:val="none"/>
          <w:shd w:val="clear" w:fill="FFFFFF"/>
          <w:lang w:val="en-US" w:eastAsia="zh-CN"/>
        </w:rPr>
      </w:pPr>
      <w:r>
        <w:rPr>
          <w:rFonts w:hint="eastAsia" w:ascii="黑体" w:hAnsi="黑体" w:eastAsia="黑体" w:cs="黑体"/>
          <w:b w:val="0"/>
          <w:bCs w:val="0"/>
          <w:i w:val="0"/>
          <w:iCs w:val="0"/>
          <w:caps w:val="0"/>
          <w:color w:val="000000"/>
          <w:spacing w:val="0"/>
          <w:sz w:val="24"/>
          <w:szCs w:val="24"/>
          <w:u w:val="none"/>
          <w:shd w:val="clear" w:fill="FFFFFF"/>
          <w:lang w:val="en-US" w:eastAsia="zh-CN"/>
        </w:rPr>
        <w:t xml:space="preserve">填报单位：西安市阎良区水务局                                                         </w:t>
      </w:r>
      <w:bookmarkStart w:id="0" w:name="_GoBack"/>
      <w:bookmarkEnd w:id="0"/>
      <w:r>
        <w:rPr>
          <w:rFonts w:hint="eastAsia" w:ascii="黑体" w:hAnsi="黑体" w:eastAsia="黑体" w:cs="黑体"/>
          <w:b w:val="0"/>
          <w:bCs w:val="0"/>
          <w:i w:val="0"/>
          <w:iCs w:val="0"/>
          <w:caps w:val="0"/>
          <w:color w:val="000000"/>
          <w:spacing w:val="0"/>
          <w:sz w:val="24"/>
          <w:szCs w:val="24"/>
          <w:u w:val="none"/>
          <w:shd w:val="clear" w:fill="FFFFFF"/>
          <w:lang w:val="en-US" w:eastAsia="zh-CN"/>
        </w:rPr>
        <w:t xml:space="preserve">   填报时间：2023年8月21日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220"/>
        <w:gridCol w:w="1800"/>
        <w:gridCol w:w="2145"/>
        <w:gridCol w:w="4485"/>
        <w:gridCol w:w="1440"/>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vertAlign w:val="baseline"/>
              </w:rPr>
            </w:pPr>
            <w:r>
              <w:rPr>
                <w:rFonts w:hint="eastAsia" w:ascii="宋体" w:hAnsi="宋体" w:eastAsia="宋体" w:cs="宋体"/>
                <w:b/>
                <w:bCs/>
                <w:i w:val="0"/>
                <w:iCs w:val="0"/>
                <w:caps w:val="0"/>
                <w:color w:val="000000"/>
                <w:spacing w:val="0"/>
                <w:kern w:val="0"/>
                <w:sz w:val="24"/>
                <w:szCs w:val="24"/>
                <w:u w:val="none"/>
                <w:lang w:val="en-US" w:eastAsia="zh-CN" w:bidi="ar"/>
              </w:rPr>
              <w:t>序号</w:t>
            </w:r>
          </w:p>
        </w:tc>
        <w:tc>
          <w:tcPr>
            <w:tcW w:w="222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sz w:val="32"/>
                <w:szCs w:val="32"/>
                <w:vertAlign w:val="baseline"/>
                <w:lang w:val="en-US"/>
              </w:rPr>
            </w:pPr>
            <w:r>
              <w:rPr>
                <w:rFonts w:hint="eastAsia" w:ascii="宋体" w:hAnsi="宋体" w:eastAsia="宋体" w:cs="宋体"/>
                <w:b/>
                <w:bCs/>
                <w:i w:val="0"/>
                <w:iCs w:val="0"/>
                <w:caps w:val="0"/>
                <w:color w:val="000000"/>
                <w:spacing w:val="0"/>
                <w:kern w:val="0"/>
                <w:sz w:val="24"/>
                <w:szCs w:val="24"/>
                <w:u w:val="none"/>
                <w:lang w:val="en-US" w:eastAsia="zh-CN" w:bidi="ar"/>
              </w:rPr>
              <w:t>执法事项</w:t>
            </w:r>
          </w:p>
        </w:tc>
        <w:tc>
          <w:tcPr>
            <w:tcW w:w="180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vertAlign w:val="baseline"/>
              </w:rPr>
            </w:pPr>
            <w:r>
              <w:rPr>
                <w:rFonts w:hint="eastAsia" w:ascii="宋体" w:hAnsi="宋体" w:eastAsia="宋体" w:cs="宋体"/>
                <w:b/>
                <w:bCs/>
                <w:i w:val="0"/>
                <w:iCs w:val="0"/>
                <w:caps w:val="0"/>
                <w:color w:val="000000"/>
                <w:spacing w:val="0"/>
                <w:kern w:val="0"/>
                <w:sz w:val="24"/>
                <w:szCs w:val="24"/>
                <w:u w:val="none"/>
                <w:lang w:val="en-US" w:eastAsia="zh-CN" w:bidi="ar"/>
              </w:rPr>
              <w:t>执法类别</w:t>
            </w:r>
          </w:p>
        </w:tc>
        <w:tc>
          <w:tcPr>
            <w:tcW w:w="214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vertAlign w:val="baseline"/>
              </w:rPr>
            </w:pPr>
            <w:r>
              <w:rPr>
                <w:rFonts w:hint="eastAsia" w:ascii="宋体" w:hAnsi="宋体" w:eastAsia="宋体" w:cs="宋体"/>
                <w:b/>
                <w:bCs/>
                <w:i w:val="0"/>
                <w:iCs w:val="0"/>
                <w:caps w:val="0"/>
                <w:color w:val="000000"/>
                <w:spacing w:val="0"/>
                <w:kern w:val="0"/>
                <w:sz w:val="24"/>
                <w:szCs w:val="24"/>
                <w:u w:val="none"/>
                <w:lang w:val="en-US" w:eastAsia="zh-CN" w:bidi="ar"/>
              </w:rPr>
              <w:t>执法主体</w:t>
            </w:r>
          </w:p>
        </w:tc>
        <w:tc>
          <w:tcPr>
            <w:tcW w:w="448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vertAlign w:val="baseline"/>
              </w:rPr>
            </w:pPr>
            <w:r>
              <w:rPr>
                <w:rFonts w:hint="eastAsia" w:ascii="宋体" w:hAnsi="宋体" w:eastAsia="宋体" w:cs="宋体"/>
                <w:b/>
                <w:bCs/>
                <w:i w:val="0"/>
                <w:iCs w:val="0"/>
                <w:caps w:val="0"/>
                <w:color w:val="000000"/>
                <w:spacing w:val="0"/>
                <w:kern w:val="0"/>
                <w:sz w:val="24"/>
                <w:szCs w:val="24"/>
                <w:u w:val="none"/>
                <w:lang w:val="en-US" w:eastAsia="zh-CN" w:bidi="ar"/>
              </w:rPr>
              <w:t>执法依据</w:t>
            </w:r>
          </w:p>
        </w:tc>
        <w:tc>
          <w:tcPr>
            <w:tcW w:w="144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aps w:val="0"/>
                <w:color w:val="000000"/>
                <w:spacing w:val="0"/>
                <w:kern w:val="0"/>
                <w:sz w:val="24"/>
                <w:szCs w:val="24"/>
                <w:u w:val="none"/>
                <w:lang w:val="en-US" w:eastAsia="zh-CN" w:bidi="ar"/>
              </w:rPr>
            </w:pPr>
            <w:r>
              <w:rPr>
                <w:rFonts w:hint="eastAsia" w:ascii="宋体" w:hAnsi="宋体" w:eastAsia="宋体" w:cs="宋体"/>
                <w:b/>
                <w:bCs/>
                <w:i w:val="0"/>
                <w:iCs w:val="0"/>
                <w:caps w:val="0"/>
                <w:color w:val="000000"/>
                <w:spacing w:val="0"/>
                <w:kern w:val="0"/>
                <w:sz w:val="24"/>
                <w:szCs w:val="24"/>
                <w:u w:val="none"/>
                <w:lang w:val="en-US" w:eastAsia="zh-CN" w:bidi="ar"/>
              </w:rPr>
              <w:t>执法频次</w:t>
            </w:r>
          </w:p>
        </w:tc>
        <w:tc>
          <w:tcPr>
            <w:tcW w:w="115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aps w:val="0"/>
                <w:color w:val="000000"/>
                <w:spacing w:val="0"/>
                <w:kern w:val="0"/>
                <w:sz w:val="24"/>
                <w:szCs w:val="24"/>
                <w:u w:val="none"/>
                <w:lang w:val="en-US" w:eastAsia="zh-CN" w:bidi="ar"/>
              </w:rPr>
            </w:pPr>
            <w:r>
              <w:rPr>
                <w:rFonts w:hint="eastAsia" w:ascii="宋体" w:hAnsi="宋体" w:eastAsia="宋体" w:cs="宋体"/>
                <w:b/>
                <w:bCs/>
                <w:i w:val="0"/>
                <w:iCs w:val="0"/>
                <w:caps w:val="0"/>
                <w:color w:val="000000"/>
                <w:spacing w:val="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3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color w:val="000000"/>
                <w:sz w:val="21"/>
                <w:szCs w:val="21"/>
                <w:lang w:val="en-US" w:eastAsia="zh-CN" w:bidi="ar"/>
              </w:rPr>
              <w:t>1</w:t>
            </w:r>
          </w:p>
        </w:tc>
        <w:tc>
          <w:tcPr>
            <w:tcW w:w="2220"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对行政许可事项进行监督检查</w:t>
            </w:r>
          </w:p>
        </w:tc>
        <w:tc>
          <w:tcPr>
            <w:tcW w:w="1800" w:type="dxa"/>
            <w:vAlign w:val="center"/>
          </w:tcPr>
          <w:p>
            <w:pPr>
              <w:pStyle w:val="3"/>
              <w:keepNext w:val="0"/>
              <w:keepLines w:val="0"/>
              <w:pageBreakBefore w:val="0"/>
              <w:shd w:val="clear" w:color="auto" w:fill="FFFFFF"/>
              <w:kinsoku/>
              <w:wordWrap/>
              <w:overflowPunct/>
              <w:topLinePunct w:val="0"/>
              <w:bidi w:val="0"/>
              <w:spacing w:before="0" w:beforeAutospacing="0" w:after="0" w:afterAutospacing="0" w:line="320" w:lineRule="exact"/>
              <w:jc w:val="center"/>
              <w:rPr>
                <w:rFonts w:hint="default"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行政监督检查</w:t>
            </w:r>
          </w:p>
        </w:tc>
        <w:tc>
          <w:tcPr>
            <w:tcW w:w="2145" w:type="dxa"/>
            <w:vAlign w:val="center"/>
          </w:tcPr>
          <w:p>
            <w:pPr>
              <w:pStyle w:val="3"/>
              <w:keepNext w:val="0"/>
              <w:keepLines w:val="0"/>
              <w:pageBreakBefore w:val="0"/>
              <w:shd w:val="clear" w:color="auto" w:fill="FFFFFF"/>
              <w:kinsoku/>
              <w:wordWrap/>
              <w:overflowPunct/>
              <w:topLinePunct w:val="0"/>
              <w:bidi w:val="0"/>
              <w:spacing w:before="0" w:beforeAutospacing="0" w:after="0" w:afterAutospacing="0" w:line="320" w:lineRule="exact"/>
              <w:jc w:val="center"/>
              <w:rPr>
                <w:rFonts w:hint="default"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西安市阎良区水务局</w:t>
            </w:r>
          </w:p>
        </w:tc>
        <w:tc>
          <w:tcPr>
            <w:tcW w:w="4485" w:type="dxa"/>
            <w:vAlign w:val="center"/>
          </w:tcPr>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《取水许可和水资源费征收管理条例》第四十五条，即：县级以上人民政府水行政主管部门或者流域管理机构在进行监督检查时，有权采取下列措施：</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（一）要求被检查单位或者个人提供有关文件、证照、资料；</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（二）要求被检查单位或者个人就执行本条例的有关问题作出说明；</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（三）进入被检查单位或者个人的生产场所进行调查；</w:t>
            </w:r>
          </w:p>
          <w:p>
            <w:pPr>
              <w:jc w:val="both"/>
              <w:rPr>
                <w:rFonts w:hint="eastAsia" w:ascii="仿宋_GB2312" w:hAnsi="仿宋_GB2312" w:eastAsia="仿宋_GB2312" w:cs="仿宋_GB2312"/>
                <w:sz w:val="32"/>
                <w:szCs w:val="32"/>
                <w:vertAlign w:val="baseline"/>
                <w:lang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（四）责令被检查单位或者个人停止违反本条例的行为，履行法定义务。</w:t>
            </w:r>
          </w:p>
        </w:tc>
        <w:tc>
          <w:tcPr>
            <w:tcW w:w="1440" w:type="dxa"/>
            <w:vAlign w:val="center"/>
          </w:tcPr>
          <w:p>
            <w:pPr>
              <w:jc w:val="center"/>
              <w:rPr>
                <w:rFonts w:hint="default"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1次</w:t>
            </w:r>
          </w:p>
        </w:tc>
        <w:tc>
          <w:tcPr>
            <w:tcW w:w="1154" w:type="dxa"/>
            <w:vAlign w:val="center"/>
          </w:tcPr>
          <w:p>
            <w:pPr>
              <w:jc w:val="center"/>
              <w:rPr>
                <w:rFonts w:hint="eastAsia" w:ascii="仿宋" w:hAnsi="仿宋" w:eastAsia="仿宋" w:cs="仿宋"/>
                <w:i w:val="0"/>
                <w:iCs w:val="0"/>
                <w:caps w:val="0"/>
                <w:color w:val="000000"/>
                <w:spacing w:val="0"/>
                <w:kern w:val="2"/>
                <w:sz w:val="24"/>
                <w:szCs w:val="24"/>
                <w:shd w:val="clear"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3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color w:val="000000"/>
                <w:sz w:val="21"/>
                <w:szCs w:val="21"/>
                <w:lang w:val="en-US" w:eastAsia="zh-CN" w:bidi="ar"/>
              </w:rPr>
              <w:t>2</w:t>
            </w:r>
          </w:p>
        </w:tc>
        <w:tc>
          <w:tcPr>
            <w:tcW w:w="2220" w:type="dxa"/>
            <w:vAlign w:val="center"/>
          </w:tcPr>
          <w:p>
            <w:pPr>
              <w:jc w:val="center"/>
              <w:rPr>
                <w:rFonts w:hint="eastAsia" w:ascii="仿宋_GB2312" w:hAnsi="仿宋_GB2312" w:eastAsia="仿宋_GB2312" w:cs="仿宋_GB2312"/>
                <w:sz w:val="32"/>
                <w:szCs w:val="32"/>
                <w:vertAlign w:val="baseline"/>
              </w:rPr>
            </w:pPr>
            <w:r>
              <w:rPr>
                <w:rFonts w:hint="eastAsia" w:ascii="仿宋" w:hAnsi="仿宋" w:eastAsia="仿宋" w:cs="仿宋"/>
                <w:i w:val="0"/>
                <w:iCs w:val="0"/>
                <w:caps w:val="0"/>
                <w:color w:val="000000"/>
                <w:spacing w:val="0"/>
                <w:kern w:val="2"/>
                <w:sz w:val="24"/>
                <w:szCs w:val="24"/>
                <w:shd w:val="clear" w:fill="FFFFFF"/>
                <w:lang w:val="en-US" w:eastAsia="zh-CN" w:bidi="ar-SA"/>
              </w:rPr>
              <w:t>对城区供水工程的监督检查</w:t>
            </w:r>
          </w:p>
        </w:tc>
        <w:tc>
          <w:tcPr>
            <w:tcW w:w="1800" w:type="dxa"/>
            <w:vAlign w:val="center"/>
          </w:tcPr>
          <w:p>
            <w:pPr>
              <w:pStyle w:val="3"/>
              <w:keepNext w:val="0"/>
              <w:keepLines w:val="0"/>
              <w:pageBreakBefore w:val="0"/>
              <w:shd w:val="clear" w:color="auto" w:fill="FFFFFF"/>
              <w:kinsoku/>
              <w:wordWrap/>
              <w:overflowPunct/>
              <w:topLinePunct w:val="0"/>
              <w:bidi w:val="0"/>
              <w:spacing w:before="0" w:beforeAutospacing="0" w:after="0" w:afterAutospacing="0" w:line="320" w:lineRule="exact"/>
              <w:jc w:val="center"/>
              <w:rPr>
                <w:rFonts w:hint="default"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行政监督检查</w:t>
            </w:r>
          </w:p>
        </w:tc>
        <w:tc>
          <w:tcPr>
            <w:tcW w:w="2145" w:type="dxa"/>
            <w:vAlign w:val="center"/>
          </w:tcPr>
          <w:p>
            <w:pPr>
              <w:pStyle w:val="3"/>
              <w:keepNext w:val="0"/>
              <w:keepLines w:val="0"/>
              <w:pageBreakBefore w:val="0"/>
              <w:shd w:val="clear" w:color="auto" w:fill="FFFFFF"/>
              <w:kinsoku/>
              <w:wordWrap/>
              <w:overflowPunct/>
              <w:topLinePunct w:val="0"/>
              <w:bidi w:val="0"/>
              <w:spacing w:before="0" w:beforeAutospacing="0" w:after="0" w:afterAutospacing="0" w:line="320" w:lineRule="exact"/>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西安市阎良区水务局</w:t>
            </w:r>
          </w:p>
        </w:tc>
        <w:tc>
          <w:tcPr>
            <w:tcW w:w="4485" w:type="dxa"/>
            <w:vAlign w:val="center"/>
          </w:tcPr>
          <w:p>
            <w:pPr>
              <w:jc w:val="both"/>
              <w:rPr>
                <w:rFonts w:hint="eastAsia" w:ascii="仿宋_GB2312" w:hAnsi="仿宋_GB2312" w:eastAsia="仿宋_GB2312" w:cs="仿宋_GB2312"/>
                <w:sz w:val="32"/>
                <w:szCs w:val="32"/>
                <w:vertAlign w:val="baseline"/>
                <w:lang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城市供水水质管理规定》第四条，即：国务院建设主管部门负责全国城市供水水质监督管理工作。省、自治区人民政府建设主管部门负责本行政区域内的城市供水水质监督管理工作。直辖市、市、县人民政府确定的城市供水主管部门负责本行政区域内的城市供水水质监督管理工作。涉及生活饮用水的卫生监督管理，由县级以上人民政府建设、卫生主管部门按照《生活饮用水卫生监督管理办法》（建设部、卫生部令第53号）的规定分工负责。</w:t>
            </w:r>
          </w:p>
        </w:tc>
        <w:tc>
          <w:tcPr>
            <w:tcW w:w="1440" w:type="dxa"/>
            <w:vAlign w:val="center"/>
          </w:tcPr>
          <w:p>
            <w:pPr>
              <w:jc w:val="center"/>
              <w:rPr>
                <w:rFonts w:hint="eastAsia" w:ascii="仿宋_GB2312" w:hAnsi="仿宋_GB2312" w:eastAsia="仿宋_GB2312" w:cs="仿宋_GB2312"/>
                <w:sz w:val="32"/>
                <w:szCs w:val="32"/>
                <w:vertAlign w:val="baseline"/>
              </w:rPr>
            </w:pPr>
            <w:r>
              <w:rPr>
                <w:rFonts w:hint="eastAsia" w:ascii="仿宋" w:hAnsi="仿宋" w:eastAsia="仿宋" w:cs="仿宋"/>
                <w:i w:val="0"/>
                <w:iCs w:val="0"/>
                <w:caps w:val="0"/>
                <w:color w:val="000000"/>
                <w:spacing w:val="0"/>
                <w:kern w:val="2"/>
                <w:sz w:val="24"/>
                <w:szCs w:val="24"/>
                <w:shd w:val="clear" w:fill="FFFFFF"/>
                <w:lang w:val="en-US" w:eastAsia="zh-CN" w:bidi="ar-SA"/>
              </w:rPr>
              <w:t>1次</w:t>
            </w:r>
          </w:p>
        </w:tc>
        <w:tc>
          <w:tcPr>
            <w:tcW w:w="1154" w:type="dxa"/>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2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对取用水行为的监督检查</w:t>
            </w:r>
          </w:p>
        </w:tc>
        <w:tc>
          <w:tcPr>
            <w:tcW w:w="1800" w:type="dxa"/>
            <w:vAlign w:val="center"/>
          </w:tcPr>
          <w:p>
            <w:pPr>
              <w:jc w:val="center"/>
              <w:rPr>
                <w:rFonts w:hint="eastAsia" w:ascii="仿宋_GB2312" w:hAnsi="仿宋_GB2312" w:eastAsia="仿宋_GB2312" w:cs="仿宋_GB2312"/>
                <w:sz w:val="32"/>
                <w:szCs w:val="32"/>
                <w:vertAlign w:val="baseline"/>
              </w:rPr>
            </w:pPr>
            <w:r>
              <w:rPr>
                <w:rFonts w:hint="eastAsia" w:ascii="仿宋" w:hAnsi="仿宋" w:eastAsia="仿宋" w:cs="仿宋"/>
                <w:i w:val="0"/>
                <w:iCs w:val="0"/>
                <w:caps w:val="0"/>
                <w:color w:val="000000"/>
                <w:spacing w:val="0"/>
                <w:kern w:val="2"/>
                <w:sz w:val="24"/>
                <w:szCs w:val="24"/>
                <w:shd w:val="clear" w:fill="FFFFFF"/>
                <w:lang w:val="en-US" w:eastAsia="zh-CN" w:bidi="ar-SA"/>
              </w:rPr>
              <w:t>行政监督检查</w:t>
            </w:r>
          </w:p>
        </w:tc>
        <w:tc>
          <w:tcPr>
            <w:tcW w:w="2145" w:type="dxa"/>
            <w:vAlign w:val="center"/>
          </w:tcPr>
          <w:p>
            <w:pPr>
              <w:jc w:val="center"/>
              <w:rPr>
                <w:rFonts w:hint="eastAsia" w:ascii="仿宋_GB2312" w:hAnsi="仿宋_GB2312" w:eastAsia="仿宋_GB2312" w:cs="仿宋_GB2312"/>
                <w:sz w:val="32"/>
                <w:szCs w:val="32"/>
                <w:vertAlign w:val="baseline"/>
                <w:lang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西安市阎良区水务局</w:t>
            </w:r>
          </w:p>
        </w:tc>
        <w:tc>
          <w:tcPr>
            <w:tcW w:w="4485" w:type="dxa"/>
            <w:vAlign w:val="center"/>
          </w:tcPr>
          <w:p>
            <w:pPr>
              <w:jc w:val="left"/>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《中华人民共和国水法》第六十条，即：县级以上人民政府水行政主管部门、流域管理机构及其水政监督检查人员履行本法规定的监督检查职责时，有权采取下列措施：</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(一)要求被检查单位提供有关文件、证照、资料；</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(二)要求被检查单位就执行本法的有关问题作出说明；</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(三)进入被检查单位的生产场所进行调查；</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(四)责令被检查单位停止违反本法的行为，履行法定义务。</w:t>
            </w:r>
          </w:p>
        </w:tc>
        <w:tc>
          <w:tcPr>
            <w:tcW w:w="1440" w:type="dxa"/>
            <w:vAlign w:val="center"/>
          </w:tcPr>
          <w:p>
            <w:pPr>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auto"/>
                <w:spacing w:val="0"/>
                <w:kern w:val="2"/>
                <w:sz w:val="24"/>
                <w:szCs w:val="24"/>
                <w:shd w:val="clear" w:fill="FFFFFF"/>
                <w:lang w:val="en-US" w:eastAsia="zh-CN" w:bidi="ar-SA"/>
              </w:rPr>
              <w:t>1次</w:t>
            </w:r>
          </w:p>
        </w:tc>
        <w:tc>
          <w:tcPr>
            <w:tcW w:w="1154" w:type="dxa"/>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2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对水资源税缴纳情况的监督检查</w:t>
            </w:r>
          </w:p>
        </w:tc>
        <w:tc>
          <w:tcPr>
            <w:tcW w:w="1800" w:type="dxa"/>
            <w:vAlign w:val="center"/>
          </w:tcPr>
          <w:p>
            <w:pPr>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行政监督检查</w:t>
            </w:r>
          </w:p>
        </w:tc>
        <w:tc>
          <w:tcPr>
            <w:tcW w:w="2145" w:type="dxa"/>
            <w:vAlign w:val="center"/>
          </w:tcPr>
          <w:p>
            <w:pPr>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西安市阎良区水务局</w:t>
            </w:r>
          </w:p>
        </w:tc>
        <w:tc>
          <w:tcPr>
            <w:tcW w:w="4485" w:type="dxa"/>
            <w:vAlign w:val="center"/>
          </w:tcPr>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《取水许可和水资源费征收管理条例》第四十五条，即：县级以上人民政府水行政主管部门或者流域管理机构在进行监督检查时，有权采取下列措施：</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（一）要求被检查单位或者个人提供有关文件、证照、资料；</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（二）要求被检查单位或者个人就执行本条例的有关问题作出说明；</w:t>
            </w:r>
          </w:p>
          <w:p>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（三）进入被检查单位或者个人的生产场所进行调查；</w:t>
            </w:r>
          </w:p>
          <w:p>
            <w:pPr>
              <w:jc w:val="left"/>
              <w:rPr>
                <w:rFonts w:hint="eastAsia" w:ascii="仿宋_GB2312" w:hAnsi="仿宋_GB2312" w:eastAsia="仿宋_GB2312" w:cs="仿宋_GB2312"/>
                <w:sz w:val="32"/>
                <w:szCs w:val="32"/>
                <w:vertAlign w:val="baseline"/>
              </w:rPr>
            </w:pPr>
            <w:r>
              <w:rPr>
                <w:rFonts w:hint="eastAsia" w:ascii="仿宋" w:hAnsi="仿宋" w:eastAsia="仿宋" w:cs="仿宋"/>
                <w:i w:val="0"/>
                <w:iCs w:val="0"/>
                <w:caps w:val="0"/>
                <w:color w:val="000000"/>
                <w:spacing w:val="0"/>
                <w:kern w:val="2"/>
                <w:sz w:val="24"/>
                <w:szCs w:val="24"/>
                <w:shd w:val="clear" w:fill="FFFFFF"/>
                <w:lang w:val="en-US" w:eastAsia="zh-CN" w:bidi="ar-SA"/>
              </w:rPr>
              <w:t>（四）责令被检查单位或者个人停止违反本条例的行为，履行法定义务。</w:t>
            </w:r>
          </w:p>
        </w:tc>
        <w:tc>
          <w:tcPr>
            <w:tcW w:w="144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1次</w:t>
            </w:r>
          </w:p>
        </w:tc>
        <w:tc>
          <w:tcPr>
            <w:tcW w:w="1154" w:type="dxa"/>
            <w:vAlign w:val="center"/>
          </w:tcPr>
          <w:p>
            <w:pPr>
              <w:jc w:val="center"/>
              <w:rPr>
                <w:rFonts w:hint="eastAsia" w:ascii="仿宋_GB2312" w:hAnsi="仿宋_GB2312" w:eastAsia="仿宋_GB2312" w:cs="仿宋_GB2312"/>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备注：1.执法类别具体包括行政处罚、行政强制、行政许可、行政征收、行政给付、行政确认、行政裁决、行政补偿、行政奖励及行政监督检查。</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2.执法依据需参照表中示例格式填写。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6241"/>
    <w:rsid w:val="07632135"/>
    <w:rsid w:val="0D503B02"/>
    <w:rsid w:val="23625B6A"/>
    <w:rsid w:val="3A5E5D35"/>
    <w:rsid w:val="66B54814"/>
    <w:rsid w:val="7888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2023-08-17T03:50:00Z</dcterms:created>
  <dc:creator>Administrator</dc:creator>
  <cp:lastModifiedBy>刘一文</cp:lastModifiedBy>
  <cp:lastPrinted>2023-08-17T08:01:00Z</cp:lastPrinted>
  <dcterms:modified xsi:type="dcterms:W3CDTF">2023-08-30T01:16:44Z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