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eastAsia="宋体"/>
          <w:sz w:val="28"/>
          <w:szCs w:val="28"/>
        </w:rPr>
      </w:pPr>
      <w:r>
        <w:rPr>
          <w:rFonts w:ascii="Times New Roman" w:eastAsia="宋体"/>
          <w:sz w:val="28"/>
          <w:szCs w:val="28"/>
        </w:rPr>
        <w:t>阎良区十三届人大</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eastAsia="宋体"/>
          <w:sz w:val="28"/>
          <w:szCs w:val="28"/>
        </w:rPr>
      </w:pPr>
      <w:r>
        <w:rPr>
          <w:rFonts w:hint="eastAsia" w:ascii="Times New Roman" w:eastAsia="宋体"/>
          <w:sz w:val="28"/>
          <w:szCs w:val="28"/>
        </w:rPr>
        <w:t>二</w:t>
      </w:r>
      <w:r>
        <w:rPr>
          <w:rFonts w:ascii="Times New Roman" w:eastAsia="宋体"/>
          <w:sz w:val="28"/>
          <w:szCs w:val="28"/>
        </w:rPr>
        <w:t>次会议文件（</w:t>
      </w:r>
      <w:r>
        <w:rPr>
          <w:rFonts w:hint="eastAsia" w:ascii="Times New Roman" w:eastAsia="宋体"/>
          <w:sz w:val="28"/>
          <w:szCs w:val="28"/>
        </w:rPr>
        <w:t>8</w:t>
      </w:r>
      <w:r>
        <w:rPr>
          <w:rFonts w:ascii="Times New Roman" w:eastAsia="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eastAsia="方正小标宋简体"/>
          <w:sz w:val="44"/>
          <w:szCs w:val="44"/>
        </w:rPr>
      </w:pPr>
      <w:r>
        <w:rPr>
          <w:rFonts w:ascii="Times New Roman" w:eastAsia="方正小标宋简体"/>
          <w:sz w:val="44"/>
          <w:szCs w:val="44"/>
        </w:rPr>
        <w:t>阎良区2022年国民经济和社会发展计划</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eastAsia="方正小标宋简体"/>
          <w:sz w:val="44"/>
          <w:szCs w:val="44"/>
        </w:rPr>
      </w:pPr>
      <w:r>
        <w:rPr>
          <w:rFonts w:ascii="Times New Roman" w:eastAsia="方正小标宋简体"/>
          <w:sz w:val="44"/>
          <w:szCs w:val="44"/>
        </w:rPr>
        <w:t>执行情况与2023年国民经济和社会发展计划（草案）报告</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eastAsia="楷体_GB2312"/>
          <w:sz w:val="30"/>
          <w:szCs w:val="30"/>
        </w:rPr>
      </w:pPr>
      <w:r>
        <w:rPr>
          <w:rFonts w:ascii="Times New Roman" w:eastAsia="楷体_GB2312"/>
          <w:spacing w:val="-60"/>
          <w:sz w:val="30"/>
          <w:szCs w:val="30"/>
        </w:rPr>
        <w:t>——</w:t>
      </w:r>
      <w:r>
        <w:rPr>
          <w:rFonts w:ascii="Times New Roman" w:eastAsia="楷体_GB2312"/>
          <w:sz w:val="30"/>
          <w:szCs w:val="30"/>
        </w:rPr>
        <w:t xml:space="preserve"> 2023年</w:t>
      </w:r>
      <w:r>
        <w:rPr>
          <w:rFonts w:hint="eastAsia" w:ascii="Times New Roman" w:eastAsia="楷体_GB2312"/>
          <w:sz w:val="30"/>
          <w:szCs w:val="30"/>
        </w:rPr>
        <w:t>1</w:t>
      </w:r>
      <w:r>
        <w:rPr>
          <w:rFonts w:ascii="Times New Roman" w:eastAsia="楷体_GB2312"/>
          <w:sz w:val="30"/>
          <w:szCs w:val="30"/>
        </w:rPr>
        <w:t>月1</w:t>
      </w:r>
      <w:r>
        <w:rPr>
          <w:rFonts w:hint="eastAsia" w:ascii="Times New Roman" w:eastAsia="楷体_GB2312"/>
          <w:sz w:val="30"/>
          <w:szCs w:val="30"/>
        </w:rPr>
        <w:t>7</w:t>
      </w:r>
      <w:r>
        <w:rPr>
          <w:rFonts w:ascii="Times New Roman" w:eastAsia="楷体_GB2312"/>
          <w:sz w:val="30"/>
          <w:szCs w:val="30"/>
        </w:rPr>
        <w:t>日在西安市阎良区第十三届</w:t>
      </w:r>
    </w:p>
    <w:p>
      <w:pPr>
        <w:keepNext w:val="0"/>
        <w:keepLines w:val="0"/>
        <w:pageBreakBefore w:val="0"/>
        <w:widowControl w:val="0"/>
        <w:kinsoku/>
        <w:wordWrap/>
        <w:overflowPunct/>
        <w:topLinePunct w:val="0"/>
        <w:autoSpaceDN/>
        <w:bidi w:val="0"/>
        <w:adjustRightInd/>
        <w:spacing w:line="578" w:lineRule="exact"/>
        <w:jc w:val="center"/>
        <w:textAlignment w:val="auto"/>
        <w:rPr>
          <w:rFonts w:ascii="Times New Roman" w:eastAsia="楷体_GB2312"/>
          <w:sz w:val="30"/>
          <w:szCs w:val="30"/>
        </w:rPr>
      </w:pPr>
      <w:r>
        <w:rPr>
          <w:rFonts w:ascii="Times New Roman" w:eastAsia="楷体_GB2312"/>
          <w:sz w:val="30"/>
          <w:szCs w:val="30"/>
        </w:rPr>
        <w:t>人民代表大会第</w:t>
      </w:r>
      <w:r>
        <w:rPr>
          <w:rFonts w:hint="eastAsia" w:ascii="Times New Roman" w:eastAsia="楷体_GB2312"/>
          <w:sz w:val="30"/>
          <w:szCs w:val="30"/>
        </w:rPr>
        <w:t>二</w:t>
      </w:r>
      <w:r>
        <w:rPr>
          <w:rFonts w:ascii="Times New Roman" w:eastAsia="楷体_GB2312"/>
          <w:sz w:val="30"/>
          <w:szCs w:val="30"/>
        </w:rPr>
        <w:t>次会议上</w:t>
      </w:r>
    </w:p>
    <w:p>
      <w:pPr>
        <w:keepNext w:val="0"/>
        <w:keepLines w:val="0"/>
        <w:pageBreakBefore w:val="0"/>
        <w:widowControl w:val="0"/>
        <w:kinsoku/>
        <w:wordWrap/>
        <w:overflowPunct/>
        <w:topLinePunct w:val="0"/>
        <w:autoSpaceDN/>
        <w:bidi w:val="0"/>
        <w:adjustRightInd/>
        <w:spacing w:line="578" w:lineRule="exact"/>
        <w:textAlignment w:val="auto"/>
        <w:rPr>
          <w:rFonts w:ascii="Times New Roman" w:eastAsia="楷体_GB2312"/>
          <w:szCs w:val="32"/>
        </w:rPr>
      </w:pPr>
    </w:p>
    <w:p>
      <w:pPr>
        <w:pStyle w:val="6"/>
        <w:keepNext w:val="0"/>
        <w:keepLines w:val="0"/>
        <w:pageBreakBefore w:val="0"/>
        <w:widowControl w:val="0"/>
        <w:kinsoku/>
        <w:wordWrap/>
        <w:overflowPunct/>
        <w:topLinePunct w:val="0"/>
        <w:autoSpaceDN/>
        <w:bidi w:val="0"/>
        <w:adjustRightInd/>
        <w:spacing w:line="578" w:lineRule="exact"/>
        <w:ind w:firstLine="0"/>
        <w:jc w:val="center"/>
        <w:textAlignment w:val="auto"/>
        <w:rPr>
          <w:rFonts w:ascii="Times New Roman" w:hAnsi="Times New Roman" w:eastAsia="楷体_GB2312"/>
        </w:rPr>
      </w:pPr>
      <w:r>
        <w:rPr>
          <w:rFonts w:ascii="Times New Roman" w:hAnsi="Times New Roman" w:eastAsia="楷体_GB2312"/>
          <w:sz w:val="32"/>
          <w:szCs w:val="32"/>
        </w:rPr>
        <w:t>阎良区发展和改革委员会</w:t>
      </w:r>
    </w:p>
    <w:p>
      <w:pPr>
        <w:keepNext w:val="0"/>
        <w:keepLines w:val="0"/>
        <w:pageBreakBefore w:val="0"/>
        <w:widowControl w:val="0"/>
        <w:kinsoku/>
        <w:wordWrap/>
        <w:overflowPunct/>
        <w:topLinePunct w:val="0"/>
        <w:autoSpaceDN/>
        <w:bidi w:val="0"/>
        <w:adjustRightInd/>
        <w:spacing w:line="578" w:lineRule="exact"/>
        <w:textAlignment w:val="auto"/>
        <w:rPr>
          <w:rFonts w:ascii="Times New Roman"/>
          <w:szCs w:val="32"/>
        </w:rPr>
      </w:pPr>
    </w:p>
    <w:p>
      <w:pPr>
        <w:keepNext w:val="0"/>
        <w:keepLines w:val="0"/>
        <w:pageBreakBefore w:val="0"/>
        <w:widowControl w:val="0"/>
        <w:kinsoku/>
        <w:wordWrap/>
        <w:overflowPunct/>
        <w:topLinePunct w:val="0"/>
        <w:autoSpaceDN/>
        <w:bidi w:val="0"/>
        <w:adjustRightInd/>
        <w:spacing w:line="578" w:lineRule="exact"/>
        <w:textAlignment w:val="auto"/>
        <w:rPr>
          <w:rFonts w:ascii="Times New Roman"/>
          <w:szCs w:val="32"/>
        </w:rPr>
      </w:pPr>
      <w:r>
        <w:rPr>
          <w:rFonts w:ascii="Times New Roman"/>
          <w:szCs w:val="32"/>
        </w:rPr>
        <w:t>各位代表：</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szCs w:val="32"/>
        </w:rPr>
        <w:t>受区人民政府委托，现将</w:t>
      </w:r>
      <w:r>
        <w:rPr>
          <w:rFonts w:hint="eastAsia" w:ascii="Times New Roman"/>
          <w:szCs w:val="32"/>
        </w:rPr>
        <w:t>我区</w:t>
      </w:r>
      <w:r>
        <w:rPr>
          <w:rFonts w:ascii="Times New Roman"/>
          <w:szCs w:val="32"/>
        </w:rPr>
        <w:t>2022年国民经济和社会发展计划执行情况与2023年国民经济和社会发展计划草案提请会议审议，并请区政协委员和</w:t>
      </w:r>
      <w:r>
        <w:rPr>
          <w:rFonts w:hint="eastAsia" w:ascii="Times New Roman"/>
          <w:szCs w:val="32"/>
        </w:rPr>
        <w:t>其他</w:t>
      </w:r>
      <w:r>
        <w:rPr>
          <w:rFonts w:ascii="Times New Roman"/>
          <w:szCs w:val="32"/>
        </w:rPr>
        <w:t>列席同志提出意见。</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eastAsia="黑体"/>
          <w:szCs w:val="32"/>
        </w:rPr>
      </w:pPr>
      <w:r>
        <w:rPr>
          <w:rFonts w:ascii="Times New Roman" w:eastAsia="黑体"/>
          <w:szCs w:val="32"/>
        </w:rPr>
        <w:t>一、2022年计划执行情况</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szCs w:val="32"/>
        </w:rPr>
        <w:t>2022年，面对复杂严峻的疫情防控考验和经济下行压力，全区上下认真贯彻党的</w:t>
      </w:r>
      <w:r>
        <w:rPr>
          <w:rFonts w:hint="eastAsia" w:ascii="Times New Roman"/>
          <w:szCs w:val="32"/>
        </w:rPr>
        <w:t>十九大、十九届历次全会和党的</w:t>
      </w:r>
      <w:r>
        <w:rPr>
          <w:rFonts w:ascii="Times New Roman"/>
          <w:szCs w:val="32"/>
        </w:rPr>
        <w:t>二十大</w:t>
      </w:r>
      <w:r>
        <w:rPr>
          <w:rFonts w:hint="eastAsia" w:ascii="Times New Roman"/>
          <w:szCs w:val="32"/>
        </w:rPr>
        <w:t>精神，深入学习</w:t>
      </w:r>
      <w:r>
        <w:rPr>
          <w:rFonts w:ascii="Times New Roman"/>
          <w:szCs w:val="32"/>
        </w:rPr>
        <w:t>习近平总书记来陕考察重要讲话重要指示精神，坚持稳中求进工作总基调，统筹推进疫情防控和经济社会发展，扎实做好“六稳”“六保”工作，聚力“六个阎良”，开展十大攻坚，向建设世界一流航空新城的目标阔步奋进，经济发展稳定向好，民生服务保障有力，较好地完成了经济社会发展的主要指标。</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szCs w:val="32"/>
        </w:rPr>
        <w:t>预计2022年，全区生产总值</w:t>
      </w:r>
      <w:r>
        <w:rPr>
          <w:rFonts w:ascii="Times New Roman"/>
          <w:snapToGrid w:val="0"/>
          <w:kern w:val="0"/>
          <w:szCs w:val="32"/>
        </w:rPr>
        <w:t>完成</w:t>
      </w:r>
      <w:r>
        <w:rPr>
          <w:rFonts w:hint="eastAsia" w:ascii="Times New Roman"/>
          <w:snapToGrid w:val="0"/>
          <w:kern w:val="0"/>
          <w:szCs w:val="32"/>
        </w:rPr>
        <w:t>285</w:t>
      </w:r>
      <w:r>
        <w:rPr>
          <w:rFonts w:ascii="Times New Roman"/>
          <w:snapToGrid w:val="0"/>
          <w:kern w:val="0"/>
          <w:szCs w:val="32"/>
        </w:rPr>
        <w:t>亿元，</w:t>
      </w:r>
      <w:r>
        <w:rPr>
          <w:rFonts w:ascii="Times New Roman"/>
          <w:szCs w:val="32"/>
        </w:rPr>
        <w:t>同比增长5%左右；一般公共预算收入</w:t>
      </w:r>
      <w:r>
        <w:rPr>
          <w:rFonts w:ascii="Times New Roman"/>
          <w:snapToGrid w:val="0"/>
          <w:kern w:val="0"/>
          <w:szCs w:val="32"/>
        </w:rPr>
        <w:t>完成</w:t>
      </w:r>
      <w:r>
        <w:rPr>
          <w:rFonts w:hint="eastAsia" w:ascii="Times New Roman"/>
          <w:snapToGrid w:val="0"/>
          <w:kern w:val="0"/>
          <w:szCs w:val="32"/>
        </w:rPr>
        <w:t>30.08</w:t>
      </w:r>
      <w:r>
        <w:rPr>
          <w:rFonts w:ascii="Times New Roman"/>
          <w:snapToGrid w:val="0"/>
          <w:kern w:val="0"/>
          <w:szCs w:val="32"/>
        </w:rPr>
        <w:t>亿元，</w:t>
      </w:r>
      <w:r>
        <w:rPr>
          <w:rFonts w:ascii="Times New Roman"/>
          <w:szCs w:val="32"/>
        </w:rPr>
        <w:t>同比增长238%左右；固定资产投资同比增长</w:t>
      </w:r>
      <w:r>
        <w:rPr>
          <w:rFonts w:hint="eastAsia" w:ascii="Times New Roman"/>
          <w:szCs w:val="32"/>
        </w:rPr>
        <w:t>48</w:t>
      </w:r>
      <w:r>
        <w:rPr>
          <w:rFonts w:ascii="Times New Roman"/>
          <w:szCs w:val="32"/>
        </w:rPr>
        <w:t>%左右；规模以上工业增加值同比增长5%左右；社会消费品零售总额同比增长26%左右；城乡居民人均可支配收入分别达到47239元、19496元，分别增长3%、4%左右。回顾总结2022年全区国民经济社会发展工作，完成了以下重点任务：</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eastAsia="楷体_GB2312"/>
          <w:szCs w:val="32"/>
        </w:rPr>
      </w:pPr>
      <w:r>
        <w:rPr>
          <w:rFonts w:ascii="Times New Roman" w:eastAsia="楷体_GB2312"/>
          <w:szCs w:val="32"/>
        </w:rPr>
        <w:t>（一）调结构、促转型、提质量，产业发展稳步提升</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eastAsia="楷体_GB2312"/>
          <w:szCs w:val="32"/>
        </w:rPr>
      </w:pPr>
      <w:r>
        <w:rPr>
          <w:rFonts w:ascii="Times New Roman"/>
          <w:b/>
          <w:bCs/>
          <w:szCs w:val="32"/>
        </w:rPr>
        <w:t>农业生产形势稳定。</w:t>
      </w:r>
      <w:r>
        <w:rPr>
          <w:rFonts w:ascii="Times New Roman"/>
          <w:szCs w:val="32"/>
        </w:rPr>
        <w:t>粮食种植面积26.9万亩，总产量12.17万吨，瓜菜产量97万吨。建成高标准农田3万亩，小麦</w:t>
      </w:r>
      <w:r>
        <w:rPr>
          <w:rFonts w:hint="eastAsia" w:ascii="宋体" w:hAnsi="宋体" w:eastAsia="宋体" w:cs="宋体"/>
          <w:szCs w:val="32"/>
        </w:rPr>
        <w:t>—</w:t>
      </w:r>
      <w:r>
        <w:rPr>
          <w:rFonts w:ascii="Times New Roman"/>
          <w:szCs w:val="32"/>
        </w:rPr>
        <w:t>玉米“吨半田”两料单产打破全市记录，两料总产全省第一。</w:t>
      </w:r>
      <w:r>
        <w:rPr>
          <w:rFonts w:ascii="Times New Roman"/>
          <w:kern w:val="0"/>
          <w:szCs w:val="32"/>
        </w:rPr>
        <w:t>成功举办中国羊乳西安论坛，</w:t>
      </w:r>
      <w:r>
        <w:rPr>
          <w:rFonts w:ascii="Times New Roman"/>
          <w:szCs w:val="32"/>
        </w:rPr>
        <w:t>和牧农业挂牌“国家级生猪产能调控基地”。高质量发展提升农民专业合作社20个，</w:t>
      </w:r>
      <w:r>
        <w:rPr>
          <w:rFonts w:ascii="Times New Roman"/>
          <w:kern w:val="0"/>
          <w:szCs w:val="32"/>
        </w:rPr>
        <w:t>阎良甜瓜京东线上旗舰店启动运行。预计</w:t>
      </w:r>
      <w:r>
        <w:rPr>
          <w:rFonts w:ascii="Times New Roman"/>
          <w:szCs w:val="32"/>
        </w:rPr>
        <w:t>农业增加值同比增长3.5%。</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Style w:val="22"/>
          <w:color w:val="auto"/>
          <w:sz w:val="32"/>
        </w:rPr>
      </w:pPr>
      <w:r>
        <w:rPr>
          <w:rFonts w:ascii="Times New Roman"/>
          <w:b/>
          <w:bCs/>
          <w:szCs w:val="32"/>
        </w:rPr>
        <w:t>工业转型步伐加快。</w:t>
      </w:r>
      <w:r>
        <w:rPr>
          <w:rFonts w:ascii="Times New Roman"/>
          <w:szCs w:val="32"/>
        </w:rPr>
        <w:t>成功举办航空供应链基础配套园机载中心签约大会，深化航空产业链供应链全面合作，推动集聚发展。积极承接航空集群建设任务，高质量通过省级验收。民机产业园等6个园区建成投用，数字装配等14个园区加快建设，提供产业空间120万平方米。持续开展亲商助企活动，为工业企业申请奖补资金4174.6万元。培育入库科技型中小企业288家，认定高新技术企业52家，新增国家级专精特新“小巨人”企业2家、规上工业企业12家。搭建市级秦创原“三器”示范平台5个，</w:t>
      </w:r>
      <w:r>
        <w:rPr>
          <w:rFonts w:ascii="Times New Roman"/>
          <w:kern w:val="0"/>
          <w:szCs w:val="32"/>
        </w:rPr>
        <w:t>培育创新团队7个，</w:t>
      </w:r>
      <w:r>
        <w:rPr>
          <w:rFonts w:ascii="Times New Roman"/>
          <w:szCs w:val="32"/>
        </w:rPr>
        <w:t>推进科技成果转化72项。我区“羊乳产业创新联合体”被列入2022年市级首批名单。</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b/>
          <w:bCs/>
          <w:szCs w:val="32"/>
        </w:rPr>
      </w:pPr>
      <w:r>
        <w:rPr>
          <w:rFonts w:ascii="Times New Roman"/>
          <w:b/>
          <w:bCs/>
          <w:szCs w:val="32"/>
        </w:rPr>
        <w:t>服务业发展态势向好。</w:t>
      </w:r>
      <w:r>
        <w:rPr>
          <w:rFonts w:ascii="Times New Roman"/>
          <w:szCs w:val="32"/>
        </w:rPr>
        <w:t>举办“乐享生活·嗨购西安”等系列促销活动，预计全年实现限上消费品零售额16亿元，同比增长44%。</w:t>
      </w:r>
      <w:r>
        <w:rPr>
          <w:rFonts w:ascii="Times New Roman"/>
          <w:kern w:val="0"/>
          <w:szCs w:val="32"/>
        </w:rPr>
        <w:t>建立政金企融资对接协调机制，</w:t>
      </w:r>
      <w:r>
        <w:rPr>
          <w:rFonts w:ascii="Times New Roman"/>
          <w:szCs w:val="32"/>
        </w:rPr>
        <w:t>成立全市首个“四贷促进”金融服务站，搭建</w:t>
      </w:r>
      <w:r>
        <w:rPr>
          <w:rFonts w:ascii="Times New Roman"/>
          <w:kern w:val="0"/>
          <w:szCs w:val="32"/>
        </w:rPr>
        <w:t>“航科数票”供应链金融综合服务平台，助力企业融资超过4亿元</w:t>
      </w:r>
      <w:r>
        <w:rPr>
          <w:rFonts w:ascii="Times New Roman"/>
          <w:szCs w:val="32"/>
        </w:rPr>
        <w:t>。</w:t>
      </w:r>
      <w:r>
        <w:rPr>
          <w:rFonts w:ascii="Times New Roman"/>
          <w:bCs/>
          <w:szCs w:val="32"/>
        </w:rPr>
        <w:t>推出精品旅游线路10条</w:t>
      </w:r>
      <w:r>
        <w:rPr>
          <w:rFonts w:hint="eastAsia" w:ascii="Times New Roman"/>
          <w:bCs/>
          <w:szCs w:val="32"/>
        </w:rPr>
        <w:t>，</w:t>
      </w:r>
      <w:r>
        <w:rPr>
          <w:rFonts w:ascii="Times New Roman"/>
          <w:szCs w:val="32"/>
        </w:rPr>
        <w:t>新增规上服务业企业2家。</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eastAsia="楷体_GB2312"/>
          <w:szCs w:val="32"/>
        </w:rPr>
      </w:pPr>
      <w:r>
        <w:rPr>
          <w:rFonts w:ascii="Times New Roman" w:eastAsia="楷体_GB2312"/>
          <w:szCs w:val="32"/>
        </w:rPr>
        <w:t>（二）抓项目、扩投资、促招商，经济基础更加夯实</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项目推进力度加大。</w:t>
      </w:r>
      <w:r>
        <w:rPr>
          <w:rFonts w:ascii="Times New Roman"/>
          <w:szCs w:val="32"/>
        </w:rPr>
        <w:t>扎实推行“五个一”全周期管理机制，围绕区级领导联系包抓、重点项目清单管理、审批部门单位帮包、“片区长+项目长”负责、问题反馈化解、督导考核等方面，形成项目谋划、入库、开工建设直至竣工投产全流程、闭环式管理服务新模式，实时化解项目难题。组建高质量项目建设攻坚专班，累计</w:t>
      </w:r>
      <w:r>
        <w:rPr>
          <w:rFonts w:hint="eastAsia" w:ascii="Times New Roman"/>
          <w:szCs w:val="32"/>
          <w:lang w:eastAsia="zh-CN"/>
        </w:rPr>
        <w:t>完成攻坚任务272个，</w:t>
      </w:r>
      <w:r>
        <w:rPr>
          <w:rFonts w:ascii="Times New Roman"/>
          <w:szCs w:val="32"/>
        </w:rPr>
        <w:t>破解难点堵点问题</w:t>
      </w:r>
      <w:r>
        <w:rPr>
          <w:rFonts w:hint="eastAsia" w:ascii="Times New Roman"/>
          <w:szCs w:val="32"/>
          <w:lang w:eastAsia="zh-CN"/>
        </w:rPr>
        <w:t>158</w:t>
      </w:r>
      <w:r>
        <w:rPr>
          <w:rFonts w:ascii="Times New Roman"/>
          <w:szCs w:val="32"/>
        </w:rPr>
        <w:t>个，</w:t>
      </w:r>
      <w:r>
        <w:rPr>
          <w:rFonts w:hint="eastAsia" w:ascii="Times New Roman"/>
          <w:szCs w:val="32"/>
          <w:lang w:eastAsia="zh-CN"/>
        </w:rPr>
        <w:t>有力</w:t>
      </w:r>
      <w:r>
        <w:rPr>
          <w:rFonts w:ascii="Times New Roman"/>
          <w:szCs w:val="32"/>
        </w:rPr>
        <w:t>推动项目开工建设。截</w:t>
      </w:r>
      <w:r>
        <w:rPr>
          <w:rFonts w:hint="eastAsia" w:ascii="Times New Roman"/>
          <w:szCs w:val="32"/>
        </w:rPr>
        <w:t>至</w:t>
      </w:r>
      <w:r>
        <w:rPr>
          <w:rFonts w:ascii="Times New Roman"/>
          <w:szCs w:val="32"/>
        </w:rPr>
        <w:t>12月底，</w:t>
      </w:r>
      <w:r>
        <w:rPr>
          <w:rFonts w:ascii="Times New Roman"/>
          <w:snapToGrid w:val="0"/>
          <w:kern w:val="0"/>
          <w:szCs w:val="32"/>
        </w:rPr>
        <w:t>130个</w:t>
      </w:r>
      <w:r>
        <w:rPr>
          <w:rFonts w:hint="eastAsia" w:ascii="Times New Roman"/>
          <w:snapToGrid w:val="0"/>
          <w:kern w:val="0"/>
          <w:szCs w:val="32"/>
        </w:rPr>
        <w:t>区级</w:t>
      </w:r>
      <w:r>
        <w:rPr>
          <w:rFonts w:ascii="Times New Roman"/>
          <w:snapToGrid w:val="0"/>
          <w:kern w:val="0"/>
          <w:szCs w:val="32"/>
        </w:rPr>
        <w:t>重点项目完成投资178.4亿元，占年</w:t>
      </w:r>
      <w:r>
        <w:rPr>
          <w:rFonts w:hint="eastAsia" w:ascii="Times New Roman"/>
          <w:snapToGrid w:val="0"/>
          <w:kern w:val="0"/>
          <w:szCs w:val="32"/>
        </w:rPr>
        <w:t>初</w:t>
      </w:r>
      <w:r>
        <w:rPr>
          <w:rFonts w:ascii="Times New Roman"/>
          <w:snapToGrid w:val="0"/>
          <w:kern w:val="0"/>
          <w:szCs w:val="32"/>
        </w:rPr>
        <w:t>计划的</w:t>
      </w:r>
      <w:r>
        <w:rPr>
          <w:rFonts w:hint="eastAsia" w:ascii="Times New Roman"/>
          <w:snapToGrid w:val="0"/>
          <w:kern w:val="0"/>
          <w:szCs w:val="32"/>
        </w:rPr>
        <w:t>139.7</w:t>
      </w:r>
      <w:r>
        <w:rPr>
          <w:rFonts w:ascii="Times New Roman"/>
          <w:snapToGrid w:val="0"/>
          <w:kern w:val="0"/>
          <w:szCs w:val="32"/>
        </w:rPr>
        <w:t>%</w:t>
      </w:r>
      <w:r>
        <w:rPr>
          <w:rFonts w:ascii="Times New Roman"/>
          <w:szCs w:val="32"/>
        </w:rPr>
        <w:t>。</w:t>
      </w:r>
      <w:r>
        <w:rPr>
          <w:rFonts w:ascii="Times New Roman"/>
          <w:snapToGrid w:val="0"/>
          <w:kern w:val="0"/>
          <w:szCs w:val="32"/>
        </w:rPr>
        <w:t>全市重点项目</w:t>
      </w:r>
      <w:r>
        <w:rPr>
          <w:rFonts w:hint="eastAsia" w:ascii="Times New Roman"/>
          <w:snapToGrid w:val="0"/>
          <w:kern w:val="0"/>
          <w:szCs w:val="32"/>
        </w:rPr>
        <w:t>季度</w:t>
      </w:r>
      <w:r>
        <w:rPr>
          <w:rFonts w:ascii="Times New Roman"/>
          <w:snapToGrid w:val="0"/>
          <w:kern w:val="0"/>
          <w:szCs w:val="32"/>
        </w:rPr>
        <w:t>观摩</w:t>
      </w:r>
      <w:r>
        <w:rPr>
          <w:rFonts w:hint="eastAsia" w:ascii="Times New Roman"/>
          <w:snapToGrid w:val="0"/>
          <w:kern w:val="0"/>
          <w:szCs w:val="32"/>
        </w:rPr>
        <w:t>，三个季度蝉联产业结构多元区第一名。</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资金保障支撑有力。</w:t>
      </w:r>
      <w:r>
        <w:rPr>
          <w:rFonts w:ascii="Times New Roman"/>
          <w:szCs w:val="32"/>
        </w:rPr>
        <w:t>印发《开展争取上级专项资金“争优打榜”工作实施方案》，充分调动各部门争取资金能动性，全力包装策划项目，积极向上争取资金支持，为城市提升和区域经济发展提供有力财力支撑。争取中省市补助资金24.08亿元；成功发行地方政府专项债券项目11个，发行额度12.49亿元。</w:t>
      </w:r>
    </w:p>
    <w:p>
      <w:pPr>
        <w:keepNext w:val="0"/>
        <w:keepLines w:val="0"/>
        <w:pageBreakBefore w:val="0"/>
        <w:widowControl w:val="0"/>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招商引资持续发力。</w:t>
      </w:r>
      <w:r>
        <w:rPr>
          <w:rFonts w:ascii="Times New Roman"/>
          <w:szCs w:val="32"/>
        </w:rPr>
        <w:t>突出抓好招商引资攻坚行动和商贸服务业挖潜增效，扎实开展“敲门行动”，</w:t>
      </w:r>
      <w:r>
        <w:rPr>
          <w:rFonts w:hint="eastAsia" w:ascii="Times New Roman"/>
          <w:szCs w:val="32"/>
          <w:lang w:eastAsia="zh-CN"/>
        </w:rPr>
        <w:t>累计</w:t>
      </w:r>
      <w:r>
        <w:rPr>
          <w:rFonts w:ascii="Times New Roman"/>
          <w:szCs w:val="32"/>
        </w:rPr>
        <w:t>敲门拜访企业769余家，签约项目63个，出租厂房</w:t>
      </w:r>
      <w:r>
        <w:rPr>
          <w:rFonts w:hint="eastAsia" w:ascii="Times New Roman"/>
          <w:szCs w:val="32"/>
        </w:rPr>
        <w:t>52</w:t>
      </w:r>
      <w:r>
        <w:rPr>
          <w:rFonts w:ascii="Times New Roman"/>
          <w:szCs w:val="32"/>
        </w:rPr>
        <w:t>万平方米</w:t>
      </w:r>
      <w:r>
        <w:rPr>
          <w:rFonts w:hint="eastAsia" w:ascii="Times New Roman"/>
          <w:szCs w:val="32"/>
        </w:rPr>
        <w:t>，</w:t>
      </w:r>
      <w:r>
        <w:rPr>
          <w:rFonts w:hint="eastAsia" w:ascii="Times New Roman"/>
          <w:snapToGrid w:val="0"/>
          <w:kern w:val="0"/>
          <w:szCs w:val="32"/>
        </w:rPr>
        <w:t>全年签约过1</w:t>
      </w:r>
      <w:r>
        <w:rPr>
          <w:rFonts w:ascii="Times New Roman"/>
          <w:snapToGrid w:val="0"/>
          <w:kern w:val="0"/>
          <w:szCs w:val="32"/>
        </w:rPr>
        <w:t>0</w:t>
      </w:r>
      <w:r>
        <w:rPr>
          <w:rFonts w:hint="eastAsia" w:ascii="Times New Roman"/>
          <w:snapToGrid w:val="0"/>
          <w:kern w:val="0"/>
          <w:szCs w:val="32"/>
        </w:rPr>
        <w:t>亿元项目5个</w:t>
      </w:r>
      <w:r>
        <w:rPr>
          <w:rFonts w:ascii="Times New Roman"/>
          <w:szCs w:val="32"/>
        </w:rPr>
        <w:t>。举办</w:t>
      </w:r>
      <w:r>
        <w:rPr>
          <w:rFonts w:hint="eastAsia" w:ascii="Times New Roman"/>
          <w:szCs w:val="32"/>
        </w:rPr>
        <w:t>高层次</w:t>
      </w:r>
      <w:r>
        <w:rPr>
          <w:rFonts w:ascii="Times New Roman"/>
          <w:szCs w:val="32"/>
        </w:rPr>
        <w:t>推介会</w:t>
      </w:r>
      <w:r>
        <w:rPr>
          <w:rFonts w:hint="eastAsia" w:ascii="Times New Roman"/>
          <w:szCs w:val="32"/>
        </w:rPr>
        <w:t>1</w:t>
      </w:r>
      <w:r>
        <w:rPr>
          <w:rFonts w:ascii="Times New Roman"/>
          <w:szCs w:val="32"/>
        </w:rPr>
        <w:t>3</w:t>
      </w:r>
      <w:r>
        <w:rPr>
          <w:rFonts w:hint="eastAsia" w:ascii="Times New Roman"/>
          <w:szCs w:val="32"/>
        </w:rPr>
        <w:t>场次，</w:t>
      </w:r>
      <w:r>
        <w:rPr>
          <w:rFonts w:ascii="Times New Roman"/>
          <w:szCs w:val="32"/>
        </w:rPr>
        <w:t>第六届丝博会上签约项目</w:t>
      </w:r>
      <w:r>
        <w:rPr>
          <w:rFonts w:hint="eastAsia" w:ascii="Times New Roman"/>
          <w:szCs w:val="32"/>
        </w:rPr>
        <w:t>数量</w:t>
      </w:r>
      <w:r>
        <w:rPr>
          <w:rFonts w:ascii="Times New Roman"/>
          <w:szCs w:val="32"/>
        </w:rPr>
        <w:t>区县</w:t>
      </w:r>
      <w:r>
        <w:rPr>
          <w:rFonts w:hint="eastAsia" w:ascii="Times New Roman"/>
          <w:szCs w:val="32"/>
        </w:rPr>
        <w:t>排名</w:t>
      </w:r>
      <w:r>
        <w:rPr>
          <w:rFonts w:ascii="Times New Roman"/>
          <w:szCs w:val="32"/>
        </w:rPr>
        <w:t>第一</w:t>
      </w:r>
      <w:r>
        <w:rPr>
          <w:rFonts w:hint="eastAsia" w:ascii="Times New Roman"/>
          <w:szCs w:val="32"/>
        </w:rPr>
        <w:t>。</w:t>
      </w:r>
      <w:r>
        <w:rPr>
          <w:rFonts w:ascii="Times New Roman"/>
          <w:szCs w:val="32"/>
        </w:rPr>
        <w:t>在珠海成功举办西安空天产业投资环境推介会，签约项目20个，意向投资260亿元。</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营商环境全面优化。</w:t>
      </w:r>
      <w:r>
        <w:rPr>
          <w:rFonts w:ascii="Times New Roman"/>
          <w:szCs w:val="32"/>
        </w:rPr>
        <w:t>持续深化“放管服”改革，打造“四最”营商环境，216项营商环境重点工作清单任务高效</w:t>
      </w:r>
      <w:r>
        <w:rPr>
          <w:rFonts w:hint="eastAsia" w:ascii="Times New Roman"/>
          <w:szCs w:val="32"/>
          <w:lang w:val="en-US" w:eastAsia="zh-CN"/>
        </w:rPr>
        <w:t>落实</w:t>
      </w:r>
      <w:r>
        <w:rPr>
          <w:rFonts w:ascii="Times New Roman"/>
          <w:szCs w:val="32"/>
        </w:rPr>
        <w:t>。大力推进相对集中行政许可权改革和政务服务标准化建设，推动“一件事一次办”“一业一证”“极简快办”各项改革</w:t>
      </w:r>
      <w:r>
        <w:rPr>
          <w:rFonts w:hint="eastAsia" w:ascii="Times New Roman"/>
          <w:szCs w:val="32"/>
        </w:rPr>
        <w:t>，</w:t>
      </w:r>
      <w:r>
        <w:rPr>
          <w:rFonts w:ascii="Times New Roman"/>
          <w:szCs w:val="32"/>
        </w:rPr>
        <w:t>深化“互联网+政务服务”，首批161项“极简快办”事项办理时限平均压缩70%以上，95%以上政务服务事项网上可办。我区营商环境领域3项典型案例在省市刊登报道，“极简快办”改革在全市复制推广</w:t>
      </w:r>
      <w:r>
        <w:rPr>
          <w:rFonts w:hint="eastAsia" w:ascii="Times New Roman"/>
          <w:szCs w:val="32"/>
          <w:lang w:eastAsia="zh-CN"/>
        </w:rPr>
        <w:t>，</w:t>
      </w:r>
      <w:r>
        <w:rPr>
          <w:rFonts w:ascii="Times New Roman"/>
          <w:szCs w:val="32"/>
        </w:rPr>
        <w:t>全区万人专利拥有量突破</w:t>
      </w:r>
      <w:r>
        <w:rPr>
          <w:rFonts w:hint="eastAsia" w:ascii="Times New Roman"/>
          <w:szCs w:val="32"/>
          <w:lang w:eastAsia="zh-CN"/>
        </w:rPr>
        <w:t>50</w:t>
      </w:r>
      <w:r>
        <w:rPr>
          <w:rFonts w:ascii="Times New Roman"/>
          <w:szCs w:val="32"/>
        </w:rPr>
        <w:t>件。</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eastAsia="楷体_GB2312"/>
          <w:szCs w:val="32"/>
        </w:rPr>
      </w:pPr>
      <w:r>
        <w:rPr>
          <w:rFonts w:ascii="Times New Roman" w:eastAsia="楷体_GB2312"/>
          <w:szCs w:val="32"/>
        </w:rPr>
        <w:t>（三）强弱项、补短板、促升级，城市品质全面提升</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城市环境有机更新。</w:t>
      </w:r>
      <w:r>
        <w:rPr>
          <w:rFonts w:ascii="Times New Roman"/>
          <w:szCs w:val="32"/>
        </w:rPr>
        <w:t>初步划定“三区三线”，新增城镇开发边界12.9平方公里。征收完成22个村组房屋及土地，腾出土地3640亩。三四七区安置区20栋楼主体封顶，安芦、断垣等7个安置区建设完成总工程量43%，火车站站前广场建成投用。</w:t>
      </w:r>
      <w:r>
        <w:rPr>
          <w:rFonts w:hint="eastAsia" w:ascii="Times New Roman"/>
          <w:szCs w:val="32"/>
        </w:rPr>
        <w:t>聚焦“</w:t>
      </w:r>
      <w:r>
        <w:rPr>
          <w:rFonts w:ascii="Times New Roman"/>
          <w:szCs w:val="32"/>
        </w:rPr>
        <w:t>一街一品”</w:t>
      </w:r>
      <w:r>
        <w:rPr>
          <w:rFonts w:hint="eastAsia" w:ascii="Times New Roman"/>
          <w:szCs w:val="32"/>
        </w:rPr>
        <w:t>，</w:t>
      </w:r>
      <w:r>
        <w:rPr>
          <w:rFonts w:ascii="Times New Roman"/>
          <w:szCs w:val="32"/>
        </w:rPr>
        <w:t>公园街、倚天路等6条特色街区</w:t>
      </w:r>
      <w:r>
        <w:rPr>
          <w:rFonts w:hint="eastAsia" w:ascii="Times New Roman"/>
          <w:szCs w:val="32"/>
        </w:rPr>
        <w:t>启动建</w:t>
      </w:r>
      <w:r>
        <w:rPr>
          <w:rFonts w:ascii="Times New Roman"/>
          <w:szCs w:val="32"/>
        </w:rPr>
        <w:t>设。全域环境品质提升，33条城区道路</w:t>
      </w:r>
      <w:r>
        <w:rPr>
          <w:rFonts w:hint="eastAsia" w:ascii="Times New Roman"/>
          <w:szCs w:val="32"/>
        </w:rPr>
        <w:t>实现退红增绿</w:t>
      </w:r>
      <w:r>
        <w:rPr>
          <w:rFonts w:ascii="Times New Roman"/>
          <w:szCs w:val="32"/>
        </w:rPr>
        <w:t>，</w:t>
      </w:r>
      <w:r>
        <w:rPr>
          <w:rFonts w:hint="eastAsia" w:ascii="Times New Roman"/>
          <w:szCs w:val="32"/>
        </w:rPr>
        <w:t>累计</w:t>
      </w:r>
      <w:r>
        <w:rPr>
          <w:rFonts w:ascii="Times New Roman"/>
          <w:szCs w:val="32"/>
        </w:rPr>
        <w:t>拆除</w:t>
      </w:r>
      <w:r>
        <w:rPr>
          <w:rFonts w:hint="eastAsia" w:ascii="Times New Roman"/>
          <w:szCs w:val="32"/>
        </w:rPr>
        <w:t>建筑</w:t>
      </w:r>
      <w:r>
        <w:rPr>
          <w:rFonts w:ascii="Times New Roman"/>
          <w:szCs w:val="32"/>
        </w:rPr>
        <w:t>8.5万平方米，建成绿化节点及口袋公园</w:t>
      </w:r>
      <w:r>
        <w:rPr>
          <w:rFonts w:hint="eastAsia" w:ascii="Times New Roman"/>
          <w:szCs w:val="32"/>
        </w:rPr>
        <w:t>14</w:t>
      </w:r>
      <w:r>
        <w:rPr>
          <w:rFonts w:ascii="Times New Roman"/>
          <w:szCs w:val="32"/>
        </w:rPr>
        <w:t>个，新建透绿围墙1.6万米，新增</w:t>
      </w:r>
      <w:r>
        <w:rPr>
          <w:rFonts w:hint="eastAsia" w:ascii="Times New Roman"/>
          <w:szCs w:val="32"/>
        </w:rPr>
        <w:t>绿化</w:t>
      </w:r>
      <w:r>
        <w:rPr>
          <w:rFonts w:ascii="Times New Roman"/>
          <w:szCs w:val="32"/>
        </w:rPr>
        <w:t>面积71万平方米，贯通慢行系统40公里。</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rPr>
      </w:pPr>
      <w:r>
        <w:rPr>
          <w:rFonts w:ascii="Times New Roman"/>
          <w:b/>
          <w:bCs/>
          <w:szCs w:val="32"/>
        </w:rPr>
        <w:t>基础设施持续提升。</w:t>
      </w:r>
      <w:r>
        <w:rPr>
          <w:rFonts w:ascii="Times New Roman"/>
          <w:szCs w:val="32"/>
        </w:rPr>
        <w:t>西禹高速阎良段改扩建加速推进，西阎快速路、地铁17号线等项目前期工作有序推进。胜利街下穿立交通车，年丰路地下通道改造完成，润天路下穿立交项目取得突破性进展。改造提升西飞大道等9条市政道路，亮化提升</w:t>
      </w:r>
      <w:r>
        <w:rPr>
          <w:rFonts w:hint="eastAsia" w:ascii="Times New Roman"/>
          <w:szCs w:val="32"/>
        </w:rPr>
        <w:t>前进路等11</w:t>
      </w:r>
      <w:r>
        <w:rPr>
          <w:rFonts w:ascii="Times New Roman"/>
          <w:szCs w:val="32"/>
        </w:rPr>
        <w:t>条市政道路。全面启动人民路、试飞院路改造，改造雨污混错接点位141处，</w:t>
      </w:r>
      <w:r>
        <w:rPr>
          <w:rFonts w:hint="eastAsia" w:ascii="Times New Roman"/>
          <w:szCs w:val="32"/>
        </w:rPr>
        <w:t>人民路全线实现雨污分流</w:t>
      </w:r>
      <w:r>
        <w:rPr>
          <w:rFonts w:ascii="Times New Roman"/>
          <w:szCs w:val="32"/>
        </w:rPr>
        <w:t>。建成电力管沟17.16公里，渭北330KV输变电站投入运行，阎良北110KV等</w:t>
      </w:r>
      <w:r>
        <w:rPr>
          <w:rFonts w:hint="eastAsia" w:ascii="Times New Roman"/>
          <w:szCs w:val="32"/>
        </w:rPr>
        <w:t>3个</w:t>
      </w:r>
      <w:r>
        <w:rPr>
          <w:rFonts w:ascii="Times New Roman"/>
          <w:szCs w:val="32"/>
        </w:rPr>
        <w:t>输变电项目顺利推进。建成城市智慧小区23个，新建公用充电桩3</w:t>
      </w:r>
      <w:r>
        <w:rPr>
          <w:rFonts w:hint="eastAsia" w:ascii="Times New Roman"/>
          <w:szCs w:val="32"/>
        </w:rPr>
        <w:t>8</w:t>
      </w:r>
      <w:r>
        <w:rPr>
          <w:rFonts w:ascii="Times New Roman"/>
          <w:szCs w:val="32"/>
        </w:rPr>
        <w:t>个、公共停车场6个，新增机动车位786个。</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生态环境不断好转。</w:t>
      </w:r>
      <w:r>
        <w:rPr>
          <w:rFonts w:ascii="Times New Roman"/>
          <w:szCs w:val="32"/>
        </w:rPr>
        <w:t>深入推进蓝天保卫战，强化扬尘、露天焚烧等污染源管控力度，空气质量优良天数254天，</w:t>
      </w:r>
      <w:r>
        <w:rPr>
          <w:rFonts w:ascii="Times New Roman"/>
          <w:szCs w:val="32"/>
          <w:shd w:val="clear" w:color="auto" w:fill="FFFFFF"/>
        </w:rPr>
        <w:t>超出全市平均值64天</w:t>
      </w:r>
      <w:r>
        <w:rPr>
          <w:rFonts w:ascii="Times New Roman"/>
          <w:szCs w:val="32"/>
        </w:rPr>
        <w:t>。打好碧水保卫战，农村污水有效治理率70%，两河阎良出境断面平均值稳定达标。</w:t>
      </w:r>
      <w:r>
        <w:rPr>
          <w:rFonts w:ascii="Times New Roman"/>
          <w:szCs w:val="32"/>
          <w:shd w:val="clear" w:color="auto" w:fill="FFFFFF"/>
        </w:rPr>
        <w:t>严格建设用地准入管理及土壤污染源头管控，土壤和地下水环境质量总体保持稳定。</w:t>
      </w:r>
      <w:r>
        <w:rPr>
          <w:rFonts w:ascii="Times New Roman"/>
          <w:szCs w:val="32"/>
        </w:rPr>
        <w:t>单位GDP能耗同比降低3.1%。</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eastAsia="楷体_GB2312"/>
          <w:szCs w:val="32"/>
        </w:rPr>
      </w:pPr>
      <w:r>
        <w:rPr>
          <w:rFonts w:ascii="Times New Roman" w:eastAsia="楷体_GB2312"/>
          <w:szCs w:val="32"/>
        </w:rPr>
        <w:t>（四）强创新、促改革、聚合力，融合发展纵深推进</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央地融合全面深化。</w:t>
      </w:r>
      <w:r>
        <w:rPr>
          <w:rFonts w:ascii="Times New Roman"/>
          <w:szCs w:val="32"/>
        </w:rPr>
        <w:t>持续与驻区单位常态化对接，举办“一飞院”技术成果转化对接会。全面保障驻区单位用地需求和重大项目实施，TP500无人运输机首飞圆满成功，空军飞行员学校、航空先进制造业中心等32个项目投资超额完成年计划任务。举办第六届中国航空创新创业大赛总决赛</w:t>
      </w:r>
      <w:r>
        <w:rPr>
          <w:rFonts w:hint="eastAsia" w:ascii="Times New Roman"/>
          <w:szCs w:val="32"/>
        </w:rPr>
        <w:t>，吸引300个创新创业项目线上角逐</w:t>
      </w:r>
      <w:r>
        <w:rPr>
          <w:rFonts w:ascii="Times New Roman"/>
          <w:szCs w:val="32"/>
        </w:rPr>
        <w:t>。争取央地融合发展专项资金1610.6万元，同比增长31.5%。新增央地融合企业15家，昱琛等2家企业获评省级央地融合示范企业。</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区域融合深入推进。</w:t>
      </w:r>
      <w:r>
        <w:rPr>
          <w:rFonts w:ascii="Times New Roman"/>
          <w:szCs w:val="32"/>
        </w:rPr>
        <w:t>“区政合一”改革步伐加快，领导体制、事权划分、机构设置、人员转隶全面完成，工作机构从20个精简至9个，社会事务剥离移交104项。力促富阎两地互联互通，《富阎新区阎良产业带战略发展规划》已形成片区规划阶段性成果，富阎空天产业园、城市展览中心等项目加快建设，连接富平三条主干道路建设持续推进。</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b/>
          <w:bCs/>
          <w:szCs w:val="32"/>
        </w:rPr>
      </w:pPr>
      <w:r>
        <w:rPr>
          <w:rFonts w:ascii="Times New Roman"/>
          <w:b/>
          <w:bCs/>
          <w:szCs w:val="32"/>
        </w:rPr>
        <w:t>城乡融合全面推进。</w:t>
      </w:r>
      <w:r>
        <w:rPr>
          <w:rFonts w:ascii="Times New Roman"/>
          <w:szCs w:val="32"/>
        </w:rPr>
        <w:t>持续深化五大试验改革任务，打造闲置宅基地和闲置住宅盘活利用市级试点示范村3个，完成农村土地流转备案2624亩，55个村集体经营性收益超过5万元，长山村实现年分红82万元。推进涉农项目管理方式改革，健全乡村振兴项目及资金整合机制，涉农资金使用效率显著提升。</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eastAsia="楷体_GB2312"/>
          <w:szCs w:val="32"/>
        </w:rPr>
      </w:pPr>
      <w:r>
        <w:rPr>
          <w:rFonts w:ascii="Times New Roman" w:eastAsia="楷体_GB2312"/>
          <w:szCs w:val="32"/>
        </w:rPr>
        <w:t>（五）强基础、优环境、兴产业，乡村振兴增劲发力</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乡村建设发展加快。</w:t>
      </w:r>
      <w:r>
        <w:rPr>
          <w:rFonts w:ascii="Times New Roman"/>
          <w:szCs w:val="32"/>
        </w:rPr>
        <w:t>完成邰家村、樊家村2个实用性村庄规划编制。新建及改造供水保障工程完成5处，修复环塬路、水腰路等12处水毁点位。加快推进关山、武屯、新兴、振兴</w:t>
      </w:r>
      <w:r>
        <w:rPr>
          <w:rFonts w:hint="eastAsia" w:ascii="Times New Roman"/>
          <w:szCs w:val="32"/>
        </w:rPr>
        <w:t>城镇化</w:t>
      </w:r>
      <w:r>
        <w:rPr>
          <w:rFonts w:ascii="Times New Roman"/>
          <w:szCs w:val="32"/>
        </w:rPr>
        <w:t>建设，40个重点项目如期竣工，完成投资10.68亿元。新兴市级培育镇建设排名全市第一，全区乡村治理体系建设试点案例入选首批省级典型案例。</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人居环境持续美化。</w:t>
      </w:r>
      <w:r>
        <w:rPr>
          <w:rFonts w:ascii="Times New Roman"/>
          <w:szCs w:val="32"/>
        </w:rPr>
        <w:t>深入开展农村人居环境整治“争优打榜”行动，</w:t>
      </w:r>
      <w:r>
        <w:rPr>
          <w:rFonts w:hint="eastAsia" w:ascii="Times New Roman"/>
          <w:snapToGrid w:val="0"/>
          <w:kern w:val="0"/>
          <w:szCs w:val="32"/>
        </w:rPr>
        <w:t>建成美丽村庄片区2个、美丽村庄7个，</w:t>
      </w:r>
      <w:r>
        <w:rPr>
          <w:rFonts w:ascii="Times New Roman"/>
          <w:szCs w:val="32"/>
        </w:rPr>
        <w:t>创建美丽庭院378户，北冯村、西相村、东孙村获评全省美丽宜居示范村。完成农村危房改造23户，户厕改造150座，</w:t>
      </w:r>
      <w:r>
        <w:rPr>
          <w:rFonts w:hint="eastAsia" w:ascii="Times New Roman"/>
          <w:szCs w:val="32"/>
        </w:rPr>
        <w:t>全区</w:t>
      </w:r>
      <w:r>
        <w:rPr>
          <w:rFonts w:ascii="Times New Roman"/>
          <w:szCs w:val="32"/>
        </w:rPr>
        <w:t>行政村生活垃圾达到无害化处理标准，生活污水实现有效治理与管控</w:t>
      </w:r>
      <w:r>
        <w:rPr>
          <w:rFonts w:hint="eastAsia" w:ascii="Times New Roman"/>
          <w:szCs w:val="32"/>
        </w:rPr>
        <w:t>。</w:t>
      </w:r>
      <w:r>
        <w:rPr>
          <w:rFonts w:ascii="Times New Roman"/>
          <w:szCs w:val="32"/>
        </w:rPr>
        <w:t>李浩村获评全省乡村治理示范村，农兴村获评全市乡村治理示范村。</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发展活力全面增强。</w:t>
      </w:r>
      <w:r>
        <w:rPr>
          <w:rFonts w:ascii="Times New Roman"/>
          <w:szCs w:val="32"/>
        </w:rPr>
        <w:t>整村授信覆盖31个行政村，累计授信13768户，授信金额10.92亿元。组织辖区特色产品积极参加杨凌农高会，获奖5项，集中签约项目2个，获奖总数在全市排名第一。成功举办全市蔬菜全产业链现场观摩会、中国羊乳发展西安论坛等活动，持续打响阎良品牌。</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eastAsia="楷体_GB2312"/>
          <w:szCs w:val="32"/>
        </w:rPr>
      </w:pPr>
      <w:r>
        <w:rPr>
          <w:rFonts w:ascii="Times New Roman" w:eastAsia="楷体_GB2312"/>
          <w:szCs w:val="32"/>
        </w:rPr>
        <w:t>（六）优服务、促均衡、增福祉，民生保障持续加强</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公共服务全面优化。</w:t>
      </w:r>
      <w:r>
        <w:rPr>
          <w:rFonts w:ascii="Times New Roman"/>
          <w:szCs w:val="32"/>
        </w:rPr>
        <w:t>“三名+”工程持续深化，国家义务教育优质均衡发展区创建指标基本达标</w:t>
      </w:r>
      <w:r>
        <w:rPr>
          <w:rFonts w:hint="eastAsia" w:ascii="Times New Roman"/>
          <w:szCs w:val="32"/>
        </w:rPr>
        <w:t>，</w:t>
      </w:r>
      <w:r>
        <w:rPr>
          <w:rFonts w:ascii="Times New Roman"/>
          <w:szCs w:val="32"/>
        </w:rPr>
        <w:t>“双减”工作成效显著。新建、改扩建学校8所，新增学位3402个。公共卫生体系持续完善，移动方舱实验室在全市率先建成，区中医医院一期基本建成，11个公有化村卫生室完成提升。“三医”联动深入推进，区域医共体实现全覆盖。新建城市书房2个、便民运动场所139处，</w:t>
      </w:r>
      <w:r>
        <w:rPr>
          <w:rFonts w:hint="eastAsia" w:ascii="Times New Roman"/>
          <w:szCs w:val="32"/>
        </w:rPr>
        <w:t>举办</w:t>
      </w:r>
      <w:r>
        <w:rPr>
          <w:rFonts w:ascii="Times New Roman"/>
          <w:szCs w:val="32"/>
        </w:rPr>
        <w:t>各类</w:t>
      </w:r>
      <w:r>
        <w:rPr>
          <w:rFonts w:hint="eastAsia" w:ascii="Times New Roman"/>
          <w:szCs w:val="32"/>
        </w:rPr>
        <w:t>群众性文体</w:t>
      </w:r>
      <w:r>
        <w:rPr>
          <w:rFonts w:ascii="Times New Roman"/>
          <w:szCs w:val="32"/>
        </w:rPr>
        <w:t>活动</w:t>
      </w:r>
      <w:r>
        <w:rPr>
          <w:rFonts w:hint="eastAsia" w:ascii="Times New Roman"/>
          <w:szCs w:val="32"/>
        </w:rPr>
        <w:t>千余</w:t>
      </w:r>
      <w:r>
        <w:rPr>
          <w:rFonts w:ascii="Times New Roman"/>
          <w:szCs w:val="32"/>
        </w:rPr>
        <w:t>场。秦汉栎阳城遗址入选新时代百项考古新发现并在央视展播，栎阳城遗址（三号城）安防项目建设完成，成功创建市级乡村旅游示范村1个。</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社会保障坚强有力。</w:t>
      </w:r>
      <w:r>
        <w:rPr>
          <w:rFonts w:ascii="Times New Roman"/>
          <w:szCs w:val="32"/>
        </w:rPr>
        <w:t>精准施策优化就业服务，城镇新增就业6798人。大力开展援企稳岗护航行动，</w:t>
      </w:r>
      <w:r>
        <w:rPr>
          <w:rFonts w:hint="eastAsia" w:ascii="Times New Roman"/>
          <w:szCs w:val="32"/>
        </w:rPr>
        <w:t>投入</w:t>
      </w:r>
      <w:r>
        <w:rPr>
          <w:rFonts w:ascii="Times New Roman"/>
          <w:szCs w:val="32"/>
        </w:rPr>
        <w:t>稳岗返还</w:t>
      </w:r>
      <w:r>
        <w:rPr>
          <w:rFonts w:hint="eastAsia" w:ascii="Times New Roman"/>
          <w:szCs w:val="32"/>
        </w:rPr>
        <w:t>等</w:t>
      </w:r>
      <w:r>
        <w:rPr>
          <w:rFonts w:ascii="Times New Roman"/>
          <w:szCs w:val="32"/>
        </w:rPr>
        <w:t>资金1.34亿元，举办各类招聘活动42场，提供就业岗位1.3万个。用足用好“1+N”社会救助体系，全力保障各类困难群众8060人，发放城乡低保金等各类资金3516万元。推进养老服务体系建设，新建、改扩建各类养老</w:t>
      </w:r>
      <w:r>
        <w:rPr>
          <w:rFonts w:hint="eastAsia" w:ascii="Times New Roman"/>
          <w:szCs w:val="32"/>
        </w:rPr>
        <w:t>服务场所</w:t>
      </w:r>
      <w:r>
        <w:rPr>
          <w:rFonts w:ascii="Times New Roman"/>
          <w:szCs w:val="32"/>
        </w:rPr>
        <w:t>10个，德瑞养老院荣获全省养老机构“领跑者”称号。</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b/>
          <w:bCs/>
          <w:szCs w:val="32"/>
        </w:rPr>
        <w:t>社会治理全面加强。</w:t>
      </w:r>
      <w:r>
        <w:rPr>
          <w:rFonts w:ascii="Times New Roman"/>
          <w:szCs w:val="32"/>
        </w:rPr>
        <w:t>全面提升预警能力和突发疫情处置能力，分级设置核酸采样点116个，全年完成大规模核酸检测66轮次1741万余人次，接种新冠病毒疫苗74.15万剂次。防范社会治安风险，全区扫黑除恶斗争满意率达98.19%。组织开展矛盾纠纷大排查大化解活动。扎实开展安全生产“百日行动”，夯实安全生产责任。</w:t>
      </w:r>
    </w:p>
    <w:p>
      <w:pPr>
        <w:keepNext w:val="0"/>
        <w:keepLines w:val="0"/>
        <w:pageBreakBefore w:val="0"/>
        <w:widowControl w:val="0"/>
        <w:pBdr>
          <w:bottom w:val="single" w:color="FFFFFF" w:sz="4" w:space="31"/>
        </w:pBdr>
        <w:kinsoku/>
        <w:wordWrap/>
        <w:overflowPunct/>
        <w:topLinePunct w:val="0"/>
        <w:autoSpaceDN/>
        <w:bidi w:val="0"/>
        <w:adjustRightInd/>
        <w:spacing w:line="578" w:lineRule="exact"/>
        <w:ind w:firstLine="632" w:firstLineChars="200"/>
        <w:textAlignment w:val="auto"/>
        <w:rPr>
          <w:rFonts w:ascii="Times New Roman"/>
          <w:szCs w:val="32"/>
        </w:rPr>
      </w:pPr>
      <w:r>
        <w:rPr>
          <w:rFonts w:ascii="Times New Roman"/>
          <w:szCs w:val="32"/>
        </w:rPr>
        <w:t>在总结成绩的同时，我们</w:t>
      </w:r>
      <w:r>
        <w:rPr>
          <w:rFonts w:hint="eastAsia" w:ascii="Times New Roman"/>
          <w:szCs w:val="32"/>
        </w:rPr>
        <w:t>应该清醒地</w:t>
      </w:r>
      <w:r>
        <w:rPr>
          <w:rFonts w:ascii="Times New Roman"/>
          <w:szCs w:val="32"/>
        </w:rPr>
        <w:t>认识到，当前推动高质量发展、创造高品质生活、实现高效能治理的任务仍然艰巨：外部环境仍存在诸多不确定性，扩大投资、提振消费、促进经济平稳健康运行还需付出更大努力；新经济新动能培育不足，</w:t>
      </w:r>
      <w:r>
        <w:rPr>
          <w:rFonts w:hint="eastAsia" w:ascii="Times New Roman"/>
          <w:szCs w:val="32"/>
        </w:rPr>
        <w:t>航空</w:t>
      </w:r>
      <w:r>
        <w:rPr>
          <w:rFonts w:ascii="Times New Roman"/>
          <w:szCs w:val="32"/>
        </w:rPr>
        <w:t>优势资源价值转化</w:t>
      </w:r>
      <w:r>
        <w:rPr>
          <w:rFonts w:hint="eastAsia" w:ascii="Times New Roman"/>
          <w:szCs w:val="32"/>
        </w:rPr>
        <w:t>还</w:t>
      </w:r>
      <w:r>
        <w:rPr>
          <w:rFonts w:ascii="Times New Roman"/>
          <w:szCs w:val="32"/>
        </w:rPr>
        <w:t>不充分，</w:t>
      </w:r>
      <w:r>
        <w:rPr>
          <w:rFonts w:hint="eastAsia" w:ascii="Times New Roman"/>
          <w:szCs w:val="32"/>
        </w:rPr>
        <w:t>传统产业技改提升</w:t>
      </w:r>
      <w:r>
        <w:rPr>
          <w:rFonts w:ascii="Times New Roman"/>
          <w:szCs w:val="32"/>
        </w:rPr>
        <w:t>亟待加快；</w:t>
      </w:r>
      <w:r>
        <w:rPr>
          <w:rFonts w:hint="eastAsia" w:ascii="Times New Roman"/>
          <w:szCs w:val="32"/>
        </w:rPr>
        <w:t>招商引资比较优势不够突出</w:t>
      </w:r>
      <w:r>
        <w:rPr>
          <w:rFonts w:ascii="Times New Roman"/>
          <w:szCs w:val="32"/>
        </w:rPr>
        <w:t>；营商环境还需持续</w:t>
      </w:r>
      <w:r>
        <w:rPr>
          <w:rFonts w:hint="eastAsia" w:ascii="Times New Roman"/>
          <w:szCs w:val="32"/>
        </w:rPr>
        <w:t>改善</w:t>
      </w:r>
      <w:r>
        <w:rPr>
          <w:rFonts w:ascii="Times New Roman"/>
          <w:szCs w:val="32"/>
        </w:rPr>
        <w:t>；教育、医疗、居住、养老等社会民生发展还不平衡。2023年，我们将积极抢抓机遇，采取有力措施，着力改善上述问题。</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黑体"/>
          <w:szCs w:val="32"/>
        </w:rPr>
      </w:pPr>
      <w:r>
        <w:rPr>
          <w:rFonts w:ascii="Times New Roman" w:eastAsia="黑体"/>
          <w:szCs w:val="32"/>
        </w:rPr>
        <w:t>二、2023年经济和社会发展总体思路和预期目标</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黑体"/>
          <w:szCs w:val="32"/>
        </w:rPr>
      </w:pPr>
      <w:r>
        <w:rPr>
          <w:rFonts w:ascii="Times New Roman"/>
          <w:szCs w:val="32"/>
        </w:rPr>
        <w:t>2023年是全面贯彻党的二十大精神的开局之年，是“十四五”规划承前启后的关键之年。按照区委十二届四次全会安排部署，做好全区经济社会发展工作的总体要求是</w:t>
      </w:r>
      <w:r>
        <w:rPr>
          <w:rFonts w:hint="eastAsia" w:ascii="Times New Roman"/>
          <w:szCs w:val="32"/>
        </w:rPr>
        <w:t>：</w:t>
      </w:r>
      <w:r>
        <w:rPr>
          <w:rFonts w:hint="eastAsia" w:ascii="Times New Roman" w:eastAsia="黑体"/>
          <w:szCs w:val="32"/>
        </w:rPr>
        <w:t>以习近平新时代中国特色社会主义思想为指导，全面贯彻党的二十大精神，深入落实习近平总书记来陕考察重要讲话重要指示，坚持稳中求进工作总基调，完整准确全面贯彻新发展理念，更好统筹疫情防控和经济社会发展，更好统筹发展和安全，更好保障与改善民生，主动服务融入中国式现代化西安实践，突出“十措并举”，建设“八个之城”，全面加速世界一流航空新城建设步伐，奋力谱写阎良高质量发展新篇章。</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szCs w:val="32"/>
        </w:rPr>
        <w:t>建议全区经济社会发展的预期目标是：地区生产总值增长7%</w:t>
      </w:r>
      <w:r>
        <w:rPr>
          <w:rFonts w:hint="eastAsia" w:ascii="Times New Roman"/>
          <w:szCs w:val="32"/>
        </w:rPr>
        <w:t>左右</w:t>
      </w:r>
      <w:r>
        <w:rPr>
          <w:rFonts w:ascii="Times New Roman"/>
          <w:szCs w:val="32"/>
        </w:rPr>
        <w:t>；规模以上工业增加值增长</w:t>
      </w:r>
      <w:r>
        <w:rPr>
          <w:rFonts w:hint="eastAsia" w:ascii="Times New Roman"/>
          <w:szCs w:val="32"/>
        </w:rPr>
        <w:t>10</w:t>
      </w:r>
      <w:r>
        <w:rPr>
          <w:rFonts w:ascii="Times New Roman"/>
          <w:szCs w:val="32"/>
        </w:rPr>
        <w:t>%</w:t>
      </w:r>
      <w:r>
        <w:rPr>
          <w:rFonts w:hint="eastAsia" w:ascii="Times New Roman"/>
          <w:szCs w:val="32"/>
        </w:rPr>
        <w:t>以上</w:t>
      </w:r>
      <w:r>
        <w:rPr>
          <w:rFonts w:ascii="Times New Roman"/>
          <w:szCs w:val="32"/>
        </w:rPr>
        <w:t>；固定资产投资增长</w:t>
      </w:r>
      <w:r>
        <w:rPr>
          <w:rFonts w:hint="eastAsia" w:ascii="Times New Roman"/>
          <w:szCs w:val="32"/>
        </w:rPr>
        <w:t>15</w:t>
      </w:r>
      <w:r>
        <w:rPr>
          <w:rFonts w:ascii="Times New Roman"/>
          <w:szCs w:val="32"/>
        </w:rPr>
        <w:t>%</w:t>
      </w:r>
      <w:r>
        <w:rPr>
          <w:rFonts w:hint="eastAsia" w:ascii="Times New Roman"/>
          <w:szCs w:val="32"/>
        </w:rPr>
        <w:t>以上</w:t>
      </w:r>
      <w:r>
        <w:rPr>
          <w:rFonts w:ascii="Times New Roman"/>
          <w:szCs w:val="32"/>
        </w:rPr>
        <w:t>；社会消费品零售总额增长1</w:t>
      </w:r>
      <w:r>
        <w:rPr>
          <w:rFonts w:hint="eastAsia" w:ascii="Times New Roman"/>
          <w:szCs w:val="32"/>
        </w:rPr>
        <w:t>3</w:t>
      </w:r>
      <w:r>
        <w:rPr>
          <w:rFonts w:ascii="Times New Roman"/>
          <w:szCs w:val="32"/>
        </w:rPr>
        <w:t>%</w:t>
      </w:r>
      <w:r>
        <w:rPr>
          <w:rFonts w:hint="eastAsia" w:ascii="Times New Roman"/>
          <w:szCs w:val="32"/>
        </w:rPr>
        <w:t>以上</w:t>
      </w:r>
      <w:r>
        <w:rPr>
          <w:rFonts w:ascii="Times New Roman"/>
          <w:szCs w:val="32"/>
        </w:rPr>
        <w:t>；一般公共预算收入可比增长10%</w:t>
      </w:r>
      <w:r>
        <w:rPr>
          <w:rFonts w:hint="eastAsia" w:ascii="Times New Roman"/>
          <w:szCs w:val="32"/>
        </w:rPr>
        <w:t>以上</w:t>
      </w:r>
      <w:r>
        <w:rPr>
          <w:rFonts w:ascii="Times New Roman"/>
          <w:szCs w:val="32"/>
        </w:rPr>
        <w:t>；</w:t>
      </w:r>
      <w:r>
        <w:rPr>
          <w:rFonts w:hint="eastAsia" w:ascii="Times New Roman"/>
          <w:szCs w:val="32"/>
        </w:rPr>
        <w:t>居民人均可支配收入稳步增长；</w:t>
      </w:r>
      <w:r>
        <w:rPr>
          <w:rFonts w:ascii="Times New Roman"/>
          <w:szCs w:val="32"/>
        </w:rPr>
        <w:t>城镇调查失业率控制在5.5%以内；</w:t>
      </w:r>
      <w:r>
        <w:rPr>
          <w:rFonts w:hint="eastAsia" w:ascii="Times New Roman"/>
          <w:szCs w:val="32"/>
        </w:rPr>
        <w:t>单位GDP能耗控制在市</w:t>
      </w:r>
      <w:r>
        <w:rPr>
          <w:rFonts w:hint="eastAsia" w:ascii="Times New Roman"/>
          <w:szCs w:val="32"/>
          <w:lang w:val="en-US" w:eastAsia="zh-CN"/>
        </w:rPr>
        <w:t>级</w:t>
      </w:r>
      <w:r>
        <w:rPr>
          <w:rFonts w:hint="eastAsia" w:ascii="Times New Roman"/>
          <w:szCs w:val="32"/>
        </w:rPr>
        <w:t>下达目标以内。</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黑体"/>
          <w:szCs w:val="32"/>
        </w:rPr>
      </w:pPr>
      <w:r>
        <w:rPr>
          <w:rFonts w:ascii="Times New Roman" w:eastAsia="黑体"/>
          <w:szCs w:val="32"/>
        </w:rPr>
        <w:t>三、2023年经济和社会发展的主要任务</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楷体_GB2312"/>
          <w:szCs w:val="32"/>
        </w:rPr>
      </w:pPr>
      <w:r>
        <w:rPr>
          <w:rFonts w:ascii="Times New Roman" w:eastAsia="楷体_GB2312"/>
          <w:szCs w:val="32"/>
        </w:rPr>
        <w:t>（一）突出产业转型，优化现代产业体系</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b/>
          <w:bCs/>
          <w:szCs w:val="32"/>
        </w:rPr>
      </w:pPr>
      <w:r>
        <w:rPr>
          <w:rFonts w:ascii="Times New Roman"/>
          <w:b/>
          <w:bCs/>
          <w:szCs w:val="32"/>
        </w:rPr>
        <w:t>建设高水平产业社区。</w:t>
      </w:r>
      <w:r>
        <w:rPr>
          <w:rFonts w:ascii="Times New Roman"/>
          <w:szCs w:val="32"/>
        </w:rPr>
        <w:t>坚持“产业立区”，围绕“三生融合”发展需求，打造高品质产业社区，增强要素聚集力，提升产业竞争力。高标准建设产业空间载体，加快先进制造中心等14个园区建设进度，新建10个园区。推进建管运一体化运作，同步精准招商，加快资源导入。优化金融资本供给，发挥“航科数票”等服务平台支撑作用，多路径拓宽企业融资渠道。强化人力资源协同集聚，完善人才引进、培养、流动、激励机制，建立“1+15+15”招才引智行动清单，培育引进高层次人才和实用储备人才50人。</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推动主导产业突破发展。</w:t>
      </w:r>
      <w:r>
        <w:rPr>
          <w:rFonts w:ascii="Times New Roman"/>
          <w:szCs w:val="32"/>
        </w:rPr>
        <w:t>围绕“航空航天产值翻番”奋斗目标，重点发展航空整机和大部件、工业级无人机研发、高端工业软件等细分产业，构建研发、设计、制造、总装、测试、服务全链条产业体系。聚焦西飞公司等龙头企业产业链需求，引导中小企业精准配套，实现大中小企业融通发展。</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促进先进制造业创新发展。</w:t>
      </w:r>
      <w:r>
        <w:rPr>
          <w:rFonts w:ascii="Times New Roman"/>
          <w:szCs w:val="32"/>
        </w:rPr>
        <w:t>深入实施工业稳链补链强链行动，加速高端装备制造业等集群化发展。按照“市场主导+政府扶持+内生性发展”模式，健全完善“政产学研用投”协同创新机制，新增“三器”示范平台2个，转化科技成果40项，高新技术企业突破150家。加快“小升规”培育，新增规上工业企业10家</w:t>
      </w:r>
      <w:r>
        <w:rPr>
          <w:rFonts w:hint="eastAsia" w:ascii="Times New Roman"/>
          <w:szCs w:val="32"/>
        </w:rPr>
        <w:t>以上</w:t>
      </w:r>
      <w:r>
        <w:rPr>
          <w:rFonts w:ascii="Times New Roman"/>
          <w:szCs w:val="32"/>
        </w:rPr>
        <w:t>，规上先进制造业总产值增长10%以上。</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提升现代服务业竞争力。</w:t>
      </w:r>
      <w:r>
        <w:rPr>
          <w:rFonts w:ascii="Times New Roman"/>
          <w:szCs w:val="32"/>
        </w:rPr>
        <w:t>创新发展先进生产性服务业，推动航空研发、会议会展、科技服务等生产性服务业向专业化和价值链高端延伸。提质发展商务商贸业，依托缤纷城、梦想城等商业综合体，开展高品质城市营销和商业氛围营造活动，</w:t>
      </w:r>
      <w:r>
        <w:rPr>
          <w:rFonts w:hint="eastAsia" w:ascii="Times New Roman"/>
          <w:szCs w:val="32"/>
        </w:rPr>
        <w:t>打造</w:t>
      </w:r>
      <w:r>
        <w:rPr>
          <w:rFonts w:ascii="Times New Roman"/>
          <w:szCs w:val="32"/>
        </w:rPr>
        <w:t>6个特色主题街区，增强商圈消费吸引力。启动三四七区商务区建设，打造集展示、文化、娱乐为一体的商务聚集区。促进文旅深度融合，</w:t>
      </w:r>
      <w:r>
        <w:rPr>
          <w:rFonts w:ascii="Times New Roman"/>
          <w:szCs w:val="32"/>
          <w:lang w:bidi="ar"/>
        </w:rPr>
        <w:t>加强栎阳城遗址保护利用</w:t>
      </w:r>
      <w:r>
        <w:rPr>
          <w:rFonts w:ascii="Times New Roman"/>
          <w:szCs w:val="32"/>
        </w:rPr>
        <w:t>。</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楷体_GB2312"/>
          <w:szCs w:val="32"/>
        </w:rPr>
      </w:pPr>
      <w:r>
        <w:rPr>
          <w:rFonts w:ascii="Times New Roman" w:eastAsia="楷体_GB2312"/>
          <w:szCs w:val="32"/>
        </w:rPr>
        <w:t>（二）坚持扩大内需，加快融入新发展格局</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推动项目建设。</w:t>
      </w:r>
      <w:r>
        <w:rPr>
          <w:rFonts w:ascii="Times New Roman"/>
          <w:szCs w:val="32"/>
        </w:rPr>
        <w:t>树牢“项目为王”的理念，加大力度实施高质量项目攻坚，夯实“五个一”全周期管理机制，确保一季度续建项目实现100%复工、新建项目开工50%以上，三季度前全部开工。建立“1+6+N”服务机制，强化区级领导对项目工作组织领导，完善项目综合调度、服务专员等推进机制，保驾护航重点项目建设，确保1</w:t>
      </w:r>
      <w:r>
        <w:rPr>
          <w:rFonts w:hint="eastAsia" w:ascii="Times New Roman"/>
          <w:szCs w:val="32"/>
        </w:rPr>
        <w:t>4</w:t>
      </w:r>
      <w:r>
        <w:rPr>
          <w:rFonts w:hint="eastAsia" w:ascii="Times New Roman"/>
          <w:szCs w:val="32"/>
          <w:lang w:eastAsia="zh-CN"/>
        </w:rPr>
        <w:t>4</w:t>
      </w:r>
      <w:r>
        <w:rPr>
          <w:rFonts w:ascii="Times New Roman"/>
          <w:szCs w:val="32"/>
        </w:rPr>
        <w:t>个区级重点项目完成投资</w:t>
      </w:r>
      <w:r>
        <w:rPr>
          <w:rFonts w:hint="eastAsia" w:ascii="Times New Roman"/>
          <w:szCs w:val="32"/>
        </w:rPr>
        <w:t>198.52</w:t>
      </w:r>
      <w:r>
        <w:rPr>
          <w:rFonts w:ascii="Times New Roman"/>
          <w:szCs w:val="32"/>
        </w:rPr>
        <w:t>亿元。</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b/>
          <w:bCs/>
          <w:szCs w:val="32"/>
        </w:rPr>
      </w:pPr>
      <w:r>
        <w:rPr>
          <w:rFonts w:ascii="Times New Roman"/>
          <w:b/>
          <w:bCs/>
          <w:szCs w:val="32"/>
        </w:rPr>
        <w:t>扩大有效投资。</w:t>
      </w:r>
      <w:r>
        <w:rPr>
          <w:rFonts w:ascii="Times New Roman"/>
          <w:szCs w:val="32"/>
        </w:rPr>
        <w:t>全面强化稳投资工作机制，建立健全投资运行预调度机制，突出抓好重点领域项目投资，持续加大新型基础设施、现代产业体系等投资力度，结合主导产业和产业功能区定位储备一批重大产业化项目，加快储备项目开工建设。围绕上级政策投向</w:t>
      </w:r>
      <w:r>
        <w:rPr>
          <w:rFonts w:hint="eastAsia" w:ascii="Times New Roman"/>
          <w:szCs w:val="32"/>
        </w:rPr>
        <w:t>和主要领域</w:t>
      </w:r>
      <w:r>
        <w:rPr>
          <w:rFonts w:ascii="Times New Roman"/>
          <w:szCs w:val="32"/>
        </w:rPr>
        <w:t>，抓好地方政府专项债券和一般债券发行。</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b/>
          <w:bCs/>
          <w:szCs w:val="32"/>
        </w:rPr>
      </w:pPr>
      <w:r>
        <w:rPr>
          <w:rFonts w:ascii="Times New Roman"/>
          <w:b/>
          <w:bCs/>
          <w:szCs w:val="32"/>
        </w:rPr>
        <w:t>加快招商引资。</w:t>
      </w:r>
      <w:r>
        <w:rPr>
          <w:rFonts w:ascii="Times New Roman"/>
          <w:szCs w:val="32"/>
        </w:rPr>
        <w:t>坚持投行思维、专业思维、创新思维、服务思维，强化赛道分析精准招商和投资环境营销推广，夯实项目招引和强链补链。聚焦“2+3+2”产业体系，坚持园区建设和招商引资衔接同步，瞄准长三角、珠三角等行业资源富集地区，吸引上海嘉华、麦锡金属等相关上下游产业项目落地，全年招引产业链企业50家以上。通过展会招商、以商招商、中介招商、“云平台”招商等形式，大力实施产业链招商，组织重点产业领域专题推介活动13场以上，全年引进过亿元项目10个，实际引进内资146亿元</w:t>
      </w:r>
      <w:r>
        <w:rPr>
          <w:rFonts w:hint="eastAsia" w:ascii="Times New Roman"/>
          <w:szCs w:val="32"/>
        </w:rPr>
        <w:t>，</w:t>
      </w:r>
      <w:r>
        <w:rPr>
          <w:rFonts w:ascii="Times New Roman"/>
          <w:szCs w:val="32"/>
        </w:rPr>
        <w:t>利用外资1.54亿美元。</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楷体_GB2312"/>
          <w:szCs w:val="32"/>
        </w:rPr>
      </w:pPr>
      <w:r>
        <w:rPr>
          <w:rFonts w:ascii="Times New Roman" w:eastAsia="楷体_GB2312"/>
          <w:szCs w:val="32"/>
        </w:rPr>
        <w:t>（三）聚焦美丽宜居，提升城市建管水平</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拓展提升交通路网。</w:t>
      </w:r>
      <w:r>
        <w:rPr>
          <w:rFonts w:ascii="Times New Roman"/>
          <w:szCs w:val="32"/>
        </w:rPr>
        <w:t>倾力保障西延高铁建设和西禹高速拓宽改造，主动融入西安主城区，积极推进西阎快速路、地铁17号线早日启动实施，加速富阎互联互通道路建设。统筹推进倚天路、公园北街、人民路等9条道路提升改造，</w:t>
      </w:r>
      <w:r>
        <w:rPr>
          <w:rFonts w:hint="eastAsia" w:ascii="Times New Roman"/>
          <w:szCs w:val="32"/>
        </w:rPr>
        <w:t>确保</w:t>
      </w:r>
      <w:r>
        <w:rPr>
          <w:rFonts w:ascii="Times New Roman"/>
          <w:szCs w:val="32"/>
        </w:rPr>
        <w:t>润天路下穿立交、试飞院路东延工程建成</w:t>
      </w:r>
      <w:r>
        <w:rPr>
          <w:rFonts w:hint="eastAsia" w:ascii="Times New Roman"/>
          <w:szCs w:val="32"/>
        </w:rPr>
        <w:t>通车</w:t>
      </w:r>
      <w:r>
        <w:rPr>
          <w:rFonts w:ascii="Times New Roman"/>
          <w:szCs w:val="32"/>
        </w:rPr>
        <w:t>。加快7.41公里电力沟道</w:t>
      </w:r>
      <w:r>
        <w:rPr>
          <w:rFonts w:hint="eastAsia" w:ascii="Times New Roman"/>
          <w:szCs w:val="32"/>
        </w:rPr>
        <w:t>和1</w:t>
      </w:r>
      <w:r>
        <w:rPr>
          <w:rFonts w:ascii="Times New Roman"/>
          <w:szCs w:val="32"/>
        </w:rPr>
        <w:t>10KV</w:t>
      </w:r>
      <w:r>
        <w:rPr>
          <w:rFonts w:hint="eastAsia" w:ascii="Times New Roman"/>
          <w:szCs w:val="32"/>
        </w:rPr>
        <w:t>等变电站</w:t>
      </w:r>
      <w:r>
        <w:rPr>
          <w:rFonts w:ascii="Times New Roman"/>
          <w:szCs w:val="32"/>
        </w:rPr>
        <w:t>建设</w:t>
      </w:r>
      <w:r>
        <w:rPr>
          <w:rFonts w:hint="eastAsia" w:ascii="Times New Roman"/>
          <w:szCs w:val="32"/>
        </w:rPr>
        <w:t>，实施前进路等</w:t>
      </w:r>
      <w:r>
        <w:rPr>
          <w:rFonts w:ascii="Times New Roman"/>
          <w:szCs w:val="32"/>
        </w:rPr>
        <w:t>雨水管网混错接改造。</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深入推进</w:t>
      </w:r>
      <w:r>
        <w:rPr>
          <w:rFonts w:hint="eastAsia" w:ascii="Times New Roman"/>
          <w:b/>
          <w:bCs/>
          <w:szCs w:val="32"/>
        </w:rPr>
        <w:t>城市</w:t>
      </w:r>
      <w:r>
        <w:rPr>
          <w:rFonts w:ascii="Times New Roman"/>
          <w:b/>
          <w:bCs/>
          <w:szCs w:val="32"/>
        </w:rPr>
        <w:t>更新。</w:t>
      </w:r>
      <w:r>
        <w:rPr>
          <w:rFonts w:ascii="Times New Roman"/>
          <w:szCs w:val="32"/>
        </w:rPr>
        <w:t>按照“三区三线”划定成果，完成国土空间规划编制，加快“一城两带”空间布局建设。抓好三四七区、新西等9个安置区建设，确保</w:t>
      </w:r>
      <w:r>
        <w:rPr>
          <w:rFonts w:hint="eastAsia" w:ascii="Times New Roman"/>
          <w:szCs w:val="32"/>
        </w:rPr>
        <w:t>3159</w:t>
      </w:r>
      <w:r>
        <w:rPr>
          <w:rFonts w:ascii="Times New Roman"/>
          <w:szCs w:val="32"/>
        </w:rPr>
        <w:t>户群众年内回迁。持续开展退红拆违增绿工程，绿化提升9条道路</w:t>
      </w:r>
      <w:r>
        <w:rPr>
          <w:rFonts w:hint="eastAsia" w:ascii="Times New Roman"/>
          <w:szCs w:val="32"/>
          <w:lang w:eastAsia="zh-CN"/>
        </w:rPr>
        <w:t>。</w:t>
      </w:r>
      <w:r>
        <w:rPr>
          <w:rFonts w:ascii="Times New Roman"/>
          <w:szCs w:val="32"/>
        </w:rPr>
        <w:t>按照“一中心、双廊道、多节点</w:t>
      </w:r>
      <w:r>
        <w:rPr>
          <w:rFonts w:hint="eastAsia" w:ascii="Times New Roman"/>
          <w:szCs w:val="32"/>
        </w:rPr>
        <w:t>，</w:t>
      </w:r>
      <w:r>
        <w:rPr>
          <w:rFonts w:ascii="Times New Roman"/>
          <w:szCs w:val="32"/>
        </w:rPr>
        <w:t>健身设施全域化”的规划，</w:t>
      </w:r>
      <w:r>
        <w:rPr>
          <w:rFonts w:hint="eastAsia" w:ascii="Times New Roman"/>
          <w:szCs w:val="32"/>
        </w:rPr>
        <w:t>策划建设</w:t>
      </w:r>
      <w:r>
        <w:rPr>
          <w:rFonts w:ascii="Times New Roman"/>
          <w:szCs w:val="32"/>
        </w:rPr>
        <w:t>综合性全民健身中心，建</w:t>
      </w:r>
      <w:r>
        <w:rPr>
          <w:rFonts w:hint="eastAsia" w:ascii="Times New Roman"/>
          <w:szCs w:val="32"/>
        </w:rPr>
        <w:t>成</w:t>
      </w:r>
      <w:r>
        <w:rPr>
          <w:rFonts w:ascii="Times New Roman"/>
          <w:szCs w:val="32"/>
        </w:rPr>
        <w:t>2条绿色运动廊道，</w:t>
      </w:r>
      <w:r>
        <w:rPr>
          <w:rFonts w:hint="eastAsia" w:ascii="Times New Roman"/>
          <w:szCs w:val="32"/>
        </w:rPr>
        <w:t>新建改建一批</w:t>
      </w:r>
      <w:r>
        <w:rPr>
          <w:rFonts w:ascii="Times New Roman"/>
          <w:szCs w:val="32"/>
        </w:rPr>
        <w:t>口袋运动公园</w:t>
      </w:r>
      <w:r>
        <w:rPr>
          <w:rFonts w:hint="eastAsia" w:ascii="Times New Roman"/>
          <w:szCs w:val="32"/>
        </w:rPr>
        <w:t>和</w:t>
      </w:r>
      <w:r>
        <w:rPr>
          <w:rFonts w:ascii="Times New Roman"/>
          <w:szCs w:val="32"/>
        </w:rPr>
        <w:t>球场。</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全面优化管理服务。</w:t>
      </w:r>
      <w:r>
        <w:rPr>
          <w:rFonts w:ascii="Times New Roman"/>
          <w:szCs w:val="32"/>
        </w:rPr>
        <w:t>协调抓好环境营造和服务提升，深入开展园林绿化、市容秩序、环境卫生、垃圾分类提升治理行动，形成共建共治共享城市治理格局。推进基层治理一体化建设，优化网格化服务管理，完善以“块数据”智能底板为基础的社会治理平台，提升城市治理成效，创建省级城乡标准化示范社区。建好用好智慧阎良信息平台，强化基层治理智能技术支撑。持续推进垃圾分类，更新环卫保洁设备，确保全域其他垃圾直运入厂，厨余垃圾收运进厂量达到50%。</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楷体_GB2312"/>
          <w:szCs w:val="32"/>
        </w:rPr>
      </w:pPr>
      <w:r>
        <w:rPr>
          <w:rFonts w:ascii="Times New Roman" w:eastAsia="楷体_GB2312"/>
          <w:szCs w:val="32"/>
        </w:rPr>
        <w:t>（四）加快城乡统筹，全面推进乡村振兴</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推动农业高质发展。</w:t>
      </w:r>
      <w:r>
        <w:rPr>
          <w:rFonts w:ascii="Times New Roman"/>
          <w:szCs w:val="32"/>
        </w:rPr>
        <w:t>落实粮食安全区长责任制，完成高标准农田建设2.3万亩，新建改建设施农业750亩，确保粮食总产量稳定在10万吨以上。大力发展现代农业园区，推进2个省级农业园区扩容提质，积极创建国家级现代农业产业园，加快德瑞牧业智慧养殖基地、秦龙良种奶山羊5G智慧产业园投产使用。持续做优甜瓜、相枣等特色农业品牌，积极认证绿色食品，创建市级以上名牌6个。统筹涉农政策、项目、资金，因地制宜开展全域土地综合整治，盘活农村存量建设用地，强化产业导入，分类、分批、分步实施，推动乡村振兴。</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加强乡村基础建设。</w:t>
      </w:r>
      <w:r>
        <w:rPr>
          <w:rFonts w:ascii="Times New Roman"/>
          <w:szCs w:val="32"/>
        </w:rPr>
        <w:t>加快人居环境整治，建设北冯乡村空间站，建成10个户厕改造示范村、9个“花园乡村”、10个乡村建设示范村，争创国家村庄清洁先进区。促进基础设施城乡一体化发展，开展国家级“四好农村路”示范创建，加快9个乡村振兴有效衔接项目建设，启动农村安全饮水西片区工程（一期）建设，提升天然气入村通气率，加快实施村庄污水处理工程。以基础设施建设、体育场地等重点项目为抓手，加快关山、武屯省级乡村振兴示范镇建设。</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促进农民富足丰收。</w:t>
      </w:r>
      <w:r>
        <w:rPr>
          <w:rFonts w:ascii="Times New Roman"/>
          <w:szCs w:val="32"/>
        </w:rPr>
        <w:t>深入推进国家城乡融合发展试验区建设试点任务，探索推进村集体有偿收回闲置宅基地路径方法，完成年度土地流转面积2000亩以上，</w:t>
      </w:r>
      <w:r>
        <w:rPr>
          <w:rFonts w:hint="eastAsia" w:ascii="Times New Roman"/>
          <w:szCs w:val="32"/>
        </w:rPr>
        <w:t>不断壮大村</w:t>
      </w:r>
      <w:r>
        <w:rPr>
          <w:rFonts w:ascii="Times New Roman"/>
          <w:szCs w:val="32"/>
        </w:rPr>
        <w:t>集体经济。加快羊乳农村产业融合发展示范园建设，形成城乡产业协同发展示范带动作用。激发农村创新创业活力，办好乡村振兴学院，用好三级农技推广服务团队，鼓励发展现代新型经营主体，认定家庭农场不少于10个。</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楷体_GB2312"/>
          <w:szCs w:val="32"/>
        </w:rPr>
      </w:pPr>
      <w:r>
        <w:rPr>
          <w:rFonts w:ascii="Times New Roman" w:eastAsia="楷体_GB2312"/>
          <w:szCs w:val="32"/>
        </w:rPr>
        <w:t>（五）全面深化改革，提升高质量发展活力</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优化营商环境。</w:t>
      </w:r>
      <w:r>
        <w:rPr>
          <w:rFonts w:ascii="Times New Roman"/>
          <w:szCs w:val="32"/>
        </w:rPr>
        <w:t>进一步深化“放管服”改革，围绕市场化、法治化、便利化，打造稳定公平可及营商环境标杆区域。</w:t>
      </w:r>
      <w:r>
        <w:rPr>
          <w:rFonts w:ascii="Times New Roman"/>
        </w:rPr>
        <w:t>以推进政务服务体系标准化建设为抓手，深化“综合窗口”改革、开展“跨省通办、全市通办”，实现政务服务事项100%“最多跑一次”，85%“全程可网办”。全面推行“局长上门制”，深化“一证一业</w:t>
      </w:r>
      <w:r>
        <w:rPr>
          <w:rFonts w:hint="eastAsia" w:ascii="Times New Roman"/>
        </w:rPr>
        <w:t>”“</w:t>
      </w:r>
      <w:r>
        <w:rPr>
          <w:rFonts w:ascii="Times New Roman"/>
          <w:szCs w:val="32"/>
        </w:rPr>
        <w:t>一件事一次办”</w:t>
      </w:r>
      <w:r>
        <w:rPr>
          <w:rFonts w:ascii="Times New Roman"/>
        </w:rPr>
        <w:t>改革，推行更多“极简快办”事项，审批办理时限压缩10%以上。不折不扣落实减税降费政策，</w:t>
      </w:r>
      <w:r>
        <w:rPr>
          <w:rFonts w:hint="eastAsia" w:ascii="Times New Roman"/>
        </w:rPr>
        <w:t>持续激发市场主体活力</w:t>
      </w:r>
      <w:r>
        <w:rPr>
          <w:rFonts w:ascii="Times New Roman"/>
        </w:rPr>
        <w:t>。</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深化央地融合。</w:t>
      </w:r>
      <w:r>
        <w:rPr>
          <w:rFonts w:ascii="Times New Roman"/>
          <w:szCs w:val="32"/>
        </w:rPr>
        <w:t>深化军民协同发展，搭建资源共享平台，形成航空产业融合发展示范，</w:t>
      </w:r>
      <w:r>
        <w:rPr>
          <w:rFonts w:ascii="Times New Roman"/>
          <w:spacing w:val="-6"/>
          <w:szCs w:val="32"/>
        </w:rPr>
        <w:t>争取纳入国家重点区域，全年</w:t>
      </w:r>
      <w:r>
        <w:rPr>
          <w:rFonts w:ascii="Times New Roman"/>
          <w:szCs w:val="32"/>
        </w:rPr>
        <w:t>培育引进军民融合企业15家。全力保障重点型号研制任务和飞机研发生产能力提升等重大项目实施。积极落实省政府与航空工业战略合作协议，携手驻区单位争取重大航空产业项目落户阎良。</w:t>
      </w:r>
      <w:r>
        <w:rPr>
          <w:rFonts w:hint="eastAsia" w:ascii="Times New Roman"/>
          <w:szCs w:val="32"/>
        </w:rPr>
        <w:t>积极</w:t>
      </w:r>
      <w:r>
        <w:rPr>
          <w:rFonts w:ascii="Times New Roman"/>
          <w:szCs w:val="32"/>
        </w:rPr>
        <w:t>举办具有影响力的航空会议、赛事</w:t>
      </w:r>
      <w:r>
        <w:rPr>
          <w:rFonts w:ascii="Times New Roman"/>
          <w:spacing w:val="-6"/>
          <w:szCs w:val="32"/>
        </w:rPr>
        <w:t>，持续推动航空产业创新蓬勃发展。</w:t>
      </w:r>
    </w:p>
    <w:p>
      <w:pPr>
        <w:keepNext w:val="0"/>
        <w:keepLines w:val="0"/>
        <w:pageBreakBefore w:val="0"/>
        <w:widowControl w:val="0"/>
        <w:pBdr>
          <w:bottom w:val="single" w:color="FFFFFF" w:sz="4" w:space="31"/>
        </w:pBdr>
        <w:kinsoku/>
        <w:wordWrap/>
        <w:overflowPunct/>
        <w:topLinePunct w:val="0"/>
        <w:autoSpaceDE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强化区域协作。</w:t>
      </w:r>
      <w:r>
        <w:rPr>
          <w:rFonts w:ascii="Times New Roman"/>
          <w:szCs w:val="32"/>
        </w:rPr>
        <w:t>持续深化“区政合一”改革，推行“管委会+平台公司+产业园区”发展模式，加快人事管理和考核机制改革，全面激活开发区经济发展新动能。主动融入西安都市圈建设和西渭融合</w:t>
      </w:r>
      <w:r>
        <w:rPr>
          <w:rFonts w:hint="eastAsia" w:ascii="Times New Roman"/>
          <w:szCs w:val="32"/>
        </w:rPr>
        <w:t>发展工作</w:t>
      </w:r>
      <w:r>
        <w:rPr>
          <w:rFonts w:ascii="Times New Roman"/>
          <w:szCs w:val="32"/>
        </w:rPr>
        <w:t>，紧抓</w:t>
      </w:r>
      <w:r>
        <w:rPr>
          <w:rFonts w:hint="eastAsia" w:ascii="Times New Roman"/>
          <w:szCs w:val="32"/>
        </w:rPr>
        <w:t>大西安“</w:t>
      </w:r>
      <w:r>
        <w:rPr>
          <w:rFonts w:ascii="Times New Roman"/>
          <w:szCs w:val="32"/>
        </w:rPr>
        <w:t>北跨</w:t>
      </w:r>
      <w:r>
        <w:rPr>
          <w:rFonts w:hint="eastAsia" w:ascii="Times New Roman"/>
          <w:szCs w:val="32"/>
        </w:rPr>
        <w:t>”</w:t>
      </w:r>
      <w:r>
        <w:rPr>
          <w:rFonts w:ascii="Times New Roman"/>
          <w:szCs w:val="32"/>
        </w:rPr>
        <w:t>发展战略机遇，加快推进富阎新区阎良产业带建设，加速两地基础设施联通。坚持“四区联动”，强化资源共享、信息互通、项目互荐，形成融合紧密、协同发展的良好格局。</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eastAsia="楷体_GB2312"/>
          <w:szCs w:val="32"/>
        </w:rPr>
        <w:t>（六）聚焦绿色发展，推进生态阎良建设</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做好大气污染防治。</w:t>
      </w:r>
      <w:r>
        <w:rPr>
          <w:rFonts w:ascii="Times New Roman"/>
          <w:szCs w:val="32"/>
        </w:rPr>
        <w:t>坚持铁腕治霾、科学治霾、协同治霾，全面管控面源污染，持续巩固散煤治理成效，扎实开展挥发性有机物、秸秆禁烧等专项整治活动，加快推进能源结构、产业结构、交通运输结构优化调整，整体提升污染防治水平</w:t>
      </w:r>
      <w:r>
        <w:rPr>
          <w:rFonts w:hint="eastAsia" w:ascii="Times New Roman"/>
          <w:szCs w:val="32"/>
          <w:shd w:val="clear" w:color="auto" w:fill="FFFFFF"/>
        </w:rPr>
        <w:t>，</w:t>
      </w:r>
      <w:r>
        <w:rPr>
          <w:rFonts w:hint="eastAsia" w:ascii="Times New Roman"/>
          <w:szCs w:val="32"/>
        </w:rPr>
        <w:t>确保PM2.5、PM10和全年空气优良天数实现“两降一增”</w:t>
      </w:r>
      <w:r>
        <w:rPr>
          <w:rFonts w:ascii="Times New Roman"/>
          <w:szCs w:val="32"/>
        </w:rPr>
        <w:t>。</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开展水环境问题整治。</w:t>
      </w:r>
      <w:r>
        <w:rPr>
          <w:rFonts w:ascii="Times New Roman"/>
          <w:kern w:val="0"/>
          <w:szCs w:val="32"/>
          <w:lang w:bidi="ar"/>
        </w:rPr>
        <w:t>深入落实黄河流域生态保护和高质量发展战略，加快“两河”综合治理。开展水环境问题整治，加强城市生活污水、污泥处理监管能力，基本做到日产日清。扩大再生水产能，城市再生水利用率达到30%以上。常态化开展入河排水口整治，确保“两河”出境断面水质持续稳定达标。</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楷体_GB2312"/>
          <w:szCs w:val="32"/>
        </w:rPr>
      </w:pPr>
      <w:r>
        <w:rPr>
          <w:rFonts w:ascii="Times New Roman"/>
          <w:b/>
          <w:bCs/>
          <w:szCs w:val="32"/>
        </w:rPr>
        <w:t>促进绿色低碳发展。</w:t>
      </w:r>
      <w:r>
        <w:rPr>
          <w:rFonts w:ascii="Times New Roman"/>
          <w:kern w:val="0"/>
          <w:szCs w:val="32"/>
          <w:lang w:bidi="ar"/>
        </w:rPr>
        <w:t>抢抓“双碳”市场机遇，大力发展绿色产业，倡导绿色出行、绿色消费等低碳生活方式。严控“两高”项目，确保完成年度节能双控目标任务。大力推广新能源汽车及充电桩配套建设，建成</w:t>
      </w:r>
      <w:r>
        <w:rPr>
          <w:rFonts w:hint="eastAsia" w:ascii="Times New Roman"/>
          <w:kern w:val="0"/>
          <w:szCs w:val="32"/>
          <w:lang w:bidi="ar"/>
        </w:rPr>
        <w:t>一批</w:t>
      </w:r>
      <w:r>
        <w:rPr>
          <w:rFonts w:ascii="Times New Roman"/>
          <w:kern w:val="0"/>
          <w:szCs w:val="32"/>
          <w:lang w:bidi="ar"/>
        </w:rPr>
        <w:t>集中式充电场</w:t>
      </w:r>
      <w:r>
        <w:rPr>
          <w:rFonts w:hint="eastAsia" w:ascii="Times New Roman"/>
          <w:kern w:val="0"/>
          <w:szCs w:val="32"/>
          <w:lang w:bidi="ar"/>
        </w:rPr>
        <w:t>和</w:t>
      </w:r>
      <w:r>
        <w:rPr>
          <w:rFonts w:ascii="Times New Roman"/>
          <w:kern w:val="0"/>
          <w:szCs w:val="32"/>
          <w:lang w:bidi="ar"/>
        </w:rPr>
        <w:t>充电桩。推动建筑节能与绿色建筑发展，城镇新建民用建筑中绿色建筑占比达到80%以上，城镇新建建筑中装配式建筑占比不低于40%。</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eastAsia="楷体_GB2312"/>
          <w:szCs w:val="32"/>
        </w:rPr>
      </w:pPr>
      <w:r>
        <w:rPr>
          <w:rFonts w:ascii="Times New Roman" w:eastAsia="楷体_GB2312"/>
          <w:szCs w:val="32"/>
        </w:rPr>
        <w:t>（七）增进民生福祉，提高人民生活品质</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办好人民满意教育。</w:t>
      </w:r>
      <w:r>
        <w:rPr>
          <w:rFonts w:ascii="Times New Roman"/>
          <w:szCs w:val="32"/>
        </w:rPr>
        <w:t>统筹优质均衡与特色发展，成功创建国家义务教育优质均衡发展区。深化中小学课程教学改革，扩大公办和普惠性学前教育资源供给，新建小学、幼儿园3所，新增学位3870个。大力实施高中基础保障条件提升工程，稳妥推进高考综合改革。提高区职教中心专业建设能力，深化与高等院校合作办学，着力打造品牌专业。持续巩固“双减”成果，强化学校教育主阵地，加大校外培训机构监管。扎实推进“三名+”工程，持续优化教师队伍结构，招聘骨干教师85名。</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推进健康阎良建设。</w:t>
      </w:r>
      <w:r>
        <w:rPr>
          <w:rFonts w:ascii="Times New Roman"/>
          <w:szCs w:val="32"/>
        </w:rPr>
        <w:t>持续推进医药卫生体制改革，全面提升公共卫生服务能力，完善公共卫生应急管理体系和紧急医学救援体系。有序推进新冠肺炎“乙类乙管”各项措施，深入推进医共体建设，持续推动优质医疗资源扩容下沉。强化卫生人才队伍建设，加快中医医院一期投用，启动二期建设。持续开展社区医院创建，提高社区医疗服务软硬件水平。营造全民健身氛围，</w:t>
      </w:r>
      <w:r>
        <w:rPr>
          <w:rFonts w:hint="eastAsia" w:ascii="Times New Roman"/>
          <w:szCs w:val="32"/>
        </w:rPr>
        <w:t>策划</w:t>
      </w:r>
      <w:r>
        <w:rPr>
          <w:rFonts w:ascii="Times New Roman"/>
          <w:szCs w:val="32"/>
        </w:rPr>
        <w:t>举办</w:t>
      </w:r>
      <w:r>
        <w:rPr>
          <w:rFonts w:hint="eastAsia" w:ascii="Times New Roman"/>
          <w:szCs w:val="32"/>
        </w:rPr>
        <w:t>形式多样的群众性</w:t>
      </w:r>
      <w:r>
        <w:rPr>
          <w:rFonts w:ascii="Times New Roman"/>
          <w:szCs w:val="32"/>
        </w:rPr>
        <w:t>文体活动。</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kern w:val="0"/>
          <w:sz w:val="31"/>
          <w:szCs w:val="31"/>
          <w:lang w:bidi="ar"/>
        </w:rPr>
      </w:pPr>
      <w:r>
        <w:rPr>
          <w:rFonts w:ascii="Times New Roman"/>
          <w:b/>
          <w:bCs/>
          <w:szCs w:val="32"/>
        </w:rPr>
        <w:t>持续加强社会保障。</w:t>
      </w:r>
      <w:r>
        <w:rPr>
          <w:rFonts w:ascii="Times New Roman"/>
          <w:szCs w:val="32"/>
        </w:rPr>
        <w:t>优先保障就业，</w:t>
      </w:r>
      <w:r>
        <w:rPr>
          <w:rFonts w:hint="eastAsia" w:ascii="Times New Roman"/>
          <w:szCs w:val="32"/>
          <w:lang w:val="en-US" w:eastAsia="zh-CN"/>
        </w:rPr>
        <w:t>用好“猫头英”“秦云就业”等招聘平台</w:t>
      </w:r>
      <w:r>
        <w:rPr>
          <w:rFonts w:ascii="Times New Roman"/>
          <w:szCs w:val="32"/>
        </w:rPr>
        <w:t>，实现城镇新增就业4000人。加大创业扶持力度，全年发放创业担保贷款4900万元。加大人才安居支持力度，启动建设企业公寓2000套</w:t>
      </w:r>
      <w:r>
        <w:rPr>
          <w:rFonts w:hint="eastAsia" w:ascii="Times New Roman"/>
          <w:szCs w:val="32"/>
        </w:rPr>
        <w:t>、</w:t>
      </w:r>
      <w:r>
        <w:rPr>
          <w:rFonts w:ascii="Times New Roman"/>
          <w:szCs w:val="32"/>
        </w:rPr>
        <w:t>人才公寓1200套</w:t>
      </w:r>
      <w:r>
        <w:rPr>
          <w:rFonts w:hint="eastAsia" w:ascii="Times New Roman"/>
          <w:szCs w:val="32"/>
        </w:rPr>
        <w:t>、</w:t>
      </w:r>
      <w:r>
        <w:rPr>
          <w:rFonts w:ascii="Times New Roman"/>
          <w:szCs w:val="32"/>
        </w:rPr>
        <w:t>专家公寓600套。创建“省级双拥模范城”，聚焦“一老一小”和特殊群体强化救助关爱。实施“三医”联动，有序开通跨省异地结算，保障好群众就医用药。深化医养结合老年健康服务发展，新建改扩建养老院2个、社区养老服务站4个。发展多形式婴幼儿照护服务，加强未成年人保护。</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b/>
          <w:bCs/>
          <w:szCs w:val="32"/>
        </w:rPr>
        <w:t>提高社会治理能力。</w:t>
      </w:r>
      <w:r>
        <w:rPr>
          <w:rFonts w:ascii="Times New Roman"/>
          <w:szCs w:val="32"/>
        </w:rPr>
        <w:t>加强城市安全风险防控，深入开展安全生产专项整治行动。加快推进应急基础建设，</w:t>
      </w:r>
      <w:r>
        <w:rPr>
          <w:rFonts w:hint="eastAsia" w:ascii="Times New Roman"/>
          <w:szCs w:val="32"/>
          <w:lang w:val="en-US" w:eastAsia="zh-CN"/>
        </w:rPr>
        <w:t>配强区消防站设备</w:t>
      </w:r>
      <w:r>
        <w:rPr>
          <w:rFonts w:ascii="Times New Roman"/>
          <w:szCs w:val="32"/>
        </w:rPr>
        <w:t>，提高重大突发公共事件处置保障能力。抓实抓细重点场所食药品安全监管，全力保障食药品安全。深化平安阎良建设，营造和谐稳定社会环境。有序做好重大风险防控，加强金融、政府债务等风险防范化解，促进房地产市场平稳健康发展。规范信访事项办理流程，集中力量化解重点领域信访突出问题，全面提升信访工作水平。强化社会治理整体防控，常态化推进扫黑除恶，打击各类违法犯罪，切实增强群众安全感。</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ascii="Times New Roman"/>
          <w:szCs w:val="32"/>
        </w:rPr>
        <w:t>各位代表，新阶段赋予新使命，新征程呼唤新作为。我们将更加紧密</w:t>
      </w:r>
      <w:r>
        <w:rPr>
          <w:rFonts w:hint="eastAsia" w:ascii="Times New Roman"/>
          <w:szCs w:val="32"/>
          <w:lang w:val="en-US" w:eastAsia="zh-CN"/>
        </w:rPr>
        <w:t>地</w:t>
      </w:r>
      <w:r>
        <w:rPr>
          <w:rFonts w:ascii="Times New Roman"/>
          <w:szCs w:val="32"/>
        </w:rPr>
        <w:t>团结在以习近平同志为核心的党中央周围，在市委市政府和区委的正确领导下，自觉接受区人大的监督指导，虚心听取区政协的意见建议，以锐意进取、永不懈怠的精神状态，以改革创新、勇往直前的奋斗姿态，统筹推进疫情防控和经济社会发展，努力完成全年经济社会发展目标任务，为建设世界一流航空新城努力奋斗。</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632" w:firstLineChars="200"/>
        <w:textAlignment w:val="auto"/>
        <w:rPr>
          <w:rFonts w:ascii="Times New Roman"/>
          <w:szCs w:val="32"/>
        </w:rPr>
      </w:pPr>
      <w:r>
        <w:rPr>
          <w:rFonts w:hint="eastAsia" w:ascii="Times New Roman"/>
          <w:szCs w:val="32"/>
        </w:rPr>
        <w:t>附件：1.阎良区2023年国民经济和社会发展计划主要指标（草</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1675" w:firstLineChars="530"/>
        <w:textAlignment w:val="auto"/>
        <w:rPr>
          <w:rFonts w:ascii="Times New Roman"/>
          <w:szCs w:val="32"/>
        </w:rPr>
      </w:pPr>
      <w:r>
        <w:rPr>
          <w:rFonts w:hint="eastAsia" w:ascii="Times New Roman"/>
          <w:szCs w:val="32"/>
        </w:rPr>
        <w:t>案）</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1482" w:firstLineChars="469"/>
        <w:textAlignment w:val="auto"/>
        <w:rPr>
          <w:rFonts w:ascii="Times New Roman"/>
          <w:szCs w:val="32"/>
        </w:rPr>
      </w:pPr>
      <w:r>
        <w:rPr>
          <w:rFonts w:hint="eastAsia" w:ascii="Times New Roman"/>
          <w:szCs w:val="32"/>
        </w:rPr>
        <w:t>2.阎良区（航空基地）2022年重点建设项目计划执行</w:t>
      </w:r>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1707" w:firstLineChars="540"/>
        <w:textAlignment w:val="auto"/>
        <w:rPr>
          <w:rFonts w:ascii="Times New Roman"/>
          <w:szCs w:val="32"/>
        </w:rPr>
      </w:pPr>
      <w:r>
        <w:rPr>
          <w:rFonts w:hint="eastAsia" w:ascii="Times New Roman"/>
          <w:szCs w:val="32"/>
        </w:rPr>
        <w:t>情况与2023年重点建设项目计划（草案）报告</w:t>
      </w:r>
      <w:bookmarkStart w:id="0" w:name="_Toc21642"/>
    </w:p>
    <w:p>
      <w:pPr>
        <w:keepNext w:val="0"/>
        <w:keepLines w:val="0"/>
        <w:pageBreakBefore w:val="0"/>
        <w:widowControl w:val="0"/>
        <w:pBdr>
          <w:bottom w:val="single" w:color="FFFFFF" w:sz="4" w:space="31"/>
        </w:pBdr>
        <w:kinsoku/>
        <w:wordWrap/>
        <w:overflowPunct/>
        <w:topLinePunct w:val="0"/>
        <w:autoSpaceDN/>
        <w:bidi w:val="0"/>
        <w:adjustRightInd/>
        <w:snapToGrid w:val="0"/>
        <w:spacing w:line="578" w:lineRule="exact"/>
        <w:ind w:firstLine="1707" w:firstLineChars="540"/>
        <w:textAlignment w:val="auto"/>
        <w:rPr>
          <w:rFonts w:ascii="Times New Roman"/>
          <w:szCs w:val="32"/>
        </w:rPr>
        <w:sectPr>
          <w:headerReference r:id="rId3" w:type="default"/>
          <w:pgSz w:w="11906" w:h="16838"/>
          <w:pgMar w:top="1984" w:right="1474" w:bottom="1814" w:left="1587" w:header="851" w:footer="1474" w:gutter="0"/>
          <w:cols w:space="0" w:num="1"/>
          <w:rtlGutter w:val="0"/>
          <w:docGrid w:type="linesAndChars" w:linePitch="579" w:charSpace="-849"/>
        </w:sectPr>
      </w:pPr>
    </w:p>
    <w:p>
      <w:pPr>
        <w:pBdr>
          <w:bottom w:val="single" w:color="FFFFFF" w:sz="4" w:space="31"/>
        </w:pBdr>
        <w:snapToGrid w:val="0"/>
        <w:spacing w:line="576" w:lineRule="exact"/>
        <w:rPr>
          <w:rFonts w:ascii="Times New Roman" w:eastAsia="黑体"/>
          <w:szCs w:val="32"/>
        </w:rPr>
      </w:pPr>
      <w:r>
        <w:rPr>
          <w:rFonts w:hint="eastAsia" w:ascii="黑体" w:hAnsi="黑体" w:eastAsia="黑体"/>
          <w:szCs w:val="32"/>
        </w:rPr>
        <w:t>附件</w:t>
      </w:r>
      <w:r>
        <w:rPr>
          <w:rFonts w:ascii="Times New Roman" w:eastAsia="黑体"/>
          <w:szCs w:val="32"/>
        </w:rPr>
        <w:t>1</w:t>
      </w:r>
      <w:bookmarkEnd w:id="0"/>
    </w:p>
    <w:p>
      <w:pPr>
        <w:pBdr>
          <w:bottom w:val="single" w:color="FFFFFF" w:sz="4" w:space="31"/>
        </w:pBdr>
        <w:snapToGrid w:val="0"/>
        <w:spacing w:line="576" w:lineRule="exact"/>
        <w:jc w:val="center"/>
        <w:rPr>
          <w:rFonts w:ascii="方正小标宋简体" w:hAnsi="方正小标宋简体" w:eastAsia="方正小标宋简体"/>
          <w:sz w:val="36"/>
          <w:szCs w:val="36"/>
        </w:rPr>
      </w:pPr>
    </w:p>
    <w:p>
      <w:pPr>
        <w:pBdr>
          <w:bottom w:val="single" w:color="FFFFFF" w:sz="4" w:space="31"/>
        </w:pBdr>
        <w:snapToGrid w:val="0"/>
        <w:spacing w:line="576"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阎良区2023年国民经济和社会发展计划主要指标</w:t>
      </w:r>
      <w:r>
        <w:rPr>
          <w:rFonts w:eastAsia="方正小标宋简体"/>
          <w:sz w:val="36"/>
          <w:szCs w:val="36"/>
        </w:rPr>
        <w:t>（草案）</w:t>
      </w:r>
    </w:p>
    <w:tbl>
      <w:tblPr>
        <w:tblStyle w:val="1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3"/>
        <w:gridCol w:w="1155"/>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jc w:val="center"/>
              <w:rPr>
                <w:rFonts w:ascii="Times New Roman" w:eastAsiaTheme="minorEastAsia"/>
                <w:b/>
                <w:bCs/>
                <w:sz w:val="28"/>
                <w:szCs w:val="28"/>
              </w:rPr>
            </w:pPr>
            <w:r>
              <w:rPr>
                <w:rFonts w:ascii="Times New Roman" w:eastAsiaTheme="minorEastAsia"/>
                <w:b/>
                <w:bCs/>
                <w:sz w:val="28"/>
                <w:szCs w:val="28"/>
              </w:rPr>
              <w:t>指标名称</w:t>
            </w:r>
          </w:p>
        </w:tc>
        <w:tc>
          <w:tcPr>
            <w:tcW w:w="1155" w:type="dxa"/>
            <w:vAlign w:val="center"/>
          </w:tcPr>
          <w:p>
            <w:pPr>
              <w:spacing w:line="440" w:lineRule="exact"/>
              <w:jc w:val="center"/>
              <w:rPr>
                <w:rFonts w:ascii="Times New Roman" w:eastAsiaTheme="minorEastAsia"/>
                <w:b/>
                <w:bCs/>
                <w:sz w:val="28"/>
                <w:szCs w:val="28"/>
              </w:rPr>
            </w:pPr>
            <w:r>
              <w:rPr>
                <w:rFonts w:ascii="Times New Roman" w:eastAsiaTheme="minorEastAsia"/>
                <w:b/>
                <w:bCs/>
                <w:sz w:val="28"/>
                <w:szCs w:val="28"/>
              </w:rPr>
              <w:t>单位</w:t>
            </w:r>
          </w:p>
        </w:tc>
        <w:tc>
          <w:tcPr>
            <w:tcW w:w="3506" w:type="dxa"/>
            <w:vAlign w:val="center"/>
          </w:tcPr>
          <w:p>
            <w:pPr>
              <w:spacing w:line="440" w:lineRule="exact"/>
              <w:jc w:val="center"/>
              <w:rPr>
                <w:rFonts w:ascii="Times New Roman" w:eastAsiaTheme="minorEastAsia"/>
                <w:b/>
                <w:bCs/>
                <w:sz w:val="28"/>
                <w:szCs w:val="28"/>
              </w:rPr>
            </w:pPr>
            <w:r>
              <w:rPr>
                <w:rFonts w:ascii="Times New Roman" w:eastAsiaTheme="minorEastAsia"/>
                <w:b/>
                <w:bCs/>
                <w:sz w:val="28"/>
                <w:szCs w:val="28"/>
              </w:rPr>
              <w:t>2023年计划目标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ind w:left="79" w:leftChars="25"/>
              <w:jc w:val="left"/>
              <w:rPr>
                <w:rFonts w:ascii="Times New Roman" w:eastAsiaTheme="minorEastAsia"/>
                <w:sz w:val="28"/>
                <w:szCs w:val="28"/>
              </w:rPr>
            </w:pPr>
            <w:r>
              <w:rPr>
                <w:rFonts w:ascii="Times New Roman" w:eastAsiaTheme="minorEastAsia"/>
                <w:sz w:val="28"/>
                <w:szCs w:val="28"/>
              </w:rPr>
              <w:t>一、生产总值</w:t>
            </w:r>
          </w:p>
        </w:tc>
        <w:tc>
          <w:tcPr>
            <w:tcW w:w="1155"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w:t>
            </w:r>
          </w:p>
        </w:tc>
        <w:tc>
          <w:tcPr>
            <w:tcW w:w="3506"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7</w:t>
            </w:r>
            <w:r>
              <w:rPr>
                <w:rFonts w:hint="eastAsia" w:ascii="Times New Roman" w:eastAsiaTheme="minorEastAsia"/>
                <w:sz w:val="28"/>
                <w:szCs w:val="28"/>
              </w:rPr>
              <w:t>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ind w:left="79" w:leftChars="25"/>
              <w:jc w:val="left"/>
              <w:rPr>
                <w:rFonts w:ascii="Times New Roman" w:eastAsiaTheme="minorEastAsia"/>
                <w:sz w:val="28"/>
                <w:szCs w:val="28"/>
              </w:rPr>
            </w:pPr>
            <w:r>
              <w:rPr>
                <w:rFonts w:ascii="Times New Roman" w:eastAsiaTheme="minorEastAsia"/>
                <w:sz w:val="28"/>
                <w:szCs w:val="28"/>
              </w:rPr>
              <w:t>二、规模以上工业增加值</w:t>
            </w:r>
          </w:p>
        </w:tc>
        <w:tc>
          <w:tcPr>
            <w:tcW w:w="1155"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w:t>
            </w:r>
          </w:p>
        </w:tc>
        <w:tc>
          <w:tcPr>
            <w:tcW w:w="3506"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10</w:t>
            </w:r>
            <w:r>
              <w:rPr>
                <w:rFonts w:hint="eastAsia" w:ascii="Times New Roman" w:eastAsiaTheme="minorEastAsia"/>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ind w:left="79" w:leftChars="25"/>
              <w:jc w:val="left"/>
              <w:rPr>
                <w:rFonts w:ascii="Times New Roman" w:eastAsiaTheme="minorEastAsia"/>
                <w:sz w:val="28"/>
                <w:szCs w:val="28"/>
              </w:rPr>
            </w:pPr>
            <w:r>
              <w:rPr>
                <w:rFonts w:ascii="Times New Roman" w:eastAsiaTheme="minorEastAsia"/>
                <w:sz w:val="28"/>
                <w:szCs w:val="28"/>
              </w:rPr>
              <w:t>三、固定资产投资</w:t>
            </w:r>
          </w:p>
        </w:tc>
        <w:tc>
          <w:tcPr>
            <w:tcW w:w="1155"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w:t>
            </w:r>
          </w:p>
        </w:tc>
        <w:tc>
          <w:tcPr>
            <w:tcW w:w="3506"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15</w:t>
            </w:r>
            <w:r>
              <w:rPr>
                <w:rFonts w:hint="eastAsia" w:ascii="Times New Roman" w:eastAsiaTheme="minorEastAsia"/>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ind w:left="79" w:leftChars="25"/>
              <w:jc w:val="left"/>
              <w:rPr>
                <w:rFonts w:ascii="Times New Roman" w:eastAsiaTheme="minorEastAsia"/>
                <w:sz w:val="28"/>
                <w:szCs w:val="28"/>
              </w:rPr>
            </w:pPr>
            <w:r>
              <w:rPr>
                <w:rFonts w:ascii="Times New Roman" w:eastAsiaTheme="minorEastAsia"/>
                <w:sz w:val="28"/>
                <w:szCs w:val="28"/>
              </w:rPr>
              <w:t>四、社会消费品零售总额</w:t>
            </w:r>
          </w:p>
        </w:tc>
        <w:tc>
          <w:tcPr>
            <w:tcW w:w="1155"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w:t>
            </w:r>
          </w:p>
        </w:tc>
        <w:tc>
          <w:tcPr>
            <w:tcW w:w="3506"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13</w:t>
            </w:r>
            <w:r>
              <w:rPr>
                <w:rFonts w:hint="eastAsia" w:ascii="Times New Roman" w:eastAsiaTheme="minorEastAsia"/>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ind w:left="79" w:leftChars="25"/>
              <w:jc w:val="left"/>
              <w:rPr>
                <w:rFonts w:ascii="Times New Roman" w:eastAsiaTheme="minorEastAsia"/>
                <w:sz w:val="28"/>
                <w:szCs w:val="28"/>
              </w:rPr>
            </w:pPr>
            <w:r>
              <w:rPr>
                <w:rFonts w:ascii="Times New Roman" w:eastAsiaTheme="minorEastAsia"/>
                <w:sz w:val="28"/>
                <w:szCs w:val="28"/>
              </w:rPr>
              <w:t>五、一般公共预算收入</w:t>
            </w:r>
          </w:p>
        </w:tc>
        <w:tc>
          <w:tcPr>
            <w:tcW w:w="1155"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w:t>
            </w:r>
          </w:p>
        </w:tc>
        <w:tc>
          <w:tcPr>
            <w:tcW w:w="3506"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可比增长10</w:t>
            </w:r>
            <w:r>
              <w:rPr>
                <w:rFonts w:hint="eastAsia" w:ascii="Times New Roman" w:eastAsiaTheme="minorEastAsia"/>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ind w:left="79" w:leftChars="25"/>
              <w:jc w:val="left"/>
              <w:rPr>
                <w:rFonts w:ascii="Times New Roman" w:eastAsiaTheme="minorEastAsia"/>
                <w:sz w:val="28"/>
                <w:szCs w:val="28"/>
              </w:rPr>
            </w:pPr>
            <w:r>
              <w:rPr>
                <w:rFonts w:ascii="Times New Roman" w:eastAsiaTheme="minorEastAsia"/>
                <w:sz w:val="28"/>
                <w:szCs w:val="28"/>
              </w:rPr>
              <w:t>六、居民人均可支配收入</w:t>
            </w:r>
          </w:p>
        </w:tc>
        <w:tc>
          <w:tcPr>
            <w:tcW w:w="1155"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w:t>
            </w:r>
          </w:p>
        </w:tc>
        <w:tc>
          <w:tcPr>
            <w:tcW w:w="3506"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稳步增长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ind w:left="79" w:leftChars="25"/>
              <w:jc w:val="left"/>
              <w:rPr>
                <w:rFonts w:ascii="Times New Roman" w:eastAsiaTheme="minorEastAsia"/>
                <w:sz w:val="28"/>
                <w:szCs w:val="28"/>
              </w:rPr>
            </w:pPr>
            <w:r>
              <w:rPr>
                <w:rFonts w:hint="eastAsia" w:ascii="Times New Roman" w:eastAsiaTheme="minorEastAsia"/>
                <w:sz w:val="28"/>
                <w:szCs w:val="28"/>
              </w:rPr>
              <w:t>七</w:t>
            </w:r>
            <w:r>
              <w:rPr>
                <w:rFonts w:ascii="Times New Roman" w:eastAsiaTheme="minorEastAsia"/>
                <w:sz w:val="28"/>
                <w:szCs w:val="28"/>
              </w:rPr>
              <w:t>、城镇调查失业率</w:t>
            </w:r>
          </w:p>
        </w:tc>
        <w:tc>
          <w:tcPr>
            <w:tcW w:w="1155"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w:t>
            </w:r>
          </w:p>
        </w:tc>
        <w:tc>
          <w:tcPr>
            <w:tcW w:w="3506"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5.5以内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93" w:type="dxa"/>
            <w:vAlign w:val="center"/>
          </w:tcPr>
          <w:p>
            <w:pPr>
              <w:spacing w:line="440" w:lineRule="exact"/>
              <w:ind w:left="79" w:leftChars="25"/>
              <w:jc w:val="left"/>
              <w:rPr>
                <w:rFonts w:ascii="Times New Roman" w:eastAsiaTheme="minorEastAsia"/>
                <w:sz w:val="28"/>
                <w:szCs w:val="28"/>
              </w:rPr>
            </w:pPr>
            <w:r>
              <w:rPr>
                <w:rFonts w:ascii="Times New Roman" w:eastAsiaTheme="minorEastAsia"/>
                <w:sz w:val="28"/>
                <w:szCs w:val="28"/>
              </w:rPr>
              <w:t>八、单位GDP能耗降低</w:t>
            </w:r>
          </w:p>
        </w:tc>
        <w:tc>
          <w:tcPr>
            <w:tcW w:w="1155" w:type="dxa"/>
            <w:vAlign w:val="center"/>
          </w:tcPr>
          <w:p>
            <w:pPr>
              <w:spacing w:line="440" w:lineRule="exact"/>
              <w:jc w:val="center"/>
              <w:rPr>
                <w:rFonts w:ascii="Times New Roman" w:eastAsiaTheme="minorEastAsia"/>
                <w:sz w:val="28"/>
                <w:szCs w:val="28"/>
              </w:rPr>
            </w:pPr>
            <w:r>
              <w:rPr>
                <w:rFonts w:ascii="Times New Roman" w:eastAsiaTheme="minorEastAsia"/>
                <w:sz w:val="28"/>
                <w:szCs w:val="28"/>
              </w:rPr>
              <w:t>%</w:t>
            </w:r>
          </w:p>
        </w:tc>
        <w:tc>
          <w:tcPr>
            <w:tcW w:w="3506" w:type="dxa"/>
            <w:vAlign w:val="center"/>
          </w:tcPr>
          <w:p>
            <w:pPr>
              <w:spacing w:line="440" w:lineRule="exact"/>
              <w:jc w:val="center"/>
              <w:rPr>
                <w:rFonts w:ascii="Times New Roman" w:eastAsiaTheme="minorEastAsia"/>
                <w:sz w:val="28"/>
                <w:szCs w:val="28"/>
              </w:rPr>
            </w:pPr>
            <w:bookmarkStart w:id="1" w:name="_GoBack"/>
            <w:r>
              <w:rPr>
                <w:rFonts w:hint="eastAsia" w:ascii="Times New Roman" w:eastAsiaTheme="minorEastAsia"/>
                <w:sz w:val="28"/>
                <w:szCs w:val="28"/>
              </w:rPr>
              <w:t>控制在市</w:t>
            </w:r>
            <w:r>
              <w:rPr>
                <w:rFonts w:hint="eastAsia" w:ascii="Times New Roman" w:eastAsiaTheme="minorEastAsia"/>
                <w:sz w:val="28"/>
                <w:szCs w:val="28"/>
                <w:lang w:val="en-US" w:eastAsia="zh-CN"/>
              </w:rPr>
              <w:t>级</w:t>
            </w:r>
            <w:r>
              <w:rPr>
                <w:rFonts w:hint="eastAsia" w:ascii="Times New Roman" w:eastAsiaTheme="minorEastAsia"/>
                <w:sz w:val="28"/>
                <w:szCs w:val="28"/>
              </w:rPr>
              <w:t>下达目标以内</w:t>
            </w:r>
            <w:bookmarkEnd w:id="1"/>
          </w:p>
        </w:tc>
      </w:tr>
    </w:tbl>
    <w:p/>
    <w:p>
      <w:pPr>
        <w:pStyle w:val="2"/>
        <w:ind w:firstLine="0" w:firstLineChars="0"/>
        <w:rPr>
          <w:rFonts w:ascii="黑体" w:hAnsi="黑体" w:eastAsia="黑体"/>
          <w:szCs w:val="32"/>
        </w:rPr>
        <w:sectPr>
          <w:pgSz w:w="11906" w:h="16838"/>
          <w:pgMar w:top="1984" w:right="1474" w:bottom="1814" w:left="1587" w:header="851" w:footer="1474" w:gutter="0"/>
          <w:cols w:space="0" w:num="1"/>
          <w:rtlGutter w:val="0"/>
          <w:docGrid w:type="linesAndChars" w:linePitch="579" w:charSpace="-849"/>
        </w:sectPr>
      </w:pPr>
    </w:p>
    <w:p>
      <w:pPr>
        <w:pStyle w:val="2"/>
        <w:ind w:firstLine="0" w:firstLineChars="0"/>
        <w:rPr>
          <w:rFonts w:ascii="Times New Roman" w:hAnsi="Times New Roman" w:cs="Times New Roman"/>
        </w:rPr>
      </w:pPr>
      <w:r>
        <w:rPr>
          <w:rFonts w:hint="eastAsia" w:ascii="黑体" w:hAnsi="黑体" w:eastAsia="黑体"/>
          <w:szCs w:val="32"/>
        </w:rPr>
        <w:t>附件</w:t>
      </w:r>
      <w:r>
        <w:rPr>
          <w:rFonts w:ascii="Times New Roman" w:hAnsi="Times New Roman" w:eastAsia="黑体" w:cs="Times New Roman"/>
          <w:szCs w:val="32"/>
        </w:rPr>
        <w:t>2</w:t>
      </w:r>
    </w:p>
    <w:p>
      <w:pPr>
        <w:pStyle w:val="2"/>
        <w:keepNext w:val="0"/>
        <w:keepLines w:val="0"/>
        <w:pageBreakBefore w:val="0"/>
        <w:widowControl w:val="0"/>
        <w:kinsoku/>
        <w:wordWrap/>
        <w:overflowPunct/>
        <w:topLinePunct w:val="0"/>
        <w:autoSpaceDE/>
        <w:autoSpaceDN/>
        <w:bidi w:val="0"/>
        <w:adjustRightInd/>
        <w:snapToGrid/>
        <w:spacing w:line="578" w:lineRule="exact"/>
        <w:ind w:firstLine="632"/>
        <w:textAlignment w:val="auto"/>
      </w:pPr>
    </w:p>
    <w:p>
      <w:pPr>
        <w:pStyle w:val="2"/>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阎良区（航空基地）2022年重点建设项目计划执行情况</w:t>
      </w:r>
    </w:p>
    <w:p>
      <w:pPr>
        <w:pStyle w:val="2"/>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与2023年重点建设项目计划（草案）报告</w:t>
      </w:r>
    </w:p>
    <w:p>
      <w:pPr>
        <w:pStyle w:val="2"/>
        <w:keepNext w:val="0"/>
        <w:keepLines w:val="0"/>
        <w:pageBreakBefore w:val="0"/>
        <w:widowControl w:val="0"/>
        <w:kinsoku/>
        <w:wordWrap/>
        <w:overflowPunct/>
        <w:topLinePunct w:val="0"/>
        <w:autoSpaceDE/>
        <w:autoSpaceDN/>
        <w:bidi w:val="0"/>
        <w:adjustRightInd/>
        <w:snapToGrid/>
        <w:spacing w:line="578" w:lineRule="exact"/>
        <w:ind w:firstLine="632"/>
        <w:textAlignment w:val="auto"/>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一、2022年重点建设项目计划</w:t>
      </w:r>
      <w:r>
        <w:rPr>
          <w:rFonts w:hint="eastAsia" w:ascii="Times New Roman" w:hAnsi="Times New Roman" w:eastAsia="黑体" w:cs="Times New Roman"/>
          <w:color w:val="000000"/>
          <w:sz w:val="32"/>
          <w:szCs w:val="32"/>
          <w:lang w:eastAsia="zh-CN"/>
        </w:rPr>
        <w:t>完成</w:t>
      </w:r>
      <w:r>
        <w:rPr>
          <w:rFonts w:hint="default" w:ascii="Times New Roman" w:hAnsi="Times New Roman" w:eastAsia="黑体" w:cs="Times New Roman"/>
          <w:color w:val="000000"/>
          <w:sz w:val="32"/>
          <w:szCs w:val="32"/>
        </w:rPr>
        <w:t>情况</w:t>
      </w:r>
    </w:p>
    <w:p>
      <w:pPr>
        <w:pStyle w:val="2"/>
        <w:keepNext w:val="0"/>
        <w:keepLines w:val="0"/>
        <w:pageBreakBefore w:val="0"/>
        <w:widowControl w:val="0"/>
        <w:kinsoku/>
        <w:wordWrap/>
        <w:overflowPunct/>
        <w:topLinePunct w:val="0"/>
        <w:autoSpaceDE/>
        <w:autoSpaceDN/>
        <w:bidi w:val="0"/>
        <w:adjustRightInd/>
        <w:snapToGrid/>
        <w:spacing w:line="578" w:lineRule="exact"/>
        <w:ind w:firstLine="643"/>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2022年，全区上下</w:t>
      </w:r>
      <w:r>
        <w:rPr>
          <w:rFonts w:hint="default" w:ascii="Times New Roman" w:hAnsi="Times New Roman" w:eastAsia="仿宋_GB2312" w:cs="Times New Roman"/>
          <w:color w:val="000000"/>
          <w:kern w:val="2"/>
          <w:sz w:val="32"/>
          <w:szCs w:val="32"/>
          <w:lang w:val="en-US" w:eastAsia="zh-CN" w:bidi="ar-SA"/>
        </w:rPr>
        <w:t>进一步强化“项目为王”理念，</w:t>
      </w:r>
      <w:r>
        <w:rPr>
          <w:rFonts w:hint="default" w:ascii="Times New Roman" w:hAnsi="Times New Roman" w:eastAsia="仿宋_GB2312" w:cs="Times New Roman"/>
          <w:kern w:val="2"/>
          <w:sz w:val="32"/>
          <w:szCs w:val="32"/>
          <w:lang w:val="en-US" w:eastAsia="zh-CN" w:bidi="ar-SA"/>
        </w:rPr>
        <w:t>围绕建设“六个阎良”和九个方面重点工作，扎实开展高质量项目建设攻坚行动，高质量项目赋能高质量发展，</w:t>
      </w:r>
      <w:r>
        <w:rPr>
          <w:rFonts w:hint="eastAsia" w:ascii="Times New Roman" w:hAnsi="Times New Roman" w:eastAsia="仿宋_GB2312" w:cs="Times New Roman"/>
          <w:kern w:val="2"/>
          <w:sz w:val="32"/>
          <w:szCs w:val="32"/>
          <w:lang w:val="en-US" w:eastAsia="zh-CN" w:bidi="ar-SA"/>
        </w:rPr>
        <w:t>持续</w:t>
      </w:r>
      <w:r>
        <w:rPr>
          <w:rFonts w:hint="default" w:ascii="Times New Roman" w:hAnsi="Times New Roman" w:eastAsia="仿宋_GB2312" w:cs="Times New Roman"/>
          <w:kern w:val="2"/>
          <w:sz w:val="32"/>
          <w:szCs w:val="32"/>
          <w:lang w:val="en-US" w:eastAsia="zh-CN" w:bidi="ar-SA"/>
        </w:rPr>
        <w:t>扩大有效投资，项目计划执行一年来，建设计划顺利完成，超预期完成年度目标。</w:t>
      </w:r>
    </w:p>
    <w:p>
      <w:pPr>
        <w:keepNext w:val="0"/>
        <w:keepLines w:val="0"/>
        <w:pageBreakBefore w:val="0"/>
        <w:widowControl w:val="0"/>
        <w:kinsoku/>
        <w:wordWrap/>
        <w:overflowPunct/>
        <w:topLinePunct w:val="0"/>
        <w:autoSpaceDE/>
        <w:autoSpaceDN/>
        <w:bidi w:val="0"/>
        <w:adjustRightInd/>
        <w:snapToGrid/>
        <w:spacing w:line="578" w:lineRule="exact"/>
        <w:ind w:firstLine="643"/>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2022年初，</w:t>
      </w:r>
      <w:r>
        <w:rPr>
          <w:rFonts w:hint="eastAsia" w:ascii="Times New Roman" w:hAnsi="Times New Roman" w:cs="Times New Roman"/>
          <w:kern w:val="0"/>
          <w:sz w:val="32"/>
          <w:szCs w:val="32"/>
          <w:lang w:val="en-US" w:eastAsia="zh-CN" w:bidi="ar-SA"/>
        </w:rPr>
        <w:t>安排</w:t>
      </w:r>
      <w:r>
        <w:rPr>
          <w:rFonts w:hint="default" w:ascii="Times New Roman" w:hAnsi="Times New Roman" w:eastAsia="仿宋_GB2312" w:cs="Times New Roman"/>
          <w:kern w:val="0"/>
          <w:sz w:val="32"/>
          <w:szCs w:val="32"/>
          <w:lang w:val="en-US" w:eastAsia="zh-CN" w:bidi="ar-SA"/>
        </w:rPr>
        <w:t>区级重点建设项目122个，总投资486.95亿元，年计划投资127.74亿元；前期项目53个，总投资258.28亿元。</w:t>
      </w:r>
      <w:r>
        <w:rPr>
          <w:rFonts w:hint="eastAsia" w:ascii="Times New Roman" w:hAnsi="Times New Roman" w:cs="Times New Roman"/>
          <w:kern w:val="0"/>
          <w:sz w:val="32"/>
          <w:szCs w:val="32"/>
          <w:lang w:val="en-US" w:eastAsia="zh-CN" w:bidi="ar-SA"/>
        </w:rPr>
        <w:t>中期</w:t>
      </w:r>
      <w:r>
        <w:rPr>
          <w:rFonts w:hint="default" w:ascii="Times New Roman" w:hAnsi="Times New Roman" w:eastAsia="仿宋_GB2312" w:cs="Times New Roman"/>
          <w:kern w:val="0"/>
          <w:sz w:val="32"/>
          <w:szCs w:val="32"/>
          <w:lang w:val="en-US" w:eastAsia="zh-CN" w:bidi="ar-SA"/>
        </w:rPr>
        <w:t>调整后，区级重点建设项目变更为130个，总投资变更为591.21亿元，增加104.26亿元；年计划投资变更为149.18亿元，增加21.44亿元。</w:t>
      </w:r>
      <w:r>
        <w:rPr>
          <w:rFonts w:hint="default" w:ascii="Times New Roman" w:hAnsi="Times New Roman" w:eastAsia="仿宋_GB2312" w:cs="Times New Roman"/>
          <w:color w:val="000000"/>
          <w:kern w:val="0"/>
          <w:sz w:val="32"/>
          <w:szCs w:val="32"/>
          <w:lang w:val="en-US" w:eastAsia="zh-CN" w:bidi="ar-SA"/>
        </w:rPr>
        <w:t>130个区级重点建设项目，累计完成投资178.4亿元，占年</w:t>
      </w:r>
      <w:r>
        <w:rPr>
          <w:rFonts w:hint="eastAsia" w:ascii="Times New Roman" w:hAnsi="Times New Roman" w:cs="Times New Roman"/>
          <w:color w:val="000000"/>
          <w:kern w:val="0"/>
          <w:sz w:val="32"/>
          <w:szCs w:val="32"/>
          <w:lang w:val="en-US" w:eastAsia="zh-CN" w:bidi="ar-SA"/>
        </w:rPr>
        <w:t>初计</w:t>
      </w:r>
      <w:r>
        <w:rPr>
          <w:rFonts w:hint="default" w:ascii="Times New Roman" w:hAnsi="Times New Roman" w:eastAsia="仿宋_GB2312" w:cs="Times New Roman"/>
          <w:color w:val="000000"/>
          <w:kern w:val="0"/>
          <w:sz w:val="32"/>
          <w:szCs w:val="32"/>
          <w:lang w:val="en-US" w:eastAsia="zh-CN" w:bidi="ar-SA"/>
        </w:rPr>
        <w:t>划的1</w:t>
      </w:r>
      <w:r>
        <w:rPr>
          <w:rFonts w:hint="eastAsia" w:ascii="Times New Roman" w:hAnsi="Times New Roman" w:cs="Times New Roman"/>
          <w:color w:val="000000"/>
          <w:kern w:val="0"/>
          <w:sz w:val="32"/>
          <w:szCs w:val="32"/>
          <w:lang w:val="en-US" w:eastAsia="zh-CN" w:bidi="ar-SA"/>
        </w:rPr>
        <w:t>39.66</w:t>
      </w:r>
      <w:r>
        <w:rPr>
          <w:rFonts w:hint="default" w:ascii="Times New Roman" w:hAnsi="Times New Roman" w:eastAsia="仿宋_GB2312" w:cs="Times New Roman"/>
          <w:color w:val="000000"/>
          <w:kern w:val="0"/>
          <w:sz w:val="32"/>
          <w:szCs w:val="32"/>
          <w:lang w:val="en-US" w:eastAsia="zh-CN" w:bidi="ar-SA"/>
        </w:rPr>
        <w:t>%。其中，已竣工项目51个，超目标任务项目24个。</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bCs/>
          <w:color w:val="000000"/>
          <w:spacing w:val="-6"/>
          <w:kern w:val="2"/>
          <w:sz w:val="32"/>
          <w:szCs w:val="32"/>
          <w:lang w:val="en-US" w:eastAsia="zh-CN" w:bidi="ar-SA"/>
        </w:rPr>
      </w:pPr>
      <w:r>
        <w:rPr>
          <w:rFonts w:hint="default" w:ascii="Times New Roman" w:hAnsi="Times New Roman" w:eastAsia="仿宋_GB2312" w:cs="Times New Roman"/>
          <w:kern w:val="0"/>
          <w:sz w:val="32"/>
          <w:szCs w:val="32"/>
          <w:lang w:val="en-US" w:eastAsia="zh-CN" w:bidi="ar-SA"/>
        </w:rPr>
        <w:t>此外，在</w:t>
      </w:r>
      <w:r>
        <w:rPr>
          <w:rFonts w:hint="eastAsia" w:ascii="Times New Roman" w:hAnsi="Times New Roman" w:cs="Times New Roman"/>
          <w:kern w:val="0"/>
          <w:sz w:val="32"/>
          <w:szCs w:val="32"/>
          <w:lang w:val="en-US" w:eastAsia="zh-CN" w:bidi="ar-SA"/>
        </w:rPr>
        <w:t>重点</w:t>
      </w:r>
      <w:r>
        <w:rPr>
          <w:rFonts w:hint="default" w:ascii="Times New Roman" w:hAnsi="Times New Roman" w:eastAsia="仿宋_GB2312" w:cs="Times New Roman"/>
          <w:kern w:val="0"/>
          <w:sz w:val="32"/>
          <w:szCs w:val="32"/>
          <w:lang w:val="en-US" w:eastAsia="zh-CN" w:bidi="ar-SA"/>
        </w:rPr>
        <w:t>项目建设中，</w:t>
      </w:r>
      <w:r>
        <w:rPr>
          <w:rFonts w:hint="eastAsia" w:ascii="Times New Roman" w:hAnsi="Times New Roman" w:cs="Times New Roman"/>
          <w:kern w:val="0"/>
          <w:sz w:val="32"/>
          <w:szCs w:val="32"/>
          <w:lang w:val="en-US" w:eastAsia="zh-CN" w:bidi="ar-SA"/>
        </w:rPr>
        <w:t>我们</w:t>
      </w:r>
      <w:r>
        <w:rPr>
          <w:rFonts w:hint="default" w:ascii="Times New Roman" w:hAnsi="Times New Roman" w:eastAsia="仿宋_GB2312" w:cs="Times New Roman"/>
          <w:kern w:val="0"/>
          <w:sz w:val="32"/>
          <w:szCs w:val="32"/>
          <w:lang w:val="en-US" w:eastAsia="zh-CN" w:bidi="ar-SA"/>
        </w:rPr>
        <w:t>不断推动资源要素、服务保障、政策支持向项目聚集，项目投资规模、建设速度、管理水平全面提升。</w:t>
      </w:r>
      <w:r>
        <w:rPr>
          <w:rFonts w:hint="default" w:ascii="Times New Roman" w:hAnsi="Times New Roman" w:eastAsia="仿宋_GB2312" w:cs="Times New Roman"/>
          <w:b/>
          <w:bCs/>
          <w:kern w:val="0"/>
          <w:sz w:val="32"/>
          <w:szCs w:val="32"/>
          <w:lang w:val="en-US" w:eastAsia="zh-CN" w:bidi="ar-SA"/>
        </w:rPr>
        <w:t>一是产业项目带动明显。</w:t>
      </w:r>
      <w:r>
        <w:rPr>
          <w:rFonts w:hint="default" w:ascii="Times New Roman" w:hAnsi="Times New Roman" w:eastAsia="仿宋_GB2312" w:cs="Times New Roman"/>
          <w:kern w:val="0"/>
          <w:sz w:val="32"/>
          <w:szCs w:val="32"/>
          <w:lang w:val="en-US" w:eastAsia="zh-CN" w:bidi="ar-SA"/>
        </w:rPr>
        <w:t>产业项目持续领跑全市项目建设</w:t>
      </w:r>
      <w:r>
        <w:rPr>
          <w:rFonts w:hint="default" w:ascii="Times New Roman" w:hAnsi="Times New Roman" w:eastAsia="仿宋_GB2312" w:cs="Times New Roman"/>
          <w:color w:val="000000"/>
          <w:kern w:val="0"/>
          <w:sz w:val="32"/>
          <w:szCs w:val="32"/>
          <w:lang w:val="en-US" w:eastAsia="zh-CN" w:bidi="ar-SA"/>
        </w:rPr>
        <w:t>，62个产业项目已全部开工建设，完成投资116.95亿元，占年计划</w:t>
      </w:r>
      <w:r>
        <w:rPr>
          <w:rFonts w:hint="eastAsia" w:ascii="Times New Roman" w:hAnsi="Times New Roman" w:cs="Times New Roman"/>
          <w:color w:val="000000"/>
          <w:kern w:val="0"/>
          <w:sz w:val="32"/>
          <w:szCs w:val="32"/>
          <w:lang w:val="en-US" w:eastAsia="zh-CN" w:bidi="ar-SA"/>
        </w:rPr>
        <w:t>任务</w:t>
      </w:r>
      <w:r>
        <w:rPr>
          <w:rFonts w:hint="default" w:ascii="Times New Roman" w:hAnsi="Times New Roman" w:eastAsia="仿宋_GB2312" w:cs="Times New Roman"/>
          <w:color w:val="000000"/>
          <w:kern w:val="0"/>
          <w:sz w:val="32"/>
          <w:szCs w:val="32"/>
          <w:lang w:val="en-US" w:eastAsia="zh-CN" w:bidi="ar-SA"/>
        </w:rPr>
        <w:t>的132.8%</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仿宋_GB2312" w:cs="Times New Roman"/>
          <w:b/>
          <w:color w:val="000000"/>
          <w:kern w:val="2"/>
          <w:sz w:val="32"/>
          <w:szCs w:val="32"/>
          <w:lang w:val="en-US" w:eastAsia="zh-CN" w:bidi="ar-SA"/>
        </w:rPr>
        <w:t>二是</w:t>
      </w:r>
      <w:r>
        <w:rPr>
          <w:rFonts w:hint="eastAsia" w:ascii="Times New Roman" w:hAnsi="Times New Roman" w:cs="Times New Roman"/>
          <w:b/>
          <w:color w:val="000000"/>
          <w:kern w:val="2"/>
          <w:sz w:val="32"/>
          <w:szCs w:val="32"/>
          <w:lang w:val="en-US" w:eastAsia="zh-CN" w:bidi="ar-SA"/>
        </w:rPr>
        <w:t>项目建设成效显著</w:t>
      </w:r>
      <w:r>
        <w:rPr>
          <w:rFonts w:hint="default" w:ascii="Times New Roman" w:hAnsi="Times New Roman" w:eastAsia="仿宋_GB2312" w:cs="Times New Roman"/>
          <w:b/>
          <w:color w:val="000000"/>
          <w:kern w:val="2"/>
          <w:sz w:val="32"/>
          <w:szCs w:val="32"/>
          <w:lang w:val="en-US" w:eastAsia="zh-CN" w:bidi="ar-SA"/>
        </w:rPr>
        <w:t>。</w:t>
      </w:r>
      <w:r>
        <w:rPr>
          <w:rFonts w:hint="default" w:ascii="Times New Roman" w:hAnsi="Times New Roman" w:eastAsia="仿宋_GB2312" w:cs="Times New Roman"/>
          <w:bCs/>
          <w:color w:val="000000"/>
          <w:kern w:val="2"/>
          <w:sz w:val="32"/>
          <w:szCs w:val="32"/>
          <w:lang w:val="en-US" w:eastAsia="zh-CN" w:bidi="ar-SA"/>
        </w:rPr>
        <w:t>一季度全市高质量项目建设成效考核中，位居产业多元组第</w:t>
      </w:r>
      <w:r>
        <w:rPr>
          <w:rFonts w:hint="eastAsia" w:ascii="Times New Roman" w:hAnsi="Times New Roman" w:cs="Times New Roman"/>
          <w:bCs/>
          <w:color w:val="000000"/>
          <w:kern w:val="2"/>
          <w:sz w:val="32"/>
          <w:szCs w:val="32"/>
          <w:lang w:val="en-US" w:eastAsia="zh-CN" w:bidi="ar-SA"/>
        </w:rPr>
        <w:t>一</w:t>
      </w:r>
      <w:r>
        <w:rPr>
          <w:rFonts w:hint="default" w:ascii="Times New Roman" w:hAnsi="Times New Roman" w:eastAsia="仿宋_GB2312" w:cs="Times New Roman"/>
          <w:bCs/>
          <w:color w:val="000000"/>
          <w:kern w:val="2"/>
          <w:sz w:val="32"/>
          <w:szCs w:val="32"/>
          <w:lang w:val="en-US" w:eastAsia="zh-CN" w:bidi="ar-SA"/>
        </w:rPr>
        <w:t>；蝉联前三季度全市重点项目观摩产业多元组第</w:t>
      </w:r>
      <w:r>
        <w:rPr>
          <w:rFonts w:hint="eastAsia" w:ascii="Times New Roman" w:hAnsi="Times New Roman" w:cs="Times New Roman"/>
          <w:bCs/>
          <w:color w:val="000000"/>
          <w:kern w:val="2"/>
          <w:sz w:val="32"/>
          <w:szCs w:val="32"/>
          <w:lang w:val="en-US" w:eastAsia="zh-CN" w:bidi="ar-SA"/>
        </w:rPr>
        <w:t>一</w:t>
      </w:r>
      <w:r>
        <w:rPr>
          <w:rFonts w:hint="default" w:ascii="Times New Roman" w:hAnsi="Times New Roman" w:eastAsia="仿宋_GB2312" w:cs="Times New Roman"/>
          <w:bCs/>
          <w:color w:val="000000"/>
          <w:kern w:val="2"/>
          <w:sz w:val="32"/>
          <w:szCs w:val="32"/>
          <w:lang w:val="en-US" w:eastAsia="zh-CN" w:bidi="ar-SA"/>
        </w:rPr>
        <w:t>；二季度全省高质量项目建设成效</w:t>
      </w:r>
      <w:r>
        <w:rPr>
          <w:rFonts w:hint="eastAsia" w:ascii="Times New Roman" w:hAnsi="Times New Roman" w:cs="Times New Roman"/>
          <w:bCs/>
          <w:color w:val="000000"/>
          <w:kern w:val="2"/>
          <w:sz w:val="32"/>
          <w:szCs w:val="32"/>
          <w:lang w:val="en-US" w:eastAsia="zh-CN" w:bidi="ar-SA"/>
        </w:rPr>
        <w:t>考核</w:t>
      </w:r>
      <w:r>
        <w:rPr>
          <w:rFonts w:hint="default" w:ascii="Times New Roman" w:hAnsi="Times New Roman" w:eastAsia="仿宋_GB2312" w:cs="Times New Roman"/>
          <w:bCs/>
          <w:color w:val="000000"/>
          <w:kern w:val="2"/>
          <w:sz w:val="32"/>
          <w:szCs w:val="32"/>
          <w:lang w:val="en-US" w:eastAsia="zh-CN" w:bidi="ar-SA"/>
        </w:rPr>
        <w:t>中，全省</w:t>
      </w:r>
      <w:r>
        <w:rPr>
          <w:rFonts w:hint="eastAsia" w:ascii="Times New Roman" w:hAnsi="Times New Roman" w:cs="Times New Roman"/>
          <w:bCs/>
          <w:color w:val="000000"/>
          <w:kern w:val="2"/>
          <w:sz w:val="32"/>
          <w:szCs w:val="32"/>
          <w:lang w:val="en-US" w:eastAsia="zh-CN" w:bidi="ar-SA"/>
        </w:rPr>
        <w:t>排</w:t>
      </w:r>
      <w:r>
        <w:rPr>
          <w:rFonts w:hint="default" w:ascii="Times New Roman" w:hAnsi="Times New Roman" w:eastAsia="仿宋_GB2312" w:cs="Times New Roman"/>
          <w:bCs/>
          <w:color w:val="000000"/>
          <w:kern w:val="2"/>
          <w:sz w:val="32"/>
          <w:szCs w:val="32"/>
          <w:lang w:val="en-US" w:eastAsia="zh-CN" w:bidi="ar-SA"/>
        </w:rPr>
        <w:t>名第</w:t>
      </w:r>
      <w:r>
        <w:rPr>
          <w:rFonts w:hint="eastAsia" w:ascii="Times New Roman" w:hAnsi="Times New Roman" w:cs="Times New Roman"/>
          <w:bCs/>
          <w:color w:val="000000"/>
          <w:kern w:val="2"/>
          <w:sz w:val="32"/>
          <w:szCs w:val="32"/>
          <w:lang w:val="en-US" w:eastAsia="zh-CN" w:bidi="ar-SA"/>
        </w:rPr>
        <w:t>六</w:t>
      </w:r>
      <w:r>
        <w:rPr>
          <w:rFonts w:hint="default" w:ascii="Times New Roman" w:hAnsi="Times New Roman" w:eastAsia="仿宋_GB2312" w:cs="Times New Roman"/>
          <w:bCs/>
          <w:color w:val="000000"/>
          <w:kern w:val="2"/>
          <w:sz w:val="32"/>
          <w:szCs w:val="32"/>
          <w:lang w:val="en-US" w:eastAsia="zh-CN" w:bidi="ar-SA"/>
        </w:rPr>
        <w:t>，受到省发改委通报表彰</w:t>
      </w:r>
      <w:r>
        <w:rPr>
          <w:rFonts w:hint="eastAsia" w:ascii="Times New Roman" w:hAnsi="Times New Roman" w:cs="Times New Roman"/>
          <w:bCs/>
          <w:color w:val="000000"/>
          <w:kern w:val="2"/>
          <w:sz w:val="32"/>
          <w:szCs w:val="32"/>
          <w:lang w:val="en-US" w:eastAsia="zh-CN" w:bidi="ar-SA"/>
        </w:rPr>
        <w:t>。</w:t>
      </w:r>
      <w:r>
        <w:rPr>
          <w:rFonts w:hint="default" w:ascii="Times New Roman" w:hAnsi="Times New Roman" w:eastAsia="仿宋_GB2312" w:cs="Times New Roman"/>
          <w:b/>
          <w:color w:val="000000"/>
          <w:kern w:val="2"/>
          <w:sz w:val="32"/>
          <w:szCs w:val="32"/>
          <w:lang w:val="en-US" w:eastAsia="zh-CN" w:bidi="ar-SA"/>
        </w:rPr>
        <w:t>三是迈入全市第一方阵。</w:t>
      </w:r>
      <w:r>
        <w:rPr>
          <w:rFonts w:hint="default" w:ascii="Times New Roman" w:hAnsi="Times New Roman" w:eastAsia="仿宋_GB2312" w:cs="Times New Roman"/>
          <w:bCs/>
          <w:color w:val="000000"/>
          <w:kern w:val="2"/>
          <w:sz w:val="32"/>
          <w:szCs w:val="32"/>
          <w:lang w:val="en-US" w:eastAsia="zh-CN" w:bidi="ar-SA"/>
        </w:rPr>
        <w:t>市级重点项目中期调整</w:t>
      </w:r>
      <w:r>
        <w:rPr>
          <w:rFonts w:hint="eastAsia" w:ascii="Times New Roman" w:hAnsi="Times New Roman" w:cs="Times New Roman"/>
          <w:bCs/>
          <w:color w:val="000000"/>
          <w:kern w:val="2"/>
          <w:sz w:val="32"/>
          <w:szCs w:val="32"/>
          <w:lang w:val="en-US" w:eastAsia="zh-CN" w:bidi="ar-SA"/>
        </w:rPr>
        <w:t>后</w:t>
      </w:r>
      <w:r>
        <w:rPr>
          <w:rFonts w:hint="default" w:ascii="Times New Roman" w:hAnsi="Times New Roman" w:eastAsia="仿宋_GB2312" w:cs="Times New Roman"/>
          <w:bCs/>
          <w:color w:val="000000"/>
          <w:kern w:val="2"/>
          <w:sz w:val="32"/>
          <w:szCs w:val="32"/>
          <w:lang w:val="en-US" w:eastAsia="zh-CN" w:bidi="ar-SA"/>
        </w:rPr>
        <w:t>，年计划投资</w:t>
      </w:r>
      <w:r>
        <w:rPr>
          <w:rFonts w:hint="eastAsia" w:ascii="Times New Roman" w:hAnsi="Times New Roman" w:cs="Times New Roman"/>
          <w:bCs/>
          <w:color w:val="000000"/>
          <w:kern w:val="2"/>
          <w:sz w:val="32"/>
          <w:szCs w:val="32"/>
          <w:lang w:val="en-US" w:eastAsia="zh-CN" w:bidi="ar-SA"/>
        </w:rPr>
        <w:t>147.6</w:t>
      </w:r>
      <w:r>
        <w:rPr>
          <w:rFonts w:hint="default" w:ascii="Times New Roman" w:hAnsi="Times New Roman" w:eastAsia="仿宋_GB2312" w:cs="Times New Roman"/>
          <w:bCs/>
          <w:color w:val="000000"/>
          <w:kern w:val="2"/>
          <w:sz w:val="32"/>
          <w:szCs w:val="32"/>
          <w:lang w:val="en-US" w:eastAsia="zh-CN" w:bidi="ar-SA"/>
        </w:rPr>
        <w:t>亿元，</w:t>
      </w:r>
      <w:r>
        <w:rPr>
          <w:rFonts w:hint="eastAsia" w:ascii="Times New Roman" w:hAnsi="Times New Roman" w:cs="Times New Roman"/>
          <w:bCs/>
          <w:color w:val="000000"/>
          <w:kern w:val="2"/>
          <w:sz w:val="32"/>
          <w:szCs w:val="32"/>
          <w:lang w:val="en-US" w:eastAsia="zh-CN" w:bidi="ar-SA"/>
        </w:rPr>
        <w:t>全市</w:t>
      </w:r>
      <w:r>
        <w:rPr>
          <w:rFonts w:hint="default" w:ascii="Times New Roman" w:hAnsi="Times New Roman" w:eastAsia="仿宋_GB2312" w:cs="Times New Roman"/>
          <w:bCs/>
          <w:color w:val="000000"/>
          <w:kern w:val="2"/>
          <w:sz w:val="32"/>
          <w:szCs w:val="32"/>
          <w:lang w:val="en-US" w:eastAsia="zh-CN" w:bidi="ar-SA"/>
        </w:rPr>
        <w:t>区县</w:t>
      </w:r>
      <w:r>
        <w:rPr>
          <w:rFonts w:hint="eastAsia" w:ascii="Times New Roman" w:hAnsi="Times New Roman" w:cs="Times New Roman"/>
          <w:bCs/>
          <w:color w:val="000000"/>
          <w:kern w:val="2"/>
          <w:sz w:val="32"/>
          <w:szCs w:val="32"/>
          <w:lang w:val="en-US" w:eastAsia="zh-CN" w:bidi="ar-SA"/>
        </w:rPr>
        <w:t>排名</w:t>
      </w:r>
      <w:r>
        <w:rPr>
          <w:rFonts w:hint="default" w:ascii="Times New Roman" w:hAnsi="Times New Roman" w:eastAsia="仿宋_GB2312" w:cs="Times New Roman"/>
          <w:bCs/>
          <w:color w:val="000000"/>
          <w:kern w:val="2"/>
          <w:sz w:val="32"/>
          <w:szCs w:val="32"/>
          <w:lang w:val="en-US" w:eastAsia="zh-CN" w:bidi="ar-SA"/>
        </w:rPr>
        <w:t>第</w:t>
      </w:r>
      <w:r>
        <w:rPr>
          <w:rFonts w:hint="eastAsia" w:ascii="Times New Roman" w:hAnsi="Times New Roman" w:cs="Times New Roman"/>
          <w:bCs/>
          <w:color w:val="000000"/>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三季度开工项目19个，总投资286.3</w:t>
      </w:r>
      <w:r>
        <w:rPr>
          <w:rFonts w:hint="default" w:ascii="Times New Roman" w:hAnsi="Times New Roman" w:eastAsia="仿宋_GB2312" w:cs="Times New Roman"/>
          <w:spacing w:val="-6"/>
          <w:kern w:val="2"/>
          <w:sz w:val="32"/>
          <w:szCs w:val="32"/>
          <w:lang w:val="en-US" w:eastAsia="zh-CN" w:bidi="ar-SA"/>
        </w:rPr>
        <w:t>亿元，四季度开工项目16个，总投资203亿元，均位居全市第</w:t>
      </w:r>
      <w:r>
        <w:rPr>
          <w:rFonts w:hint="eastAsia" w:ascii="Times New Roman" w:hAnsi="Times New Roman" w:cs="Times New Roman"/>
          <w:spacing w:val="-6"/>
          <w:kern w:val="2"/>
          <w:sz w:val="32"/>
          <w:szCs w:val="32"/>
          <w:lang w:val="en-US" w:eastAsia="zh-CN" w:bidi="ar-SA"/>
        </w:rPr>
        <w:t>一</w:t>
      </w:r>
      <w:r>
        <w:rPr>
          <w:rFonts w:hint="default" w:ascii="Times New Roman" w:hAnsi="Times New Roman" w:eastAsia="仿宋_GB2312" w:cs="Times New Roman"/>
          <w:spacing w:val="-6"/>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黑体" w:cs="Times New Roman"/>
          <w:bCs/>
          <w:color w:val="000000"/>
          <w:kern w:val="2"/>
          <w:sz w:val="32"/>
          <w:szCs w:val="32"/>
          <w:lang w:val="en-US" w:eastAsia="zh-CN" w:bidi="ar-SA"/>
        </w:rPr>
      </w:pPr>
      <w:r>
        <w:rPr>
          <w:rFonts w:hint="default" w:ascii="Times New Roman" w:hAnsi="Times New Roman" w:eastAsia="黑体" w:cs="Times New Roman"/>
          <w:bCs/>
          <w:color w:val="000000"/>
          <w:kern w:val="2"/>
          <w:sz w:val="32"/>
          <w:szCs w:val="32"/>
          <w:lang w:val="en-US" w:eastAsia="zh-CN" w:bidi="ar-SA"/>
        </w:rPr>
        <w:t>二、主要做法及成效</w:t>
      </w:r>
    </w:p>
    <w:p>
      <w:pPr>
        <w:keepNext w:val="0"/>
        <w:keepLines w:val="0"/>
        <w:pageBreakBefore w:val="0"/>
        <w:widowControl w:val="0"/>
        <w:kinsoku/>
        <w:wordWrap/>
        <w:overflowPunct/>
        <w:topLinePunct w:val="0"/>
        <w:autoSpaceDE/>
        <w:autoSpaceDN/>
        <w:bidi w:val="0"/>
        <w:adjustRightInd/>
        <w:snapToGrid/>
        <w:spacing w:line="578" w:lineRule="exact"/>
        <w:ind w:firstLine="608"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pacing w:val="-8"/>
          <w:kern w:val="0"/>
          <w:sz w:val="32"/>
          <w:szCs w:val="32"/>
        </w:rPr>
        <w:t>2022年，围绕抓高质量项目建设攻坚主线，重点在五个方面上下功夫：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）抓创新创优，完善项目管理机制。</w:t>
      </w:r>
      <w:r>
        <w:rPr>
          <w:rFonts w:hint="default" w:ascii="Times New Roman" w:hAnsi="Times New Roman" w:eastAsia="仿宋_GB2312" w:cs="Times New Roman"/>
          <w:spacing w:val="6"/>
          <w:sz w:val="32"/>
          <w:szCs w:val="32"/>
          <w:lang w:eastAsia="zh-CN"/>
        </w:rPr>
        <w:t>推行“五个一”全周期项目管理机制，</w:t>
      </w:r>
      <w:r>
        <w:rPr>
          <w:rFonts w:hint="eastAsia" w:ascii="Times New Roman" w:hAnsi="Times New Roman" w:cs="Times New Roman"/>
          <w:b/>
          <w:bCs/>
          <w:spacing w:val="6"/>
          <w:sz w:val="32"/>
          <w:szCs w:val="32"/>
          <w:lang w:val="en-US" w:eastAsia="zh-CN"/>
        </w:rPr>
        <w:t>区级</w:t>
      </w:r>
      <w:r>
        <w:rPr>
          <w:rFonts w:hint="default" w:ascii="Times New Roman" w:hAnsi="Times New Roman" w:eastAsia="仿宋_GB2312" w:cs="Times New Roman"/>
          <w:b/>
          <w:bCs/>
          <w:spacing w:val="6"/>
          <w:sz w:val="32"/>
          <w:szCs w:val="32"/>
          <w:lang w:eastAsia="zh-CN"/>
        </w:rPr>
        <w:t>领导</w:t>
      </w:r>
      <w:r>
        <w:rPr>
          <w:rFonts w:hint="eastAsia" w:ascii="Times New Roman" w:hAnsi="Times New Roman" w:cs="Times New Roman"/>
          <w:spacing w:val="6"/>
          <w:sz w:val="32"/>
          <w:szCs w:val="32"/>
          <w:lang w:val="en-US" w:eastAsia="zh-CN"/>
        </w:rPr>
        <w:t>现场办公、重点督导，</w:t>
      </w:r>
      <w:r>
        <w:rPr>
          <w:rFonts w:hint="default" w:ascii="Times New Roman" w:hAnsi="Times New Roman" w:eastAsia="仿宋_GB2312" w:cs="Times New Roman"/>
          <w:spacing w:val="6"/>
          <w:sz w:val="32"/>
          <w:szCs w:val="32"/>
          <w:lang w:eastAsia="zh-CN"/>
        </w:rPr>
        <w:t>采取多种形式深入项目一线看进度，解难题</w:t>
      </w:r>
      <w:r>
        <w:rPr>
          <w:rFonts w:hint="eastAsia" w:ascii="Times New Roman" w:hAnsi="Times New Roman" w:cs="Times New Roman"/>
          <w:spacing w:val="6"/>
          <w:sz w:val="32"/>
          <w:szCs w:val="32"/>
          <w:lang w:eastAsia="zh-CN"/>
        </w:rPr>
        <w:t>。</w:t>
      </w:r>
      <w:r>
        <w:rPr>
          <w:rFonts w:hint="default" w:ascii="Times New Roman" w:hAnsi="Times New Roman" w:eastAsia="仿宋_GB2312" w:cs="Times New Roman"/>
          <w:b/>
          <w:bCs/>
          <w:spacing w:val="6"/>
          <w:sz w:val="32"/>
          <w:szCs w:val="32"/>
          <w:lang w:eastAsia="zh-CN"/>
        </w:rPr>
        <w:t>“片区长”</w:t>
      </w:r>
      <w:r>
        <w:rPr>
          <w:rFonts w:hint="default" w:ascii="Times New Roman" w:hAnsi="Times New Roman" w:eastAsia="仿宋_GB2312" w:cs="Times New Roman"/>
          <w:spacing w:val="6"/>
          <w:sz w:val="32"/>
          <w:szCs w:val="32"/>
          <w:lang w:eastAsia="zh-CN"/>
        </w:rPr>
        <w:t>定期向包抓领导汇报项目建设进展情况，及时研究解决项目建设中的问题</w:t>
      </w:r>
      <w:r>
        <w:rPr>
          <w:rFonts w:hint="eastAsia" w:ascii="Times New Roman" w:hAnsi="Times New Roman" w:cs="Times New Roman"/>
          <w:spacing w:val="6"/>
          <w:sz w:val="32"/>
          <w:szCs w:val="32"/>
          <w:lang w:eastAsia="zh-CN"/>
        </w:rPr>
        <w:t>。</w:t>
      </w:r>
      <w:r>
        <w:rPr>
          <w:rFonts w:hint="default" w:ascii="Times New Roman" w:hAnsi="Times New Roman" w:eastAsia="仿宋_GB2312" w:cs="Times New Roman"/>
          <w:b/>
          <w:bCs/>
          <w:spacing w:val="6"/>
          <w:sz w:val="32"/>
          <w:szCs w:val="32"/>
          <w:lang w:eastAsia="zh-CN"/>
        </w:rPr>
        <w:t>“项目长”</w:t>
      </w:r>
      <w:r>
        <w:rPr>
          <w:rFonts w:hint="default" w:ascii="Times New Roman" w:hAnsi="Times New Roman" w:eastAsia="仿宋_GB2312" w:cs="Times New Roman"/>
          <w:spacing w:val="6"/>
          <w:sz w:val="32"/>
          <w:szCs w:val="32"/>
          <w:lang w:eastAsia="zh-CN"/>
        </w:rPr>
        <w:t>一对一负责项目手续办理、建设、入库</w:t>
      </w:r>
      <w:r>
        <w:rPr>
          <w:rFonts w:hint="eastAsia" w:ascii="Times New Roman" w:hAnsi="Times New Roman" w:cs="Times New Roman"/>
          <w:spacing w:val="6"/>
          <w:sz w:val="32"/>
          <w:szCs w:val="32"/>
          <w:lang w:eastAsia="zh-CN"/>
        </w:rPr>
        <w:t>、</w:t>
      </w:r>
      <w:r>
        <w:rPr>
          <w:rFonts w:hint="default" w:ascii="Times New Roman" w:hAnsi="Times New Roman" w:eastAsia="仿宋_GB2312" w:cs="Times New Roman"/>
          <w:spacing w:val="6"/>
          <w:sz w:val="32"/>
          <w:szCs w:val="32"/>
          <w:lang w:eastAsia="zh-CN"/>
        </w:rPr>
        <w:t>推进协调，做好全周期服务。截</w:t>
      </w:r>
      <w:r>
        <w:rPr>
          <w:rFonts w:hint="eastAsia" w:ascii="Times New Roman" w:cs="Times New Roman"/>
          <w:spacing w:val="6"/>
          <w:sz w:val="32"/>
          <w:szCs w:val="32"/>
          <w:lang w:val="en-US" w:eastAsia="zh-CN"/>
        </w:rPr>
        <w:t>至</w:t>
      </w:r>
      <w:r>
        <w:rPr>
          <w:rFonts w:hint="default" w:ascii="Times New Roman" w:hAnsi="Times New Roman" w:eastAsia="仿宋_GB2312" w:cs="Times New Roman"/>
          <w:spacing w:val="6"/>
          <w:sz w:val="32"/>
          <w:szCs w:val="32"/>
          <w:lang w:eastAsia="zh-CN"/>
        </w:rPr>
        <w:t>目前，已召开专题会议</w:t>
      </w:r>
      <w:r>
        <w:rPr>
          <w:rFonts w:hint="default" w:ascii="Times New Roman" w:hAnsi="Times New Roman" w:eastAsia="仿宋_GB2312" w:cs="Times New Roman"/>
          <w:spacing w:val="6"/>
          <w:sz w:val="32"/>
          <w:szCs w:val="32"/>
          <w:lang w:val="en-US" w:eastAsia="zh-CN"/>
        </w:rPr>
        <w:t>45次，研究解决项目难题89个</w:t>
      </w:r>
      <w:r>
        <w:rPr>
          <w:rFonts w:hint="default" w:ascii="Times New Roman" w:hAnsi="Times New Roman" w:eastAsia="仿宋_GB2312"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b w:val="0"/>
          <w:bCs/>
          <w:color w:val="000000"/>
          <w:sz w:val="32"/>
          <w:szCs w:val="32"/>
          <w:lang w:eastAsia="zh-CN"/>
        </w:rPr>
        <w:t>抓责任落实，强化项目督导考核。</w:t>
      </w:r>
      <w:r>
        <w:rPr>
          <w:rFonts w:hint="default" w:ascii="Times New Roman" w:hAnsi="Times New Roman" w:eastAsia="仿宋_GB2312" w:cs="Times New Roman"/>
          <w:b/>
          <w:bCs/>
          <w:sz w:val="32"/>
          <w:szCs w:val="32"/>
          <w:lang w:eastAsia="zh-CN"/>
        </w:rPr>
        <w:t>清单化管理，</w:t>
      </w:r>
      <w:r>
        <w:rPr>
          <w:rFonts w:hint="default" w:ascii="Times New Roman" w:hAnsi="Times New Roman" w:eastAsia="仿宋_GB2312" w:cs="Times New Roman"/>
          <w:b w:val="0"/>
          <w:bCs w:val="0"/>
          <w:sz w:val="32"/>
          <w:szCs w:val="32"/>
          <w:lang w:eastAsia="zh-CN"/>
        </w:rPr>
        <w:t>年初，</w:t>
      </w:r>
      <w:r>
        <w:rPr>
          <w:rFonts w:hint="default" w:ascii="Times New Roman" w:hAnsi="Times New Roman" w:eastAsia="仿宋_GB2312" w:cs="Times New Roman"/>
          <w:sz w:val="32"/>
          <w:szCs w:val="32"/>
          <w:lang w:eastAsia="zh-CN"/>
        </w:rPr>
        <w:t>制定了《高质量项目建设推进年实施方案》，为全区</w:t>
      </w:r>
      <w:r>
        <w:rPr>
          <w:rFonts w:hint="default" w:ascii="Times New Roman" w:hAnsi="Times New Roman" w:eastAsia="仿宋_GB2312" w:cs="Times New Roman"/>
          <w:sz w:val="32"/>
          <w:szCs w:val="32"/>
          <w:lang w:val="en-US" w:eastAsia="zh-CN"/>
        </w:rPr>
        <w:t>122</w:t>
      </w:r>
      <w:r>
        <w:rPr>
          <w:rFonts w:hint="default" w:ascii="Times New Roman" w:hAnsi="Times New Roman" w:eastAsia="仿宋_GB2312" w:cs="Times New Roman"/>
          <w:sz w:val="32"/>
          <w:szCs w:val="32"/>
          <w:lang w:eastAsia="zh-CN"/>
        </w:rPr>
        <w:t>个重点项目逐一制定年度推进计划，将项目投资、新项目开工率、手续推进等指标任务分解到月、责任到人。</w:t>
      </w:r>
      <w:r>
        <w:rPr>
          <w:rFonts w:hint="default" w:ascii="Times New Roman" w:hAnsi="Times New Roman" w:eastAsia="仿宋_GB2312" w:cs="Times New Roman"/>
          <w:b/>
          <w:bCs/>
          <w:sz w:val="32"/>
          <w:szCs w:val="32"/>
          <w:lang w:eastAsia="zh-CN"/>
        </w:rPr>
        <w:t>台账</w:t>
      </w:r>
      <w:r>
        <w:rPr>
          <w:rFonts w:hint="default" w:ascii="Times New Roman" w:hAnsi="Times New Roman" w:cs="Times New Roman"/>
          <w:b/>
          <w:bCs/>
          <w:sz w:val="32"/>
          <w:szCs w:val="32"/>
          <w:lang w:eastAsia="zh-CN"/>
        </w:rPr>
        <w:t>式</w:t>
      </w:r>
      <w:r>
        <w:rPr>
          <w:rFonts w:hint="default" w:ascii="Times New Roman" w:hAnsi="Times New Roman" w:eastAsia="仿宋_GB2312" w:cs="Times New Roman"/>
          <w:b/>
          <w:bCs/>
          <w:sz w:val="32"/>
          <w:szCs w:val="32"/>
          <w:lang w:eastAsia="zh-CN"/>
        </w:rPr>
        <w:t>推进，</w:t>
      </w:r>
      <w:r>
        <w:rPr>
          <w:rFonts w:hint="default" w:ascii="Times New Roman" w:hAnsi="Times New Roman" w:eastAsia="仿宋_GB2312" w:cs="Times New Roman"/>
          <w:sz w:val="32"/>
          <w:szCs w:val="32"/>
        </w:rPr>
        <w:t>梳理项目手续办理、土地保障、资金筹措、施工建设等方面困难问题，建立问题、任务、时限、责任等</w:t>
      </w:r>
      <w:r>
        <w:rPr>
          <w:rFonts w:hint="default" w:ascii="Times New Roman" w:hAnsi="Times New Roman" w:eastAsia="仿宋_GB2312" w:cs="Times New Roman"/>
          <w:sz w:val="32"/>
          <w:szCs w:val="32"/>
          <w:lang w:eastAsia="zh-CN"/>
        </w:rPr>
        <w:t>台账，通过一线调度、现场办公、集中会商“问题台账”等方式，推动项目建设提速增效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sz w:val="32"/>
          <w:szCs w:val="32"/>
          <w:lang w:eastAsia="zh-CN"/>
        </w:rPr>
        <w:t>动态化监管，</w:t>
      </w:r>
      <w:r>
        <w:rPr>
          <w:rFonts w:hint="default" w:ascii="Times New Roman" w:hAnsi="Times New Roman" w:eastAsia="仿宋_GB2312" w:cs="Times New Roman"/>
          <w:sz w:val="32"/>
          <w:szCs w:val="32"/>
          <w:lang w:eastAsia="zh-CN"/>
        </w:rPr>
        <w:t>依托区重点项目综合管理平台，动态监控建设进度、手续办理、入库纳统情况</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定期通报任务</w:t>
      </w:r>
      <w:r>
        <w:rPr>
          <w:rFonts w:hint="default" w:ascii="Times New Roman" w:hAnsi="Times New Roman" w:cs="Times New Roman"/>
          <w:sz w:val="32"/>
          <w:szCs w:val="32"/>
          <w:lang w:eastAsia="zh-CN"/>
        </w:rPr>
        <w:t>滞后、</w:t>
      </w:r>
      <w:r>
        <w:rPr>
          <w:rFonts w:hint="default" w:ascii="Times New Roman" w:hAnsi="Times New Roman" w:eastAsia="仿宋_GB2312" w:cs="Times New Roman"/>
          <w:sz w:val="32"/>
          <w:szCs w:val="32"/>
          <w:lang w:eastAsia="zh-CN"/>
        </w:rPr>
        <w:t>推进缓慢</w:t>
      </w:r>
      <w:r>
        <w:rPr>
          <w:rFonts w:hint="default" w:ascii="Times New Roman" w:hAnsi="Times New Roman" w:cs="Times New Roman"/>
          <w:sz w:val="32"/>
          <w:szCs w:val="32"/>
          <w:lang w:eastAsia="zh-CN"/>
        </w:rPr>
        <w:t>项目。</w:t>
      </w:r>
      <w:r>
        <w:rPr>
          <w:rFonts w:hint="eastAsia" w:ascii="Times New Roman" w:hAnsi="Times New Roman" w:eastAsia="仿宋_GB2312" w:cs="Times New Roman"/>
          <w:sz w:val="32"/>
          <w:szCs w:val="32"/>
          <w:lang w:eastAsia="zh-CN"/>
        </w:rPr>
        <w:t>先后发送</w:t>
      </w:r>
      <w:r>
        <w:rPr>
          <w:rFonts w:hint="eastAsia" w:ascii="Times New Roman" w:hAnsi="Times New Roman" w:eastAsia="仿宋_GB2312" w:cs="Times New Roman"/>
          <w:sz w:val="32"/>
          <w:szCs w:val="32"/>
          <w:lang w:val="en-US" w:eastAsia="zh-CN"/>
        </w:rPr>
        <w:t>38</w:t>
      </w:r>
      <w:r>
        <w:rPr>
          <w:rFonts w:hint="eastAsia" w:ascii="Times New Roman" w:hAnsi="Times New Roman" w:eastAsia="仿宋_GB2312" w:cs="Times New Roman"/>
          <w:sz w:val="32"/>
          <w:szCs w:val="32"/>
          <w:lang w:eastAsia="zh-CN"/>
        </w:rPr>
        <w:t>次问题“提醒单”和“督办单”，印发专报</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lang w:eastAsia="zh-CN"/>
        </w:rPr>
        <w:t>期，并组织区级领导督导调研、项目专项督查等活动</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lang w:eastAsia="zh-CN"/>
        </w:rPr>
        <w:t>余次。</w:t>
      </w:r>
    </w:p>
    <w:p>
      <w:pPr>
        <w:pStyle w:val="2"/>
        <w:keepNext w:val="0"/>
        <w:keepLines w:val="0"/>
        <w:pageBreakBefore w:val="0"/>
        <w:widowControl w:val="0"/>
        <w:kinsoku/>
        <w:wordWrap/>
        <w:overflowPunct/>
        <w:topLinePunct w:val="0"/>
        <w:autoSpaceDE/>
        <w:autoSpaceDN/>
        <w:bidi w:val="0"/>
        <w:adjustRightInd/>
        <w:snapToGrid/>
        <w:spacing w:line="578" w:lineRule="exact"/>
        <w:ind w:firstLine="643"/>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b w:val="0"/>
          <w:bCs/>
          <w:color w:val="000000"/>
          <w:sz w:val="32"/>
          <w:szCs w:val="32"/>
          <w:lang w:eastAsia="zh-CN"/>
        </w:rPr>
        <w:t>抓攻坚调度，提升项目质量水平。</w:t>
      </w:r>
      <w:r>
        <w:rPr>
          <w:rFonts w:hint="default" w:ascii="Times New Roman" w:hAnsi="Times New Roman" w:eastAsia="仿宋_GB2312" w:cs="Times New Roman"/>
          <w:sz w:val="32"/>
          <w:szCs w:val="32"/>
          <w:lang w:eastAsia="zh-CN"/>
        </w:rPr>
        <w:t>组建攻坚专班，由一名常委、一名副区长、一名管委会副主任联合带队，开展高质量项目建设攻坚行动。</w:t>
      </w:r>
      <w:r>
        <w:rPr>
          <w:rFonts w:hint="default" w:ascii="Times New Roman" w:hAnsi="Times New Roman" w:eastAsia="仿宋_GB2312" w:cs="Times New Roman"/>
          <w:b/>
          <w:bCs/>
          <w:sz w:val="32"/>
          <w:szCs w:val="32"/>
          <w:lang w:eastAsia="zh-CN"/>
        </w:rPr>
        <w:t>手续攻坚，</w:t>
      </w:r>
      <w:r>
        <w:rPr>
          <w:rFonts w:hint="default" w:ascii="Times New Roman" w:hAnsi="Times New Roman" w:eastAsia="仿宋_GB2312" w:cs="Times New Roman"/>
          <w:b w:val="0"/>
          <w:bCs w:val="0"/>
          <w:sz w:val="32"/>
          <w:szCs w:val="32"/>
          <w:lang w:eastAsia="zh-CN"/>
        </w:rPr>
        <w:t>全面梳理前期手续难点堵点、定期研判、专人服务、销号管理。</w:t>
      </w:r>
      <w:r>
        <w:rPr>
          <w:rFonts w:hint="default" w:ascii="Times New Roman" w:hAnsi="Times New Roman" w:eastAsia="仿宋_GB2312" w:cs="Times New Roman"/>
          <w:sz w:val="32"/>
          <w:szCs w:val="32"/>
          <w:lang w:eastAsia="zh-CN"/>
        </w:rPr>
        <w:t>已开展专项研判</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eastAsia="zh-CN"/>
        </w:rPr>
        <w:t>余次，办结市区级重点项目手续</w:t>
      </w:r>
      <w:r>
        <w:rPr>
          <w:rFonts w:hint="eastAsia" w:ascii="Times New Roman" w:hAnsi="Times New Roman" w:eastAsia="仿宋_GB2312" w:cs="Times New Roman"/>
          <w:sz w:val="32"/>
          <w:szCs w:val="32"/>
          <w:lang w:val="en-US" w:eastAsia="zh-CN"/>
        </w:rPr>
        <w:t>620</w:t>
      </w:r>
      <w:r>
        <w:rPr>
          <w:rFonts w:hint="default" w:ascii="Times New Roman" w:hAnsi="Times New Roman" w:eastAsia="仿宋_GB2312" w:cs="Times New Roman"/>
          <w:sz w:val="32"/>
          <w:szCs w:val="32"/>
          <w:lang w:eastAsia="zh-CN"/>
        </w:rPr>
        <w:t>余个，办结率</w:t>
      </w:r>
      <w:r>
        <w:rPr>
          <w:rFonts w:hint="eastAsia" w:ascii="Times New Roman" w:hAnsi="Times New Roman" w:eastAsia="仿宋_GB2312" w:cs="Times New Roman"/>
          <w:sz w:val="32"/>
          <w:szCs w:val="32"/>
          <w:lang w:val="en-US" w:eastAsia="zh-CN"/>
        </w:rPr>
        <w:t>96.2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开工攻坚，</w:t>
      </w:r>
      <w:r>
        <w:rPr>
          <w:rFonts w:hint="eastAsia" w:ascii="Times New Roman" w:hAnsi="Times New Roman" w:eastAsia="仿宋_GB2312" w:cs="Times New Roman"/>
          <w:sz w:val="32"/>
          <w:szCs w:val="32"/>
          <w:lang w:eastAsia="zh-CN"/>
        </w:rPr>
        <w:t>坚持一季一开工，全年参加市级开工活动4次，61个市区级新建项目全部开工建设，较去年同期新增开工项目10个。</w:t>
      </w:r>
      <w:r>
        <w:rPr>
          <w:rFonts w:hint="default" w:ascii="Times New Roman" w:hAnsi="Times New Roman" w:eastAsia="仿宋_GB2312" w:cs="Times New Roman"/>
          <w:b/>
          <w:bCs/>
          <w:sz w:val="32"/>
          <w:szCs w:val="32"/>
          <w:lang w:eastAsia="zh-CN"/>
        </w:rPr>
        <w:t>进展攻坚，</w:t>
      </w:r>
      <w:r>
        <w:rPr>
          <w:rFonts w:hint="eastAsia" w:ascii="Times New Roman" w:hAnsi="Times New Roman" w:eastAsia="仿宋_GB2312" w:cs="Times New Roman"/>
          <w:b w:val="0"/>
          <w:bCs w:val="0"/>
          <w:sz w:val="32"/>
          <w:szCs w:val="32"/>
          <w:lang w:eastAsia="zh-CN"/>
        </w:rPr>
        <w:t>按照项目年度推进计划，由</w:t>
      </w:r>
      <w:r>
        <w:rPr>
          <w:rFonts w:hint="eastAsia" w:ascii="Times New Roman" w:hAnsi="Times New Roman" w:eastAsia="仿宋_GB2312" w:cs="Times New Roman"/>
          <w:sz w:val="32"/>
          <w:szCs w:val="32"/>
          <w:lang w:eastAsia="zh-CN"/>
        </w:rPr>
        <w:t>区级领导带队逐项目督导调度，定期通报晾晒项目投资完成、工程进展等</w:t>
      </w:r>
      <w:r>
        <w:rPr>
          <w:rFonts w:hint="eastAsia" w:ascii="Times New Roman" w:hAnsi="Times New Roman" w:eastAsia="仿宋_GB2312" w:cs="Times New Roman"/>
          <w:b w:val="0"/>
          <w:bCs w:val="0"/>
          <w:sz w:val="32"/>
          <w:szCs w:val="32"/>
          <w:lang w:eastAsia="zh-CN"/>
        </w:rPr>
        <w:t>。已提前两个月完成区级重点项目年度任务</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eastAsia="zh-CN"/>
        </w:rPr>
        <w:t>地块攻坚，</w:t>
      </w:r>
      <w:r>
        <w:rPr>
          <w:rFonts w:hint="eastAsia" w:ascii="Times New Roman" w:hAnsi="Times New Roman" w:eastAsia="仿宋_GB2312" w:cs="Times New Roman"/>
          <w:b w:val="0"/>
          <w:bCs w:val="0"/>
          <w:sz w:val="32"/>
          <w:szCs w:val="32"/>
          <w:lang w:eastAsia="zh-CN"/>
        </w:rPr>
        <w:t>先后开展</w:t>
      </w:r>
      <w:r>
        <w:rPr>
          <w:rFonts w:hint="eastAsia" w:ascii="Times New Roman" w:hAnsi="Times New Roman" w:eastAsia="仿宋_GB2312" w:cs="Times New Roman"/>
          <w:b w:val="0"/>
          <w:bCs w:val="0"/>
          <w:sz w:val="32"/>
          <w:szCs w:val="32"/>
          <w:lang w:val="en-US" w:eastAsia="zh-CN"/>
        </w:rPr>
        <w:t>2批次地块攻坚，涉及地块25个，19个地块已落实项目。</w:t>
      </w:r>
      <w:r>
        <w:rPr>
          <w:rFonts w:hint="eastAsia" w:ascii="Times New Roman" w:hAnsi="Times New Roman" w:eastAsia="仿宋_GB2312" w:cs="Times New Roman"/>
          <w:sz w:val="32"/>
          <w:szCs w:val="32"/>
          <w:lang w:eastAsia="zh-CN"/>
        </w:rPr>
        <w:t>截至目前，累计完成攻坚任务272个，破解难点堵点问题158个，</w:t>
      </w:r>
      <w:r>
        <w:rPr>
          <w:rFonts w:hint="eastAsia" w:ascii="Times New Roman" w:hAnsi="Times New Roman" w:eastAsia="仿宋_GB2312" w:cs="Times New Roman"/>
          <w:sz w:val="32"/>
          <w:szCs w:val="32"/>
          <w:lang w:val="en-US" w:eastAsia="zh-CN"/>
        </w:rPr>
        <w:t>有力</w:t>
      </w:r>
      <w:r>
        <w:rPr>
          <w:rFonts w:hint="eastAsia" w:ascii="Times New Roman" w:hAnsi="Times New Roman" w:eastAsia="仿宋_GB2312" w:cs="Times New Roman"/>
          <w:sz w:val="32"/>
          <w:szCs w:val="32"/>
          <w:lang w:eastAsia="zh-CN"/>
        </w:rPr>
        <w:t>推动项目开工建设。</w:t>
      </w:r>
    </w:p>
    <w:p>
      <w:pPr>
        <w:pStyle w:val="2"/>
        <w:keepNext w:val="0"/>
        <w:keepLines w:val="0"/>
        <w:pageBreakBefore w:val="0"/>
        <w:widowControl w:val="0"/>
        <w:kinsoku/>
        <w:wordWrap/>
        <w:overflowPunct/>
        <w:topLinePunct w:val="0"/>
        <w:autoSpaceDE/>
        <w:autoSpaceDN/>
        <w:bidi w:val="0"/>
        <w:adjustRightInd/>
        <w:snapToGrid/>
        <w:spacing w:line="578" w:lineRule="exact"/>
        <w:ind w:firstLine="643"/>
        <w:textAlignment w:val="auto"/>
        <w:rPr>
          <w:rFonts w:hint="default" w:ascii="Times New Roman" w:hAnsi="Times New Roman" w:eastAsia="仿宋_GB2312" w:cs="Times New Roman"/>
          <w:b w:val="0"/>
          <w:bCs/>
          <w:color w:val="000000"/>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b w:val="0"/>
          <w:bCs/>
          <w:color w:val="000000"/>
          <w:sz w:val="32"/>
          <w:szCs w:val="32"/>
          <w:lang w:eastAsia="zh-CN"/>
        </w:rPr>
        <w:t>抓要素保障，推动项目建设提速。</w:t>
      </w:r>
      <w:r>
        <w:rPr>
          <w:rFonts w:hint="default" w:ascii="Times New Roman" w:hAnsi="Times New Roman" w:eastAsia="仿宋_GB2312" w:cs="Times New Roman"/>
          <w:b w:val="0"/>
          <w:bCs/>
          <w:color w:val="000000"/>
          <w:sz w:val="32"/>
          <w:szCs w:val="32"/>
          <w:lang w:eastAsia="zh-CN"/>
        </w:rPr>
        <w:t>坚持要素跟着项目走，建立政策、金融、土地全要素覆盖的项目服务机制。</w:t>
      </w:r>
      <w:r>
        <w:rPr>
          <w:rFonts w:hint="eastAsia" w:ascii="仿宋_GB2312" w:hAnsi="仿宋_GB2312" w:eastAsia="仿宋_GB2312" w:cs="仿宋_GB2312"/>
          <w:b/>
          <w:bCs w:val="0"/>
          <w:color w:val="000000"/>
          <w:sz w:val="32"/>
          <w:szCs w:val="32"/>
          <w:lang w:eastAsia="zh-CN"/>
        </w:rPr>
        <w:t>抓资金争取，</w:t>
      </w:r>
      <w:r>
        <w:rPr>
          <w:rFonts w:hint="default" w:ascii="Times New Roman" w:hAnsi="Times New Roman" w:eastAsia="仿宋_GB2312" w:cs="Times New Roman"/>
          <w:b w:val="0"/>
          <w:bCs/>
          <w:color w:val="000000"/>
          <w:sz w:val="32"/>
          <w:szCs w:val="32"/>
          <w:lang w:eastAsia="zh-CN"/>
        </w:rPr>
        <w:t>抢抓窗口机遇，瞄准</w:t>
      </w:r>
      <w:r>
        <w:rPr>
          <w:rFonts w:hint="eastAsia" w:ascii="Times New Roman" w:hAnsi="Times New Roman" w:eastAsia="仿宋_GB2312" w:cs="Times New Roman"/>
          <w:b w:val="0"/>
          <w:bCs/>
          <w:color w:val="000000"/>
          <w:sz w:val="32"/>
          <w:szCs w:val="32"/>
          <w:lang w:eastAsia="zh-CN"/>
        </w:rPr>
        <w:t>上级</w:t>
      </w:r>
      <w:r>
        <w:rPr>
          <w:rFonts w:hint="default" w:ascii="Times New Roman" w:hAnsi="Times New Roman" w:eastAsia="仿宋_GB2312" w:cs="Times New Roman"/>
          <w:b w:val="0"/>
          <w:bCs/>
          <w:color w:val="000000"/>
          <w:sz w:val="32"/>
          <w:szCs w:val="32"/>
          <w:lang w:eastAsia="zh-CN"/>
        </w:rPr>
        <w:t>政策资金支持方向，做好“争跑要”，把政策优势转化为发展优势</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eastAsia="zh-CN"/>
        </w:rPr>
        <w:t>累计争取上级资金</w:t>
      </w:r>
      <w:r>
        <w:rPr>
          <w:rFonts w:hint="eastAsia" w:ascii="Times New Roman" w:hAnsi="Times New Roman" w:eastAsia="仿宋_GB2312" w:cs="Times New Roman"/>
          <w:b w:val="0"/>
          <w:bCs/>
          <w:color w:val="000000"/>
          <w:sz w:val="32"/>
          <w:szCs w:val="32"/>
          <w:lang w:val="en-US" w:eastAsia="zh-CN"/>
        </w:rPr>
        <w:t>24.08</w:t>
      </w:r>
      <w:r>
        <w:rPr>
          <w:rFonts w:hint="default" w:ascii="Times New Roman" w:hAnsi="Times New Roman" w:eastAsia="仿宋_GB2312" w:cs="Times New Roman"/>
          <w:b w:val="0"/>
          <w:bCs/>
          <w:color w:val="000000"/>
          <w:sz w:val="32"/>
          <w:szCs w:val="32"/>
          <w:lang w:eastAsia="zh-CN"/>
        </w:rPr>
        <w:t>亿元</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eastAsia="zh-CN"/>
        </w:rPr>
        <w:t>成功发行专项债券</w:t>
      </w:r>
      <w:r>
        <w:rPr>
          <w:rFonts w:hint="eastAsia" w:ascii="Times New Roman" w:hAnsi="Times New Roman" w:eastAsia="仿宋_GB2312" w:cs="Times New Roman"/>
          <w:b w:val="0"/>
          <w:bCs/>
          <w:color w:val="000000"/>
          <w:sz w:val="32"/>
          <w:szCs w:val="32"/>
          <w:lang w:val="en-US" w:eastAsia="zh-CN"/>
        </w:rPr>
        <w:t>12.49</w:t>
      </w:r>
      <w:r>
        <w:rPr>
          <w:rFonts w:hint="default" w:ascii="Times New Roman" w:hAnsi="Times New Roman" w:eastAsia="仿宋_GB2312" w:cs="Times New Roman"/>
          <w:b w:val="0"/>
          <w:bCs/>
          <w:color w:val="000000"/>
          <w:sz w:val="32"/>
          <w:szCs w:val="32"/>
          <w:lang w:eastAsia="zh-CN"/>
        </w:rPr>
        <w:t>亿元。</w:t>
      </w:r>
      <w:r>
        <w:rPr>
          <w:rFonts w:hint="default" w:ascii="Times New Roman" w:hAnsi="Times New Roman" w:eastAsia="仿宋_GB2312" w:cs="Times New Roman"/>
          <w:b/>
          <w:bCs w:val="0"/>
          <w:color w:val="000000"/>
          <w:sz w:val="32"/>
          <w:szCs w:val="32"/>
          <w:lang w:eastAsia="zh-CN"/>
        </w:rPr>
        <w:t>抓土地保障</w:t>
      </w:r>
      <w:r>
        <w:rPr>
          <w:rFonts w:hint="eastAsia"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val="0"/>
          <w:bCs/>
          <w:color w:val="000000"/>
          <w:sz w:val="32"/>
          <w:szCs w:val="32"/>
          <w:lang w:eastAsia="zh-CN"/>
        </w:rPr>
        <w:t>阎良区、航空基地资规</w:t>
      </w:r>
      <w:r>
        <w:rPr>
          <w:rFonts w:hint="eastAsia" w:ascii="Times New Roman" w:hAnsi="Times New Roman" w:eastAsia="仿宋_GB2312" w:cs="Times New Roman"/>
          <w:b w:val="0"/>
          <w:bCs/>
          <w:color w:val="000000"/>
          <w:sz w:val="32"/>
          <w:szCs w:val="32"/>
          <w:lang w:val="en-US" w:eastAsia="zh-CN"/>
        </w:rPr>
        <w:t>部门</w:t>
      </w:r>
      <w:r>
        <w:rPr>
          <w:rFonts w:hint="default" w:ascii="Times New Roman" w:hAnsi="Times New Roman" w:eastAsia="仿宋_GB2312" w:cs="Times New Roman"/>
          <w:b w:val="0"/>
          <w:bCs/>
          <w:color w:val="000000"/>
          <w:sz w:val="32"/>
          <w:szCs w:val="32"/>
          <w:lang w:eastAsia="zh-CN"/>
        </w:rPr>
        <w:t>加大对上沟通协调，协同加快土地性质调整、组卷报批和</w:t>
      </w:r>
      <w:r>
        <w:rPr>
          <w:rFonts w:hint="eastAsia" w:ascii="Times New Roman" w:hAnsi="Times New Roman" w:eastAsia="仿宋_GB2312" w:cs="Times New Roman"/>
          <w:b w:val="0"/>
          <w:bCs/>
          <w:color w:val="000000"/>
          <w:sz w:val="32"/>
          <w:szCs w:val="32"/>
          <w:lang w:eastAsia="zh-CN"/>
        </w:rPr>
        <w:t>土地</w:t>
      </w:r>
      <w:r>
        <w:rPr>
          <w:rFonts w:hint="default" w:ascii="Times New Roman" w:hAnsi="Times New Roman" w:eastAsia="仿宋_GB2312" w:cs="Times New Roman"/>
          <w:b w:val="0"/>
          <w:bCs/>
          <w:color w:val="000000"/>
          <w:sz w:val="32"/>
          <w:szCs w:val="32"/>
          <w:lang w:eastAsia="zh-CN"/>
        </w:rPr>
        <w:t>供应。</w:t>
      </w:r>
      <w:r>
        <w:rPr>
          <w:rFonts w:hint="eastAsia" w:ascii="Times New Roman" w:hAnsi="Times New Roman" w:eastAsia="仿宋_GB2312" w:cs="Times New Roman"/>
          <w:b w:val="0"/>
          <w:bCs/>
          <w:color w:val="000000"/>
          <w:sz w:val="32"/>
          <w:szCs w:val="32"/>
          <w:lang w:eastAsia="zh-CN"/>
        </w:rPr>
        <w:t>共完成36</w:t>
      </w:r>
      <w:r>
        <w:rPr>
          <w:rFonts w:hint="eastAsia" w:ascii="Times New Roman" w:hAnsi="Times New Roman" w:eastAsia="仿宋_GB2312" w:cs="Times New Roman"/>
          <w:b w:val="0"/>
          <w:bCs/>
          <w:color w:val="000000"/>
          <w:sz w:val="32"/>
          <w:szCs w:val="32"/>
          <w:lang w:val="en-US" w:eastAsia="zh-CN"/>
        </w:rPr>
        <w:t>4</w:t>
      </w:r>
      <w:r>
        <w:rPr>
          <w:rFonts w:hint="eastAsia" w:ascii="Times New Roman" w:hAnsi="Times New Roman" w:eastAsia="仿宋_GB2312" w:cs="Times New Roman"/>
          <w:b w:val="0"/>
          <w:bCs/>
          <w:color w:val="000000"/>
          <w:sz w:val="32"/>
          <w:szCs w:val="32"/>
          <w:lang w:eastAsia="zh-CN"/>
        </w:rPr>
        <w:t>0亩项目用地保障</w:t>
      </w:r>
      <w:r>
        <w:rPr>
          <w:rFonts w:hint="default" w:ascii="Times New Roman" w:hAnsi="Times New Roman" w:eastAsia="仿宋_GB2312" w:cs="Times New Roman"/>
          <w:b w:val="0"/>
          <w:bCs/>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78" w:lineRule="exact"/>
        <w:ind w:firstLine="643"/>
        <w:textAlignment w:val="auto"/>
        <w:rPr>
          <w:rFonts w:hint="default"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b w:val="0"/>
          <w:bCs/>
          <w:color w:val="000000"/>
          <w:sz w:val="32"/>
          <w:szCs w:val="32"/>
          <w:lang w:eastAsia="zh-CN"/>
        </w:rPr>
        <w:t>抓入统纳统，持续扩大有效投资。</w:t>
      </w:r>
      <w:r>
        <w:rPr>
          <w:rFonts w:hint="default" w:ascii="Times New Roman" w:hAnsi="Times New Roman" w:eastAsia="仿宋_GB2312" w:cs="Times New Roman"/>
          <w:b/>
          <w:bCs/>
          <w:sz w:val="32"/>
          <w:szCs w:val="32"/>
          <w:lang w:eastAsia="zh-CN"/>
        </w:rPr>
        <w:t>开工项目抓入库，</w:t>
      </w:r>
      <w:r>
        <w:rPr>
          <w:rFonts w:hint="default" w:ascii="Times New Roman" w:hAnsi="Times New Roman" w:eastAsia="仿宋_GB2312" w:cs="Times New Roman"/>
          <w:sz w:val="32"/>
          <w:szCs w:val="32"/>
          <w:lang w:eastAsia="zh-CN"/>
        </w:rPr>
        <w:t>专人定期梳理新审批、备案、新开工项目，形成项目形象进度表，实时了解项目进展情况，一旦具备入库条件，第一时间申报，</w:t>
      </w:r>
      <w:r>
        <w:rPr>
          <w:rFonts w:hint="eastAsia" w:ascii="Times New Roman" w:hAnsi="Times New Roman" w:eastAsia="仿宋_GB2312" w:cs="Times New Roman"/>
          <w:sz w:val="32"/>
          <w:szCs w:val="32"/>
          <w:lang w:eastAsia="zh-CN"/>
        </w:rPr>
        <w:t>做到</w:t>
      </w:r>
      <w:r>
        <w:rPr>
          <w:rFonts w:hint="default" w:ascii="Times New Roman" w:hAnsi="Times New Roman" w:eastAsia="仿宋_GB2312" w:cs="Times New Roman"/>
          <w:sz w:val="32"/>
          <w:szCs w:val="32"/>
          <w:lang w:eastAsia="zh-CN"/>
        </w:rPr>
        <w:t>“开工即入库”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在库项目抓入统，</w:t>
      </w:r>
      <w:r>
        <w:rPr>
          <w:rFonts w:hint="default" w:ascii="Times New Roman" w:hAnsi="Times New Roman" w:eastAsia="仿宋_GB2312" w:cs="Times New Roman"/>
          <w:sz w:val="32"/>
          <w:szCs w:val="32"/>
          <w:lang w:eastAsia="zh-CN"/>
        </w:rPr>
        <w:t>在项目入统上，强化与统计部门协作联动，积极开展专项指导，强化企业依法入统、及时入统意识；对于项目入统工作中遇到的问题，专人负责协调问题解决，推进符合条件项目合规、及时入统。</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color w:val="000000"/>
          <w:sz w:val="32"/>
          <w:szCs w:val="32"/>
          <w:lang w:val="en-US" w:eastAsia="zh-CN"/>
        </w:rPr>
        <w:t>22年以来</w:t>
      </w:r>
      <w:r>
        <w:rPr>
          <w:rFonts w:hint="default" w:ascii="Times New Roman" w:hAnsi="Times New Roman" w:eastAsia="仿宋_GB2312" w:cs="Times New Roman"/>
          <w:color w:val="000000"/>
          <w:sz w:val="32"/>
          <w:szCs w:val="32"/>
          <w:lang w:eastAsia="zh-CN"/>
        </w:rPr>
        <w:t>重点项目投资拉动效应增强，对固定资产形成强力支撑，</w:t>
      </w:r>
      <w:r>
        <w:rPr>
          <w:rFonts w:hint="eastAsia" w:ascii="Times New Roman" w:hAnsi="Times New Roman" w:eastAsia="仿宋_GB2312" w:cs="Times New Roman"/>
          <w:color w:val="000000"/>
          <w:sz w:val="32"/>
          <w:szCs w:val="32"/>
          <w:lang w:val="en-US" w:eastAsia="zh-CN"/>
        </w:rPr>
        <w:t>1-11月固定资产完成163.6亿元，同比</w:t>
      </w:r>
      <w:r>
        <w:rPr>
          <w:rFonts w:hint="eastAsia" w:ascii="Times New Roman" w:hAnsi="Times New Roman" w:eastAsia="仿宋_GB2312" w:cs="Times New Roman"/>
          <w:color w:val="000000"/>
          <w:sz w:val="32"/>
          <w:szCs w:val="32"/>
          <w:lang w:eastAsia="zh-CN"/>
        </w:rPr>
        <w:t>增长</w:t>
      </w:r>
      <w:r>
        <w:rPr>
          <w:rFonts w:hint="eastAsia" w:ascii="Times New Roman" w:hAnsi="Times New Roman" w:eastAsia="仿宋_GB2312" w:cs="Times New Roman"/>
          <w:color w:val="000000"/>
          <w:sz w:val="32"/>
          <w:szCs w:val="32"/>
          <w:lang w:val="en-US" w:eastAsia="zh-CN"/>
        </w:rPr>
        <w:t>57.6%，蝉联全市第一。</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从目前进展情况看，大部分项目进展顺利，超额完成年度目标任务，但也存在一些困难和问题。</w:t>
      </w:r>
      <w:r>
        <w:rPr>
          <w:rFonts w:hint="default" w:ascii="Times New Roman" w:hAnsi="Times New Roman" w:eastAsia="仿宋_GB2312" w:cs="Times New Roman"/>
          <w:b/>
          <w:bCs/>
          <w:sz w:val="32"/>
          <w:szCs w:val="32"/>
          <w:lang w:eastAsia="zh-CN"/>
        </w:rPr>
        <w:t>一是部分项目前期手续尚未办结</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lang w:eastAsia="zh-CN"/>
        </w:rPr>
        <w:t>因设计方案、建设内容调整及土地资金等因素影响，仍有</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个项目前期手续未办结</w:t>
      </w:r>
      <w:r>
        <w:rPr>
          <w:rFonts w:hint="eastAsia" w:ascii="Times New Roman" w:hAnsi="Times New Roman" w:cs="Times New Roman"/>
          <w:sz w:val="32"/>
          <w:szCs w:val="32"/>
          <w:lang w:eastAsia="zh-CN"/>
        </w:rPr>
        <w:t>。</w:t>
      </w:r>
      <w:r>
        <w:rPr>
          <w:rFonts w:hint="default" w:ascii="Times New Roman" w:hAnsi="Times New Roman" w:eastAsia="仿宋_GB2312" w:cs="Times New Roman"/>
          <w:b/>
          <w:bCs/>
          <w:kern w:val="2"/>
          <w:sz w:val="32"/>
          <w:szCs w:val="32"/>
          <w:lang w:val="en-US" w:eastAsia="zh-CN" w:bidi="ar-SA"/>
        </w:rPr>
        <w:t>二是项目前期论证不足，</w:t>
      </w: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个项目不能按年度计划开工建设，出现调出和调整年度计划情况</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b/>
          <w:bCs/>
          <w:kern w:val="2"/>
          <w:sz w:val="32"/>
          <w:szCs w:val="32"/>
          <w:lang w:val="en-US" w:eastAsia="zh-CN" w:bidi="ar-SA"/>
        </w:rPr>
        <w:t>三</w:t>
      </w:r>
      <w:r>
        <w:rPr>
          <w:rFonts w:hint="default" w:ascii="Times New Roman" w:hAnsi="Times New Roman" w:eastAsia="仿宋_GB2312" w:cs="Times New Roman"/>
          <w:b/>
          <w:bCs/>
          <w:kern w:val="2"/>
          <w:sz w:val="32"/>
          <w:szCs w:val="32"/>
          <w:lang w:val="en-US" w:eastAsia="zh-CN" w:bidi="ar-SA"/>
        </w:rPr>
        <w:t>是谋划项目能力不足，</w:t>
      </w:r>
      <w:r>
        <w:rPr>
          <w:rFonts w:hint="eastAsia" w:ascii="Times New Roman" w:hAnsi="Times New Roman" w:eastAsia="仿宋_GB2312" w:cs="Times New Roman"/>
          <w:b w:val="0"/>
          <w:bCs w:val="0"/>
          <w:kern w:val="2"/>
          <w:sz w:val="32"/>
          <w:szCs w:val="32"/>
          <w:lang w:val="en-US" w:eastAsia="zh-CN" w:bidi="ar-SA"/>
        </w:rPr>
        <w:t>个别单位</w:t>
      </w:r>
      <w:r>
        <w:rPr>
          <w:rFonts w:hint="default" w:ascii="Times New Roman" w:hAnsi="Times New Roman" w:eastAsia="仿宋_GB2312" w:cs="Times New Roman"/>
          <w:b w:val="0"/>
          <w:bCs w:val="0"/>
          <w:kern w:val="2"/>
          <w:sz w:val="32"/>
          <w:szCs w:val="32"/>
          <w:lang w:val="en-US" w:eastAsia="zh-CN" w:bidi="ar-SA"/>
        </w:rPr>
        <w:t>对本系统、本区域</w:t>
      </w:r>
      <w:r>
        <w:rPr>
          <w:rFonts w:hint="default" w:ascii="Times New Roman" w:hAnsi="Times New Roman" w:eastAsia="仿宋_GB2312" w:cs="Times New Roman"/>
          <w:kern w:val="2"/>
          <w:sz w:val="32"/>
          <w:szCs w:val="32"/>
          <w:lang w:val="en-US" w:eastAsia="zh-CN" w:bidi="ar-SA"/>
        </w:rPr>
        <w:t>摸底不全面，挖潜不够</w:t>
      </w:r>
      <w:r>
        <w:rPr>
          <w:rFonts w:hint="eastAsia" w:ascii="Times New Roman" w:hAnsi="Times New Roman" w:cs="Times New Roman"/>
          <w:kern w:val="2"/>
          <w:sz w:val="32"/>
          <w:szCs w:val="32"/>
          <w:lang w:val="en-US" w:eastAsia="zh-CN" w:bidi="ar-SA"/>
        </w:rPr>
        <w:t>，项目质量不高或缺失</w:t>
      </w:r>
      <w:r>
        <w:rPr>
          <w:rFonts w:hint="default" w:ascii="Times New Roman" w:hAnsi="Times New Roman" w:eastAsia="仿宋_GB2312" w:cs="Times New Roman"/>
          <w:kern w:val="2"/>
          <w:sz w:val="32"/>
          <w:szCs w:val="32"/>
          <w:lang w:val="en-US" w:eastAsia="zh-CN" w:bidi="ar-SA"/>
        </w:rPr>
        <w:t>。对于这些问题，我们将高度重视，精准施策，采取切实措施，认真加以解决。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color w:val="000000"/>
          <w:sz w:val="32"/>
          <w:szCs w:val="32"/>
        </w:rPr>
        <w:t>2023年重点建设项目计划</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w:t>
      </w:r>
      <w:r>
        <w:rPr>
          <w:rFonts w:hint="default" w:ascii="Times New Roman" w:hAnsi="Times New Roman" w:eastAsia="楷体_GB2312" w:cs="Times New Roman"/>
          <w:kern w:val="2"/>
          <w:sz w:val="32"/>
          <w:szCs w:val="32"/>
          <w:lang w:val="en-US" w:eastAsia="zh-CN" w:bidi="ar-SA"/>
        </w:rPr>
        <w:t>安排原则</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2023年市区级重点建设项目在安排</w:t>
      </w:r>
      <w:r>
        <w:rPr>
          <w:rFonts w:hint="eastAsia" w:ascii="Times New Roman" w:hAnsi="Times New Roman" w:cs="Times New Roman"/>
          <w:kern w:val="2"/>
          <w:sz w:val="32"/>
          <w:szCs w:val="32"/>
          <w:lang w:val="en-US" w:eastAsia="zh-CN" w:bidi="ar-SA"/>
        </w:rPr>
        <w:t>中</w:t>
      </w:r>
      <w:r>
        <w:rPr>
          <w:rFonts w:hint="default" w:ascii="Times New Roman" w:hAnsi="Times New Roman" w:eastAsia="仿宋_GB2312" w:cs="Times New Roman"/>
          <w:kern w:val="2"/>
          <w:sz w:val="32"/>
          <w:szCs w:val="32"/>
          <w:lang w:val="en-US" w:eastAsia="zh-CN" w:bidi="ar-SA"/>
        </w:rPr>
        <w:t>，紧扣高质量发展主题，聚焦</w:t>
      </w:r>
      <w:r>
        <w:rPr>
          <w:rFonts w:hint="eastAsia" w:ascii="Times New Roman" w:hAnsi="Times New Roman" w:cs="Times New Roman"/>
          <w:kern w:val="2"/>
          <w:sz w:val="32"/>
          <w:szCs w:val="32"/>
          <w:lang w:val="en-US" w:eastAsia="zh-CN" w:bidi="ar-SA"/>
        </w:rPr>
        <w:t>八</w:t>
      </w:r>
      <w:r>
        <w:rPr>
          <w:rFonts w:hint="default" w:ascii="Times New Roman" w:hAnsi="Times New Roman" w:eastAsia="仿宋_GB2312" w:cs="Times New Roman"/>
          <w:kern w:val="2"/>
          <w:sz w:val="32"/>
          <w:szCs w:val="32"/>
          <w:lang w:val="en-US" w:eastAsia="zh-CN" w:bidi="ar-SA"/>
        </w:rPr>
        <w:t>个方面重点工作和“六个阎良”</w:t>
      </w:r>
      <w:r>
        <w:rPr>
          <w:rFonts w:hint="eastAsia" w:ascii="Times New Roman" w:hAnsi="Times New Roman" w:cs="Times New Roman"/>
          <w:kern w:val="2"/>
          <w:sz w:val="32"/>
          <w:szCs w:val="32"/>
          <w:lang w:val="en-US" w:eastAsia="zh-CN" w:bidi="ar-SA"/>
        </w:rPr>
        <w:t>建设</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突出“十措并举”，建设“八个之城”，全面加速世界一流航空新城建设步伐</w:t>
      </w:r>
      <w:r>
        <w:rPr>
          <w:rFonts w:hint="default" w:ascii="Times New Roman" w:hAnsi="Times New Roman" w:eastAsia="仿宋_GB2312" w:cs="Times New Roman"/>
          <w:kern w:val="2"/>
          <w:sz w:val="32"/>
          <w:szCs w:val="32"/>
          <w:lang w:val="en-US" w:eastAsia="zh-CN" w:bidi="ar-SA"/>
        </w:rPr>
        <w:t>。同时，加大项目储备力度，努力形成“谋划储备一批、开工建设一批、竣工投产一批”梯次发展格局，以高质量项目引领高质量发展。</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（二）形成过程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bCs/>
          <w:sz w:val="32"/>
          <w:szCs w:val="32"/>
        </w:rPr>
        <w:t>一是动手“早”。</w:t>
      </w:r>
      <w:r>
        <w:rPr>
          <w:rFonts w:hint="default" w:ascii="Times New Roman" w:hAnsi="Times New Roman" w:eastAsia="仿宋_GB2312" w:cs="Times New Roman"/>
          <w:spacing w:val="6"/>
          <w:sz w:val="32"/>
          <w:szCs w:val="32"/>
        </w:rPr>
        <w:t>为谋划好2023年重点项目，7月份即着手谋划储备重点项目盘子，力求实现“战略机遇抢在前，政策红利吃在前，问题困难想在前，前期手续办在前”，全力做精做细项目盘子。</w:t>
      </w:r>
      <w:r>
        <w:rPr>
          <w:rFonts w:hint="default" w:ascii="Times New Roman" w:hAnsi="Times New Roman" w:eastAsia="仿宋_GB2312" w:cs="Times New Roman"/>
          <w:b/>
          <w:bCs/>
          <w:spacing w:val="6"/>
          <w:sz w:val="32"/>
          <w:szCs w:val="32"/>
        </w:rPr>
        <w:t>二是谋划“准”</w:t>
      </w:r>
      <w:r>
        <w:rPr>
          <w:rFonts w:hint="default" w:ascii="Times New Roman" w:hAnsi="Times New Roman" w:eastAsia="仿宋_GB2312" w:cs="Times New Roman"/>
          <w:spacing w:val="6"/>
          <w:sz w:val="32"/>
          <w:szCs w:val="32"/>
        </w:rPr>
        <w:t>。坚持好钢用在刀刃上，项目筛选紧扣</w:t>
      </w:r>
      <w:r>
        <w:rPr>
          <w:rFonts w:hint="eastAsia" w:ascii="Times New Roman" w:hAnsi="Times New Roman" w:cs="Times New Roman"/>
          <w:spacing w:val="6"/>
          <w:sz w:val="32"/>
          <w:szCs w:val="32"/>
          <w:lang w:val="en-US" w:eastAsia="zh-CN"/>
        </w:rPr>
        <w:t>上级</w:t>
      </w:r>
      <w:r>
        <w:rPr>
          <w:rFonts w:hint="default" w:ascii="Times New Roman" w:hAnsi="Times New Roman" w:eastAsia="仿宋_GB2312" w:cs="Times New Roman"/>
          <w:spacing w:val="6"/>
          <w:sz w:val="32"/>
          <w:szCs w:val="32"/>
        </w:rPr>
        <w:t>资金投向和产业政策方向，聚焦航空航天产业、园区建设、基础设施、民生保障等重点领域。</w:t>
      </w:r>
      <w:r>
        <w:rPr>
          <w:rFonts w:hint="eastAsia" w:ascii="Times New Roman" w:hAnsi="Times New Roman" w:cs="Times New Roman"/>
          <w:b/>
          <w:bCs/>
          <w:spacing w:val="6"/>
          <w:sz w:val="32"/>
          <w:szCs w:val="32"/>
          <w:lang w:val="en-US" w:eastAsia="zh-CN"/>
        </w:rPr>
        <w:t>三</w:t>
      </w:r>
      <w:r>
        <w:rPr>
          <w:rFonts w:hint="default" w:ascii="Times New Roman" w:hAnsi="Times New Roman" w:eastAsia="仿宋_GB2312" w:cs="Times New Roman"/>
          <w:b/>
          <w:bCs/>
          <w:spacing w:val="6"/>
          <w:sz w:val="32"/>
          <w:szCs w:val="32"/>
        </w:rPr>
        <w:t>是论证“实”</w:t>
      </w:r>
      <w:r>
        <w:rPr>
          <w:rFonts w:hint="eastAsia" w:ascii="Times New Roman" w:hAnsi="Times New Roman" w:cs="Times New Roman"/>
          <w:b/>
          <w:bCs/>
          <w:spacing w:val="6"/>
          <w:sz w:val="32"/>
          <w:szCs w:val="32"/>
          <w:lang w:eastAsia="zh-CN"/>
        </w:rPr>
        <w:t>。</w:t>
      </w:r>
      <w:r>
        <w:rPr>
          <w:rFonts w:hint="default" w:ascii="Times New Roman" w:hAnsi="Times New Roman" w:eastAsia="仿宋_GB2312" w:cs="Times New Roman"/>
          <w:spacing w:val="6"/>
          <w:sz w:val="32"/>
          <w:szCs w:val="32"/>
        </w:rPr>
        <w:t>先后四轮次征集，区级相关部门、各街办和开发区立足实际，认真谋划、积极报送。在</w:t>
      </w:r>
      <w:r>
        <w:rPr>
          <w:rFonts w:hint="eastAsia" w:ascii="Times New Roman" w:hAnsi="Times New Roman" w:cs="Times New Roman"/>
          <w:spacing w:val="6"/>
          <w:sz w:val="32"/>
          <w:szCs w:val="32"/>
          <w:lang w:val="en-US" w:eastAsia="zh-CN"/>
        </w:rPr>
        <w:t>3次</w:t>
      </w:r>
      <w:r>
        <w:rPr>
          <w:rFonts w:hint="default" w:ascii="Times New Roman" w:hAnsi="Times New Roman" w:eastAsia="仿宋_GB2312" w:cs="Times New Roman"/>
          <w:spacing w:val="6"/>
          <w:sz w:val="32"/>
          <w:szCs w:val="32"/>
        </w:rPr>
        <w:t>征求意见建议后，会同资源规划、财政、生态环境、住建等有关部门</w:t>
      </w:r>
      <w:r>
        <w:rPr>
          <w:rFonts w:hint="eastAsia" w:ascii="Times New Roman" w:hAnsi="Times New Roman" w:cs="Times New Roman"/>
          <w:spacing w:val="6"/>
          <w:sz w:val="32"/>
          <w:szCs w:val="32"/>
          <w:lang w:val="en-US" w:eastAsia="zh-CN"/>
        </w:rPr>
        <w:t>深入研判</w:t>
      </w:r>
      <w:r>
        <w:rPr>
          <w:rFonts w:hint="eastAsia" w:ascii="Times New Roman" w:hAnsi="Times New Roman" w:cs="Times New Roman"/>
          <w:spacing w:val="6"/>
          <w:sz w:val="32"/>
          <w:szCs w:val="32"/>
          <w:lang w:eastAsia="zh-CN"/>
        </w:rPr>
        <w:t>、</w:t>
      </w:r>
      <w:r>
        <w:rPr>
          <w:rFonts w:hint="default" w:ascii="Times New Roman" w:hAnsi="Times New Roman" w:eastAsia="仿宋_GB2312" w:cs="Times New Roman"/>
          <w:spacing w:val="6"/>
          <w:sz w:val="32"/>
          <w:szCs w:val="32"/>
        </w:rPr>
        <w:t>反复论证，形成2023年重点建设项目计划。</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（三）项目有关情况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b w:val="0"/>
          <w:bCs w:val="0"/>
          <w:sz w:val="32"/>
          <w:szCs w:val="32"/>
          <w:lang w:val="en-US" w:eastAsia="zh-CN"/>
        </w:rPr>
        <w:t>2023年，</w:t>
      </w:r>
      <w:r>
        <w:rPr>
          <w:rFonts w:hint="eastAsia" w:ascii="Times New Roman" w:hAnsi="Times New Roman" w:cs="Times New Roman"/>
          <w:b w:val="0"/>
          <w:bCs w:val="0"/>
          <w:sz w:val="32"/>
          <w:szCs w:val="32"/>
          <w:lang w:eastAsia="zh-CN"/>
        </w:rPr>
        <w:t>计划安排</w:t>
      </w:r>
      <w:r>
        <w:rPr>
          <w:rFonts w:hint="default" w:ascii="Times New Roman" w:hAnsi="Times New Roman" w:eastAsia="仿宋_GB2312" w:cs="Times New Roman"/>
          <w:b w:val="0"/>
          <w:bCs w:val="0"/>
          <w:sz w:val="32"/>
          <w:szCs w:val="32"/>
        </w:rPr>
        <w:t>区</w:t>
      </w:r>
      <w:r>
        <w:rPr>
          <w:rFonts w:hint="eastAsia" w:ascii="Times New Roman" w:hAnsi="Times New Roman" w:cs="Times New Roman"/>
          <w:b w:val="0"/>
          <w:bCs w:val="0"/>
          <w:sz w:val="32"/>
          <w:szCs w:val="32"/>
          <w:lang w:eastAsia="zh-CN"/>
        </w:rPr>
        <w:t>级</w:t>
      </w:r>
      <w:r>
        <w:rPr>
          <w:rFonts w:hint="default" w:ascii="Times New Roman" w:hAnsi="Times New Roman" w:eastAsia="仿宋_GB2312" w:cs="Times New Roman"/>
          <w:b w:val="0"/>
          <w:bCs w:val="0"/>
          <w:sz w:val="32"/>
          <w:szCs w:val="32"/>
        </w:rPr>
        <w:t>重点项目</w:t>
      </w:r>
      <w:r>
        <w:rPr>
          <w:rFonts w:hint="eastAsia" w:ascii="Times New Roman" w:hAnsi="Times New Roman" w:cs="Times New Roman"/>
          <w:b w:val="0"/>
          <w:bCs w:val="0"/>
          <w:sz w:val="32"/>
          <w:szCs w:val="32"/>
          <w:lang w:val="en-US" w:eastAsia="zh-CN"/>
        </w:rPr>
        <w:t>144</w:t>
      </w:r>
      <w:r>
        <w:rPr>
          <w:rFonts w:hint="default" w:ascii="Times New Roman" w:hAnsi="Times New Roman" w:eastAsia="仿宋_GB2312" w:cs="Times New Roman"/>
          <w:b w:val="0"/>
          <w:bCs w:val="0"/>
          <w:sz w:val="32"/>
          <w:szCs w:val="32"/>
        </w:rPr>
        <w:t>个，</w:t>
      </w:r>
      <w:r>
        <w:rPr>
          <w:rFonts w:hint="default" w:ascii="Times New Roman" w:hAnsi="Times New Roman" w:eastAsia="仿宋_GB2312" w:cs="Times New Roman"/>
          <w:sz w:val="32"/>
          <w:szCs w:val="32"/>
        </w:rPr>
        <w:t>总投资</w:t>
      </w:r>
      <w:r>
        <w:rPr>
          <w:rFonts w:hint="eastAsia" w:ascii="Times New Roman" w:hAnsi="Times New Roman" w:cs="Times New Roman"/>
          <w:sz w:val="32"/>
          <w:szCs w:val="32"/>
          <w:lang w:val="en-US" w:eastAsia="zh-CN"/>
        </w:rPr>
        <w:t>1236.1</w:t>
      </w:r>
      <w:r>
        <w:rPr>
          <w:rFonts w:hint="default" w:ascii="Times New Roman" w:hAnsi="Times New Roman" w:eastAsia="仿宋_GB2312" w:cs="Times New Roman"/>
          <w:sz w:val="32"/>
          <w:szCs w:val="32"/>
        </w:rPr>
        <w:t>亿元，年计划投资</w:t>
      </w:r>
      <w:r>
        <w:rPr>
          <w:rFonts w:hint="eastAsia" w:ascii="Times New Roman" w:hAnsi="Times New Roman" w:cs="Times New Roman"/>
          <w:sz w:val="32"/>
          <w:szCs w:val="32"/>
          <w:lang w:val="en-US" w:eastAsia="zh-CN"/>
        </w:rPr>
        <w:t>198.52</w:t>
      </w:r>
      <w:r>
        <w:rPr>
          <w:rFonts w:hint="default" w:ascii="Times New Roman" w:hAnsi="Times New Roman" w:eastAsia="仿宋_GB2312" w:cs="Times New Roman"/>
          <w:sz w:val="32"/>
          <w:szCs w:val="32"/>
        </w:rPr>
        <w:t>亿元。</w:t>
      </w:r>
      <w:r>
        <w:rPr>
          <w:rFonts w:hint="eastAsia" w:ascii="Times New Roman" w:hAnsi="Times New Roman" w:cs="Times New Roman"/>
          <w:sz w:val="32"/>
          <w:szCs w:val="32"/>
          <w:lang w:eastAsia="zh-CN"/>
        </w:rPr>
        <w:t>其中，</w:t>
      </w:r>
      <w:r>
        <w:rPr>
          <w:rFonts w:hint="default" w:ascii="Times New Roman" w:hAnsi="Times New Roman" w:eastAsia="仿宋_GB2312" w:cs="Times New Roman"/>
          <w:sz w:val="32"/>
          <w:szCs w:val="32"/>
        </w:rPr>
        <w:t>新建重点项目</w:t>
      </w:r>
      <w:r>
        <w:rPr>
          <w:rFonts w:hint="eastAsia" w:ascii="Times New Roman" w:hAnsi="Times New Roman" w:cs="Times New Roman"/>
          <w:sz w:val="32"/>
          <w:szCs w:val="32"/>
          <w:lang w:val="en-US" w:eastAsia="zh-CN"/>
        </w:rPr>
        <w:t>59</w:t>
      </w:r>
      <w:r>
        <w:rPr>
          <w:rFonts w:hint="default" w:ascii="Times New Roman" w:hAnsi="Times New Roman" w:eastAsia="仿宋_GB2312" w:cs="Times New Roman"/>
          <w:sz w:val="32"/>
          <w:szCs w:val="32"/>
        </w:rPr>
        <w:t>个，总投资</w:t>
      </w:r>
      <w:r>
        <w:rPr>
          <w:rFonts w:hint="eastAsia" w:ascii="Times New Roman" w:hAnsi="Times New Roman" w:cs="Times New Roman"/>
          <w:sz w:val="32"/>
          <w:szCs w:val="32"/>
          <w:lang w:val="en-US" w:eastAsia="zh-CN"/>
        </w:rPr>
        <w:t>231.42</w:t>
      </w:r>
      <w:r>
        <w:rPr>
          <w:rFonts w:hint="default" w:ascii="Times New Roman" w:hAnsi="Times New Roman" w:eastAsia="仿宋_GB2312" w:cs="Times New Roman"/>
          <w:sz w:val="32"/>
          <w:szCs w:val="32"/>
        </w:rPr>
        <w:t>亿元，年计划投资</w:t>
      </w:r>
      <w:r>
        <w:rPr>
          <w:rFonts w:hint="eastAsia" w:ascii="Times New Roman" w:hAnsi="Times New Roman" w:cs="Times New Roman"/>
          <w:sz w:val="32"/>
          <w:szCs w:val="32"/>
          <w:lang w:val="en-US" w:eastAsia="zh-CN"/>
        </w:rPr>
        <w:t>95</w:t>
      </w:r>
      <w:r>
        <w:rPr>
          <w:rFonts w:hint="default" w:ascii="Times New Roman" w:hAnsi="Times New Roman" w:eastAsia="仿宋_GB2312" w:cs="Times New Roman"/>
          <w:sz w:val="32"/>
          <w:szCs w:val="32"/>
        </w:rPr>
        <w:t>亿元；续建</w:t>
      </w:r>
      <w:r>
        <w:rPr>
          <w:rFonts w:hint="eastAsia" w:ascii="Times New Roman" w:hAnsi="Times New Roman" w:cs="Times New Roman"/>
          <w:sz w:val="32"/>
          <w:szCs w:val="32"/>
          <w:lang w:val="en-US" w:eastAsia="zh-CN"/>
        </w:rPr>
        <w:t>32</w:t>
      </w:r>
      <w:r>
        <w:rPr>
          <w:rFonts w:hint="default" w:ascii="Times New Roman" w:hAnsi="Times New Roman" w:eastAsia="仿宋_GB2312" w:cs="Times New Roman"/>
          <w:sz w:val="32"/>
          <w:szCs w:val="32"/>
        </w:rPr>
        <w:t>个，总投资</w:t>
      </w:r>
      <w:r>
        <w:rPr>
          <w:rFonts w:hint="eastAsia" w:ascii="Times New Roman" w:hAnsi="Times New Roman" w:cs="Times New Roman"/>
          <w:sz w:val="32"/>
          <w:szCs w:val="32"/>
          <w:lang w:val="en-US" w:eastAsia="zh-CN"/>
        </w:rPr>
        <w:t>253.8</w:t>
      </w:r>
      <w:r>
        <w:rPr>
          <w:rFonts w:hint="default" w:ascii="Times New Roman" w:hAnsi="Times New Roman" w:eastAsia="仿宋_GB2312" w:cs="Times New Roman"/>
          <w:sz w:val="32"/>
          <w:szCs w:val="32"/>
        </w:rPr>
        <w:t>亿元，年计划投资</w:t>
      </w:r>
      <w:r>
        <w:rPr>
          <w:rFonts w:hint="eastAsia" w:ascii="Times New Roman" w:hAnsi="Times New Roman" w:cs="Times New Roman"/>
          <w:sz w:val="32"/>
          <w:szCs w:val="32"/>
          <w:lang w:val="en-US" w:eastAsia="zh-CN"/>
        </w:rPr>
        <w:t>103.52</w:t>
      </w:r>
      <w:r>
        <w:rPr>
          <w:rFonts w:hint="default" w:ascii="Times New Roman" w:hAnsi="Times New Roman" w:eastAsia="仿宋_GB2312" w:cs="Times New Roman"/>
          <w:sz w:val="32"/>
          <w:szCs w:val="32"/>
        </w:rPr>
        <w:t>亿元；前期项目</w:t>
      </w:r>
      <w:r>
        <w:rPr>
          <w:rFonts w:hint="eastAsia" w:ascii="Times New Roman" w:hAnsi="Times New Roman" w:cs="Times New Roman"/>
          <w:sz w:val="32"/>
          <w:szCs w:val="32"/>
          <w:lang w:val="en-US" w:eastAsia="zh-CN"/>
        </w:rPr>
        <w:t>53</w:t>
      </w:r>
      <w:r>
        <w:rPr>
          <w:rFonts w:hint="default" w:ascii="Times New Roman" w:hAnsi="Times New Roman" w:eastAsia="仿宋_GB2312" w:cs="Times New Roman"/>
          <w:sz w:val="32"/>
          <w:szCs w:val="32"/>
        </w:rPr>
        <w:t>个，总投资</w:t>
      </w:r>
      <w:r>
        <w:rPr>
          <w:rFonts w:hint="eastAsia" w:ascii="Times New Roman" w:hAnsi="Times New Roman" w:cs="Times New Roman"/>
          <w:sz w:val="32"/>
          <w:szCs w:val="32"/>
          <w:lang w:val="en-US" w:eastAsia="zh-CN"/>
        </w:rPr>
        <w:t>750.88</w:t>
      </w:r>
      <w:r>
        <w:rPr>
          <w:rFonts w:hint="default" w:ascii="Times New Roman" w:hAnsi="Times New Roman" w:eastAsia="仿宋_GB2312" w:cs="Times New Roman"/>
          <w:sz w:val="32"/>
          <w:szCs w:val="32"/>
        </w:rPr>
        <w:t>亿元。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按投资体量分：</w:t>
      </w:r>
      <w:r>
        <w:rPr>
          <w:rFonts w:hint="eastAsia" w:ascii="Times New Roman" w:hAnsi="Times New Roman" w:cs="Times New Roman"/>
          <w:b w:val="0"/>
          <w:bCs w:val="0"/>
          <w:sz w:val="32"/>
          <w:szCs w:val="32"/>
          <w:lang w:val="en-US" w:eastAsia="zh-CN"/>
        </w:rPr>
        <w:t>在建项目中，</w:t>
      </w:r>
      <w:r>
        <w:rPr>
          <w:rFonts w:hint="default" w:ascii="Times New Roman" w:hAnsi="Times New Roman" w:eastAsia="仿宋_GB2312" w:cs="Times New Roman"/>
          <w:sz w:val="32"/>
          <w:szCs w:val="32"/>
        </w:rPr>
        <w:t>1亿元以下项目32个，1-5亿元项目21个，5-10亿元项目25个，10-30亿元项目11个，30亿元以上项目2个。</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按行业类别分：</w:t>
      </w:r>
      <w:r>
        <w:rPr>
          <w:rFonts w:hint="default" w:ascii="Times New Roman" w:hAnsi="Times New Roman" w:eastAsia="仿宋_GB2312" w:cs="Times New Roman"/>
          <w:sz w:val="32"/>
          <w:szCs w:val="32"/>
        </w:rPr>
        <w:t>先进制造业33个，年计划投资96.34亿元，占全年计划投资任务的48.53%；服务业5个，年计划投资20.36亿元，占全年计划投资任务的10.25%；乡村振兴9个，年计划投资2.60亿元，占全年计划投资任务的1.31%；文化旅游3个，年计划投资6.00亿元，占全年计划投资任务的3.02%；城建及基础设施1</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rPr>
        <w:t>个，年计划投资16.</w:t>
      </w:r>
      <w:r>
        <w:rPr>
          <w:rFonts w:hint="eastAsia" w:ascii="Times New Roman" w:hAnsi="Times New Roman" w:cs="Times New Roman"/>
          <w:sz w:val="32"/>
          <w:szCs w:val="32"/>
          <w:lang w:val="en-US" w:eastAsia="zh-CN"/>
        </w:rPr>
        <w:t>7</w:t>
      </w:r>
      <w:r>
        <w:rPr>
          <w:rFonts w:hint="default" w:ascii="Times New Roman" w:hAnsi="Times New Roman" w:eastAsia="仿宋_GB2312" w:cs="Times New Roman"/>
          <w:sz w:val="32"/>
          <w:szCs w:val="32"/>
        </w:rPr>
        <w:t>0亿元，占全年计划投资任务的8.</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1%；生态环保3个，年计划投资0.92亿元，占全年计划投资任务的0.46%；社会事业及民生保障1个，年计划投资1.5亿元，占全年计划投资任务的0.76%；安居工程1</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rPr>
        <w:t>个，年计划投资31.</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8亿元，占全年计划投资任务的15.</w:t>
      </w:r>
      <w:r>
        <w:rPr>
          <w:rFonts w:hint="eastAsia" w:ascii="Times New Roman" w:hAnsi="Times New Roman" w:cs="Times New Roman"/>
          <w:sz w:val="32"/>
          <w:szCs w:val="32"/>
          <w:lang w:val="en-US" w:eastAsia="zh-CN"/>
        </w:rPr>
        <w:t>8</w:t>
      </w:r>
      <w:r>
        <w:rPr>
          <w:rFonts w:hint="default" w:ascii="Times New Roman" w:hAnsi="Times New Roman" w:eastAsia="仿宋_GB2312" w:cs="Times New Roman"/>
          <w:sz w:val="32"/>
          <w:szCs w:val="32"/>
        </w:rPr>
        <w:t>6%；房地产9个，年计划投资22.6</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亿元，占全年计划投资任务的11.</w:t>
      </w:r>
      <w:r>
        <w:rPr>
          <w:rFonts w:hint="eastAsia" w:ascii="Times New Roman" w:hAnsi="Times New Roman" w:cs="Times New Roman"/>
          <w:sz w:val="32"/>
          <w:szCs w:val="32"/>
          <w:lang w:val="en-US" w:eastAsia="zh-CN"/>
        </w:rPr>
        <w:t>39</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（四）主要特点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仿宋_GB2312" w:cs="Times New Roman"/>
          <w:color w:val="000000"/>
          <w:sz w:val="21"/>
          <w:szCs w:val="24"/>
          <w:lang w:eastAsia="zh-CN"/>
        </w:rPr>
      </w:pPr>
      <w:r>
        <w:rPr>
          <w:rFonts w:hint="default" w:ascii="Times New Roman" w:hAnsi="Times New Roman" w:eastAsia="仿宋_GB2312" w:cs="Times New Roman"/>
          <w:b/>
          <w:bCs/>
          <w:color w:val="000000"/>
          <w:sz w:val="32"/>
          <w:szCs w:val="32"/>
        </w:rPr>
        <w:t>一是投资规模实现新突破</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val="en-US" w:eastAsia="zh-CN"/>
        </w:rPr>
        <w:t>2023年</w:t>
      </w:r>
      <w:r>
        <w:rPr>
          <w:rFonts w:hint="eastAsia" w:ascii="Times New Roman" w:hAnsi="Times New Roman" w:cs="Times New Roman"/>
          <w:color w:val="000000"/>
          <w:sz w:val="32"/>
          <w:szCs w:val="32"/>
          <w:lang w:eastAsia="zh-CN"/>
        </w:rPr>
        <w:t>区级</w:t>
      </w:r>
      <w:r>
        <w:rPr>
          <w:rFonts w:hint="eastAsia" w:ascii="Times New Roman" w:hAnsi="Times New Roman" w:cs="Times New Roman"/>
          <w:color w:val="000000"/>
          <w:sz w:val="32"/>
          <w:szCs w:val="32"/>
          <w:lang w:val="en-US" w:eastAsia="zh-CN"/>
        </w:rPr>
        <w:t>重点</w:t>
      </w:r>
      <w:r>
        <w:rPr>
          <w:rFonts w:hint="eastAsia" w:ascii="Times New Roman" w:hAnsi="Times New Roman" w:cs="Times New Roman"/>
          <w:color w:val="000000"/>
          <w:sz w:val="32"/>
          <w:szCs w:val="32"/>
          <w:lang w:eastAsia="zh-CN"/>
        </w:rPr>
        <w:t>项目</w:t>
      </w:r>
      <w:r>
        <w:rPr>
          <w:rFonts w:hint="default" w:ascii="Times New Roman" w:hAnsi="Times New Roman" w:eastAsia="仿宋_GB2312" w:cs="Times New Roman"/>
          <w:color w:val="000000"/>
          <w:sz w:val="32"/>
          <w:szCs w:val="32"/>
        </w:rPr>
        <w:t>总投资和年计划投资较2022年</w:t>
      </w:r>
      <w:r>
        <w:rPr>
          <w:rFonts w:hint="eastAsia" w:ascii="Times New Roman" w:hAnsi="Times New Roman" w:cs="Times New Roman"/>
          <w:color w:val="000000"/>
          <w:sz w:val="32"/>
          <w:szCs w:val="32"/>
          <w:lang w:eastAsia="zh-CN"/>
        </w:rPr>
        <w:t>年初对比</w:t>
      </w:r>
      <w:r>
        <w:rPr>
          <w:rFonts w:hint="default" w:ascii="Times New Roman" w:hAnsi="Times New Roman" w:eastAsia="仿宋_GB2312" w:cs="Times New Roman"/>
          <w:color w:val="000000"/>
          <w:sz w:val="32"/>
          <w:szCs w:val="32"/>
        </w:rPr>
        <w:t>，增长</w:t>
      </w:r>
      <w:r>
        <w:rPr>
          <w:rFonts w:hint="eastAsia" w:ascii="Times New Roman" w:hAnsi="Times New Roman" w:cs="Times New Roman"/>
          <w:color w:val="000000"/>
          <w:sz w:val="32"/>
          <w:szCs w:val="32"/>
          <w:lang w:val="en-US" w:eastAsia="zh-CN"/>
        </w:rPr>
        <w:t>65.87</w:t>
      </w:r>
      <w:r>
        <w:rPr>
          <w:rFonts w:hint="default" w:ascii="Times New Roman" w:hAnsi="Times New Roman" w:eastAsia="仿宋_GB2312" w:cs="Times New Roman"/>
          <w:color w:val="000000"/>
          <w:sz w:val="32"/>
          <w:szCs w:val="32"/>
        </w:rPr>
        <w:t>%和</w:t>
      </w:r>
      <w:r>
        <w:rPr>
          <w:rFonts w:hint="eastAsia" w:ascii="Times New Roman" w:hAnsi="Times New Roman" w:cs="Times New Roman"/>
          <w:color w:val="000000"/>
          <w:sz w:val="32"/>
          <w:szCs w:val="32"/>
          <w:lang w:val="en-US" w:eastAsia="zh-CN"/>
        </w:rPr>
        <w:t>55.5</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b/>
          <w:bCs/>
          <w:color w:val="000000"/>
          <w:sz w:val="32"/>
          <w:szCs w:val="32"/>
        </w:rPr>
        <w:t>二是大项目数量多</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val="en-US" w:eastAsia="zh-CN"/>
        </w:rPr>
        <w:t>2023年</w:t>
      </w:r>
      <w:r>
        <w:rPr>
          <w:rFonts w:hint="eastAsia" w:ascii="Times New Roman" w:hAnsi="Times New Roman" w:cs="Times New Roman"/>
          <w:color w:val="000000"/>
          <w:sz w:val="32"/>
          <w:szCs w:val="32"/>
          <w:lang w:eastAsia="zh-CN"/>
        </w:rPr>
        <w:t>区级项目中，</w:t>
      </w:r>
      <w:r>
        <w:rPr>
          <w:rFonts w:hint="default" w:ascii="Times New Roman" w:hAnsi="Times New Roman" w:eastAsia="仿宋_GB2312" w:cs="Times New Roman"/>
          <w:color w:val="000000"/>
          <w:sz w:val="32"/>
          <w:szCs w:val="32"/>
        </w:rPr>
        <w:t>年度计划投资3亿元以上的项目20个，较</w:t>
      </w:r>
      <w:r>
        <w:rPr>
          <w:rFonts w:hint="eastAsia" w:ascii="Times New Roman" w:hAnsi="Times New Roman" w:cs="Times New Roman"/>
          <w:color w:val="000000"/>
          <w:sz w:val="32"/>
          <w:szCs w:val="32"/>
          <w:lang w:val="en-US" w:eastAsia="zh-CN"/>
        </w:rPr>
        <w:t>2022年</w:t>
      </w:r>
      <w:r>
        <w:rPr>
          <w:rFonts w:hint="eastAsia" w:ascii="Times New Roman" w:hAnsi="Times New Roman" w:cs="Times New Roman"/>
          <w:color w:val="000000"/>
          <w:sz w:val="32"/>
          <w:szCs w:val="32"/>
          <w:lang w:eastAsia="zh-CN"/>
        </w:rPr>
        <w:t>年初</w:t>
      </w:r>
      <w:r>
        <w:rPr>
          <w:rFonts w:hint="default" w:ascii="Times New Roman" w:hAnsi="Times New Roman" w:eastAsia="仿宋_GB2312" w:cs="Times New Roman"/>
          <w:color w:val="000000"/>
          <w:sz w:val="32"/>
          <w:szCs w:val="32"/>
        </w:rPr>
        <w:t>增加8个</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b/>
          <w:bCs/>
          <w:color w:val="000000"/>
          <w:sz w:val="32"/>
          <w:szCs w:val="32"/>
        </w:rPr>
        <w:t>三是产业项目投资占比高</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val="en-US" w:eastAsia="zh-CN"/>
        </w:rPr>
        <w:t>2023年区级重点项目中，</w:t>
      </w:r>
      <w:r>
        <w:rPr>
          <w:rFonts w:hint="default" w:ascii="Times New Roman" w:hAnsi="Times New Roman" w:eastAsia="仿宋_GB2312" w:cs="Times New Roman"/>
          <w:color w:val="000000"/>
          <w:sz w:val="32"/>
          <w:szCs w:val="32"/>
        </w:rPr>
        <w:t>产业类项目</w:t>
      </w:r>
      <w:r>
        <w:rPr>
          <w:rFonts w:hint="eastAsia" w:ascii="Times New Roman" w:hAnsi="Times New Roman" w:cs="Times New Roman"/>
          <w:color w:val="000000"/>
          <w:sz w:val="32"/>
          <w:szCs w:val="32"/>
          <w:lang w:eastAsia="zh-CN"/>
        </w:rPr>
        <w:t>年计划投资</w:t>
      </w:r>
      <w:r>
        <w:rPr>
          <w:rFonts w:hint="eastAsia" w:ascii="Times New Roman" w:hAnsi="Times New Roman" w:cs="Times New Roman"/>
          <w:color w:val="000000"/>
          <w:sz w:val="32"/>
          <w:szCs w:val="32"/>
          <w:lang w:val="en-US" w:eastAsia="zh-CN"/>
        </w:rPr>
        <w:t>122.7亿元，</w:t>
      </w:r>
      <w:r>
        <w:rPr>
          <w:rFonts w:hint="default" w:ascii="Times New Roman" w:hAnsi="Times New Roman" w:eastAsia="仿宋_GB2312" w:cs="Times New Roman"/>
          <w:sz w:val="32"/>
          <w:szCs w:val="32"/>
        </w:rPr>
        <w:t>占全年计划投资任务</w:t>
      </w:r>
      <w:r>
        <w:rPr>
          <w:rFonts w:hint="default" w:ascii="Times New Roman" w:hAnsi="Times New Roman" w:eastAsia="仿宋_GB2312" w:cs="Times New Roman"/>
          <w:color w:val="000000"/>
          <w:sz w:val="32"/>
          <w:szCs w:val="32"/>
        </w:rPr>
        <w:t>的</w:t>
      </w:r>
      <w:r>
        <w:rPr>
          <w:rFonts w:hint="eastAsia" w:ascii="Times New Roman" w:hAnsi="Times New Roman" w:cs="Times New Roman"/>
          <w:color w:val="000000"/>
          <w:sz w:val="32"/>
          <w:szCs w:val="32"/>
          <w:lang w:val="en-US" w:eastAsia="zh-CN"/>
        </w:rPr>
        <w:t>61.8</w:t>
      </w:r>
      <w:r>
        <w:rPr>
          <w:rFonts w:hint="default" w:ascii="Times New Roman" w:hAnsi="Times New Roman" w:eastAsia="仿宋_GB2312" w:cs="Times New Roman"/>
          <w:color w:val="000000"/>
          <w:sz w:val="32"/>
          <w:szCs w:val="32"/>
        </w:rPr>
        <w:t>%，同比增长</w:t>
      </w:r>
      <w:r>
        <w:rPr>
          <w:rFonts w:hint="eastAsia" w:ascii="Times New Roman" w:hAnsi="Times New Roman" w:cs="Times New Roman"/>
          <w:color w:val="000000"/>
          <w:sz w:val="32"/>
          <w:szCs w:val="32"/>
          <w:lang w:val="en-US" w:eastAsia="zh-CN"/>
        </w:rPr>
        <w:t>186</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（五）比较分析</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楷体_GB2312" w:cs="Times New Roman"/>
          <w:color w:val="000000"/>
          <w:sz w:val="24"/>
          <w:szCs w:val="24"/>
        </w:rPr>
      </w:pPr>
      <w:r>
        <w:rPr>
          <w:rFonts w:hint="default" w:ascii="Times New Roman" w:hAnsi="Times New Roman" w:eastAsia="仿宋_GB2312" w:cs="Times New Roman"/>
          <w:b/>
          <w:bCs/>
          <w:color w:val="000000"/>
          <w:sz w:val="32"/>
          <w:szCs w:val="32"/>
        </w:rPr>
        <w:t>一是总投资、年计划及单体项目平均投资提高。</w:t>
      </w:r>
      <w:r>
        <w:rPr>
          <w:rFonts w:hint="default" w:ascii="Times New Roman" w:hAnsi="Times New Roman" w:eastAsia="仿宋_GB2312" w:cs="Times New Roman"/>
          <w:color w:val="000000"/>
          <w:sz w:val="32"/>
          <w:szCs w:val="32"/>
        </w:rPr>
        <w:t>对比2022年</w:t>
      </w:r>
      <w:r>
        <w:rPr>
          <w:rFonts w:hint="eastAsia" w:ascii="Times New Roman" w:hAnsi="Times New Roman" w:cs="Times New Roman"/>
          <w:color w:val="000000"/>
          <w:sz w:val="32"/>
          <w:szCs w:val="32"/>
          <w:lang w:eastAsia="zh-CN"/>
        </w:rPr>
        <w:t>年初区级重点</w:t>
      </w:r>
      <w:r>
        <w:rPr>
          <w:rFonts w:hint="default" w:ascii="Times New Roman" w:hAnsi="Times New Roman" w:eastAsia="仿宋_GB2312" w:cs="Times New Roman"/>
          <w:color w:val="000000"/>
          <w:sz w:val="32"/>
          <w:szCs w:val="32"/>
        </w:rPr>
        <w:t>项目</w:t>
      </w:r>
      <w:r>
        <w:rPr>
          <w:rFonts w:hint="eastAsia" w:ascii="Times New Roman" w:hAnsi="Times New Roman" w:cs="Times New Roman"/>
          <w:color w:val="000000"/>
          <w:sz w:val="32"/>
          <w:szCs w:val="32"/>
          <w:lang w:eastAsia="zh-CN"/>
        </w:rPr>
        <w:t>年度</w:t>
      </w:r>
      <w:r>
        <w:rPr>
          <w:rFonts w:hint="default" w:ascii="Times New Roman" w:hAnsi="Times New Roman" w:eastAsia="仿宋_GB2312" w:cs="Times New Roman"/>
          <w:color w:val="000000"/>
          <w:sz w:val="32"/>
          <w:szCs w:val="32"/>
        </w:rPr>
        <w:t>计划，2023年</w:t>
      </w:r>
      <w:r>
        <w:rPr>
          <w:rFonts w:hint="eastAsia" w:ascii="Times New Roman" w:hAnsi="Times New Roman" w:cs="Times New Roman"/>
          <w:color w:val="000000"/>
          <w:sz w:val="32"/>
          <w:szCs w:val="32"/>
          <w:lang w:eastAsia="zh-CN"/>
        </w:rPr>
        <w:t>区级重点</w:t>
      </w:r>
      <w:r>
        <w:rPr>
          <w:rFonts w:hint="default" w:ascii="Times New Roman" w:hAnsi="Times New Roman" w:eastAsia="仿宋_GB2312" w:cs="Times New Roman"/>
          <w:color w:val="000000"/>
          <w:sz w:val="32"/>
          <w:szCs w:val="32"/>
        </w:rPr>
        <w:t>项目总投资增加4</w:t>
      </w:r>
      <w:r>
        <w:rPr>
          <w:rFonts w:hint="eastAsia" w:ascii="Times New Roman" w:hAnsi="Times New Roman" w:cs="Times New Roman"/>
          <w:color w:val="000000"/>
          <w:sz w:val="32"/>
          <w:szCs w:val="32"/>
          <w:lang w:val="en-US" w:eastAsia="zh-CN"/>
        </w:rPr>
        <w:t>90.87</w:t>
      </w:r>
      <w:r>
        <w:rPr>
          <w:rFonts w:hint="default" w:ascii="Times New Roman" w:hAnsi="Times New Roman" w:eastAsia="仿宋_GB2312" w:cs="Times New Roman"/>
          <w:color w:val="000000"/>
          <w:sz w:val="32"/>
          <w:szCs w:val="32"/>
        </w:rPr>
        <w:t>亿元，年度计划投资增加</w:t>
      </w:r>
      <w:r>
        <w:rPr>
          <w:rFonts w:hint="eastAsia" w:ascii="Times New Roman" w:hAnsi="Times New Roman" w:cs="Times New Roman"/>
          <w:color w:val="000000"/>
          <w:sz w:val="32"/>
          <w:szCs w:val="32"/>
          <w:lang w:val="en-US" w:eastAsia="zh-CN"/>
        </w:rPr>
        <w:t>70.78</w:t>
      </w:r>
      <w:r>
        <w:rPr>
          <w:rFonts w:hint="default" w:ascii="Times New Roman" w:hAnsi="Times New Roman" w:eastAsia="仿宋_GB2312" w:cs="Times New Roman"/>
          <w:color w:val="000000"/>
          <w:sz w:val="32"/>
          <w:szCs w:val="32"/>
        </w:rPr>
        <w:t>亿元，单体项目的平均投资由4.12亿元提升至</w:t>
      </w:r>
      <w:r>
        <w:rPr>
          <w:rFonts w:hint="eastAsia" w:ascii="Times New Roman" w:hAnsi="Times New Roman" w:cs="Times New Roman"/>
          <w:color w:val="000000"/>
          <w:sz w:val="32"/>
          <w:szCs w:val="32"/>
          <w:lang w:val="en-US" w:eastAsia="zh-CN"/>
        </w:rPr>
        <w:t>8.41</w:t>
      </w:r>
      <w:r>
        <w:rPr>
          <w:rFonts w:hint="default" w:ascii="Times New Roman" w:hAnsi="Times New Roman" w:eastAsia="仿宋_GB2312" w:cs="Times New Roman"/>
          <w:color w:val="000000"/>
          <w:sz w:val="32"/>
          <w:szCs w:val="32"/>
        </w:rPr>
        <w:t>亿元，增幅</w:t>
      </w:r>
      <w:r>
        <w:rPr>
          <w:rFonts w:hint="eastAsia" w:ascii="Times New Roman" w:hAnsi="Times New Roman" w:cs="Times New Roman"/>
          <w:color w:val="000000"/>
          <w:sz w:val="32"/>
          <w:szCs w:val="32"/>
          <w:lang w:val="en-US" w:eastAsia="zh-CN"/>
        </w:rPr>
        <w:t>104.1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二是先进制造业、服务业及安居工程投资增加。</w:t>
      </w:r>
      <w:r>
        <w:rPr>
          <w:rFonts w:hint="default" w:ascii="Times New Roman" w:hAnsi="Times New Roman" w:eastAsia="仿宋_GB2312" w:cs="Times New Roman"/>
          <w:color w:val="000000"/>
          <w:sz w:val="32"/>
          <w:szCs w:val="32"/>
        </w:rPr>
        <w:t>从</w:t>
      </w:r>
      <w:r>
        <w:rPr>
          <w:rFonts w:hint="eastAsia" w:ascii="Times New Roman" w:hAnsi="Times New Roman" w:cs="Times New Roman"/>
          <w:color w:val="000000"/>
          <w:sz w:val="32"/>
          <w:szCs w:val="32"/>
          <w:lang w:eastAsia="zh-CN"/>
        </w:rPr>
        <w:t>行业分类</w:t>
      </w:r>
      <w:r>
        <w:rPr>
          <w:rFonts w:hint="default" w:ascii="Times New Roman" w:hAnsi="Times New Roman" w:eastAsia="仿宋_GB2312" w:cs="Times New Roman"/>
          <w:sz w:val="32"/>
          <w:szCs w:val="32"/>
        </w:rPr>
        <w:t>看，</w:t>
      </w:r>
      <w:r>
        <w:rPr>
          <w:rFonts w:hint="eastAsia" w:ascii="Times New Roman" w:hAnsi="Times New Roman" w:cs="Times New Roman"/>
          <w:sz w:val="32"/>
          <w:szCs w:val="32"/>
          <w:lang w:eastAsia="zh-CN"/>
        </w:rPr>
        <w:t>产业项目投资提升，尤其是以航空航天产业为代表的先进制造业及</w:t>
      </w:r>
      <w:r>
        <w:rPr>
          <w:rFonts w:hint="default" w:ascii="Times New Roman" w:hAnsi="Times New Roman" w:eastAsia="仿宋_GB2312" w:cs="Times New Roman"/>
          <w:sz w:val="32"/>
          <w:szCs w:val="32"/>
        </w:rPr>
        <w:t>服务业</w:t>
      </w:r>
      <w:r>
        <w:rPr>
          <w:rFonts w:hint="eastAsia" w:ascii="Times New Roman" w:hAnsi="Times New Roman" w:cs="Times New Roman"/>
          <w:sz w:val="32"/>
          <w:szCs w:val="32"/>
          <w:lang w:eastAsia="zh-CN"/>
        </w:rPr>
        <w:t>项目大幅提升</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2023年</w:t>
      </w:r>
      <w:r>
        <w:rPr>
          <w:rFonts w:hint="eastAsia" w:ascii="Times New Roman" w:hAnsi="Times New Roman" w:cs="Times New Roman"/>
          <w:sz w:val="32"/>
          <w:szCs w:val="32"/>
          <w:lang w:eastAsia="zh-CN"/>
        </w:rPr>
        <w:t>年计划投资</w:t>
      </w:r>
      <w:r>
        <w:rPr>
          <w:rFonts w:hint="eastAsia" w:ascii="Times New Roman" w:cs="Times New Roman"/>
          <w:sz w:val="32"/>
          <w:szCs w:val="32"/>
          <w:lang w:val="en-US" w:eastAsia="zh-CN"/>
        </w:rPr>
        <w:t>较2022年</w:t>
      </w:r>
      <w:r>
        <w:rPr>
          <w:rFonts w:hint="eastAsia" w:ascii="Times New Roman" w:hAnsi="Times New Roman" w:cs="Times New Roman"/>
          <w:sz w:val="32"/>
          <w:szCs w:val="32"/>
          <w:lang w:eastAsia="zh-CN"/>
        </w:rPr>
        <w:t>分别增加</w:t>
      </w:r>
      <w:r>
        <w:rPr>
          <w:rFonts w:hint="eastAsia" w:ascii="Times New Roman" w:hAnsi="Times New Roman" w:cs="Times New Roman"/>
          <w:sz w:val="32"/>
          <w:szCs w:val="32"/>
          <w:lang w:val="en-US" w:eastAsia="zh-CN"/>
        </w:rPr>
        <w:t>59.59亿元、16.49亿元，同比增长162.15%、426.1%</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安居工程年计划投资增加10.97亿元，增幅53.48%。</w:t>
      </w:r>
      <w:r>
        <w:rPr>
          <w:rFonts w:hint="default" w:ascii="Times New Roman" w:hAnsi="Times New Roman" w:eastAsia="仿宋_GB2312" w:cs="Times New Roman"/>
          <w:b/>
          <w:bCs/>
          <w:color w:val="000000"/>
          <w:sz w:val="32"/>
          <w:szCs w:val="32"/>
        </w:rPr>
        <w:t>三是</w:t>
      </w:r>
      <w:r>
        <w:rPr>
          <w:rFonts w:hint="eastAsia" w:ascii="Times New Roman" w:hAnsi="Times New Roman" w:cs="Times New Roman"/>
          <w:b/>
          <w:bCs/>
          <w:color w:val="000000"/>
          <w:sz w:val="32"/>
          <w:szCs w:val="32"/>
          <w:lang w:eastAsia="zh-CN"/>
        </w:rPr>
        <w:t>社会投资类项目数量体量双提升</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与2022年</w:t>
      </w:r>
      <w:r>
        <w:rPr>
          <w:rFonts w:hint="eastAsia" w:ascii="Times New Roman" w:hAnsi="Times New Roman" w:cs="Times New Roman"/>
          <w:color w:val="000000"/>
          <w:sz w:val="32"/>
          <w:szCs w:val="32"/>
          <w:lang w:eastAsia="zh-CN"/>
        </w:rPr>
        <w:t>年初</w:t>
      </w:r>
      <w:r>
        <w:rPr>
          <w:rFonts w:hint="default" w:ascii="Times New Roman" w:hAnsi="Times New Roman" w:eastAsia="仿宋_GB2312" w:cs="Times New Roman"/>
          <w:color w:val="000000"/>
          <w:sz w:val="32"/>
          <w:szCs w:val="32"/>
        </w:rPr>
        <w:t>相比，</w:t>
      </w:r>
      <w:r>
        <w:rPr>
          <w:rFonts w:hint="eastAsia" w:ascii="Times New Roman" w:hAnsi="Times New Roman" w:cs="Times New Roman"/>
          <w:color w:val="000000"/>
          <w:sz w:val="32"/>
          <w:szCs w:val="32"/>
          <w:lang w:val="en-US" w:eastAsia="zh-CN"/>
        </w:rPr>
        <w:t>2023年</w:t>
      </w:r>
      <w:r>
        <w:rPr>
          <w:rFonts w:hint="eastAsia" w:ascii="Times New Roman" w:hAnsi="Times New Roman" w:cs="Times New Roman"/>
          <w:color w:val="000000"/>
          <w:sz w:val="32"/>
          <w:szCs w:val="32"/>
          <w:lang w:eastAsia="zh-CN"/>
        </w:rPr>
        <w:t>社会投资类项目增加</w:t>
      </w:r>
      <w:r>
        <w:rPr>
          <w:rFonts w:hint="eastAsia" w:ascii="Times New Roman" w:hAnsi="Times New Roman" w:cs="Times New Roman"/>
          <w:color w:val="000000"/>
          <w:sz w:val="32"/>
          <w:szCs w:val="32"/>
          <w:lang w:val="en-US" w:eastAsia="zh-CN"/>
        </w:rPr>
        <w:t>19个</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eastAsia="zh-CN"/>
        </w:rPr>
        <w:t>总投资</w:t>
      </w:r>
      <w:r>
        <w:rPr>
          <w:rFonts w:hint="default" w:ascii="Times New Roman" w:hAnsi="Times New Roman" w:eastAsia="仿宋_GB2312" w:cs="Times New Roman"/>
          <w:color w:val="000000"/>
          <w:sz w:val="32"/>
          <w:szCs w:val="32"/>
        </w:rPr>
        <w:t>增加</w:t>
      </w:r>
      <w:r>
        <w:rPr>
          <w:rFonts w:hint="eastAsia" w:ascii="Times New Roman" w:hAnsi="Times New Roman" w:cs="Times New Roman"/>
          <w:color w:val="000000"/>
          <w:sz w:val="32"/>
          <w:szCs w:val="32"/>
          <w:lang w:val="en-US" w:eastAsia="zh-CN"/>
        </w:rPr>
        <w:t>261.13</w:t>
      </w:r>
      <w:r>
        <w:rPr>
          <w:rFonts w:hint="default" w:ascii="Times New Roman" w:hAnsi="Times New Roman" w:eastAsia="仿宋_GB2312" w:cs="Times New Roman"/>
          <w:color w:val="000000"/>
          <w:sz w:val="32"/>
          <w:szCs w:val="32"/>
        </w:rPr>
        <w:t>亿元</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年计划投资</w:t>
      </w:r>
      <w:r>
        <w:rPr>
          <w:rFonts w:hint="eastAsia" w:ascii="Times New Roman" w:hAnsi="Times New Roman" w:cs="Times New Roman"/>
          <w:color w:val="000000"/>
          <w:sz w:val="32"/>
          <w:szCs w:val="32"/>
          <w:lang w:eastAsia="zh-CN"/>
        </w:rPr>
        <w:t>增加</w:t>
      </w:r>
      <w:r>
        <w:rPr>
          <w:rFonts w:hint="eastAsia" w:ascii="Times New Roman" w:hAnsi="Times New Roman" w:cs="Times New Roman"/>
          <w:color w:val="000000"/>
          <w:sz w:val="32"/>
          <w:szCs w:val="32"/>
          <w:lang w:val="en-US" w:eastAsia="zh-CN"/>
        </w:rPr>
        <w:t>123.95</w:t>
      </w:r>
      <w:r>
        <w:rPr>
          <w:rFonts w:hint="default" w:ascii="Times New Roman" w:hAnsi="Times New Roman" w:eastAsia="仿宋_GB2312" w:cs="Times New Roman"/>
          <w:color w:val="000000"/>
          <w:sz w:val="32"/>
          <w:szCs w:val="32"/>
        </w:rPr>
        <w:t>亿元，是2022年</w:t>
      </w:r>
      <w:r>
        <w:rPr>
          <w:rFonts w:hint="eastAsia" w:ascii="Times New Roman" w:hAnsi="Times New Roman" w:cs="Times New Roman"/>
          <w:color w:val="000000"/>
          <w:sz w:val="32"/>
          <w:szCs w:val="32"/>
          <w:lang w:eastAsia="zh-CN"/>
        </w:rPr>
        <w:t>年初</w:t>
      </w:r>
      <w:r>
        <w:rPr>
          <w:rFonts w:hint="default" w:ascii="Times New Roman" w:hAnsi="Times New Roman" w:eastAsia="仿宋_GB2312" w:cs="Times New Roman"/>
          <w:color w:val="000000"/>
          <w:sz w:val="32"/>
          <w:szCs w:val="32"/>
        </w:rPr>
        <w:t>计划投资的</w:t>
      </w:r>
      <w:r>
        <w:rPr>
          <w:rFonts w:hint="eastAsia" w:ascii="Times New Roman" w:hAnsi="Times New Roman" w:cs="Times New Roman"/>
          <w:color w:val="000000"/>
          <w:sz w:val="32"/>
          <w:szCs w:val="32"/>
          <w:lang w:val="en-US" w:eastAsia="zh-CN"/>
        </w:rPr>
        <w:t>3.5</w:t>
      </w:r>
      <w:r>
        <w:rPr>
          <w:rFonts w:hint="default" w:ascii="Times New Roman" w:hAnsi="Times New Roman" w:eastAsia="仿宋_GB2312" w:cs="Times New Roman"/>
          <w:color w:val="000000"/>
          <w:sz w:val="32"/>
          <w:szCs w:val="32"/>
        </w:rPr>
        <w:t>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四、2023年主要工作举措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2023年主要抓好四个方面工作：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color w:val="000000"/>
          <w:sz w:val="32"/>
          <w:szCs w:val="32"/>
        </w:rPr>
        <w:t>抓机遇促项目良性循环。</w:t>
      </w:r>
      <w:r>
        <w:rPr>
          <w:rFonts w:hint="default" w:ascii="Times New Roman" w:hAnsi="Times New Roman" w:eastAsia="仿宋_GB2312" w:cs="Times New Roman"/>
          <w:color w:val="000000"/>
          <w:sz w:val="32"/>
          <w:szCs w:val="32"/>
        </w:rPr>
        <w:t>继续深入研判中省市稳经济大盘最新政策投向，聚焦航空航天产业、园区建设、基础设施、民生保障等重点领域，建立前期项目储备库，健全项目动态管理机制。引进推广“项目加工厂”，聘请第三方机构组成项目包装策划专家团队，按照“2+3+2”产业发展体系，突出航空航天支柱产业和高端装备制造、新材料等主导产业，力争在2023年市区级项目中期调整中继续增补一批科技含量高、带动效益强的产业项目。坚持“优中培优”“有中育新”“无中生有”，将资源、政策、服务、人力等要素向项目聚焦，持续延链补链强链，培育一批优质高效航空航天相关产业项目，为航空航天产业倍增形成强力支撑。</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color w:val="000000"/>
          <w:kern w:val="2"/>
          <w:sz w:val="32"/>
          <w:szCs w:val="32"/>
          <w:lang w:val="en-US" w:eastAsia="zh-CN" w:bidi="ar-SA"/>
        </w:rPr>
        <w:t>抓攻坚促项目建设提速。</w:t>
      </w:r>
      <w:r>
        <w:rPr>
          <w:rFonts w:hint="eastAsia" w:ascii="Times New Roman" w:hAnsi="Times New Roman" w:cs="Times New Roman"/>
          <w:bCs/>
          <w:color w:val="000000"/>
          <w:kern w:val="2"/>
          <w:sz w:val="32"/>
          <w:szCs w:val="32"/>
          <w:lang w:val="en-US" w:eastAsia="zh-CN" w:bidi="ar-SA"/>
        </w:rPr>
        <w:t>持续</w:t>
      </w:r>
      <w:r>
        <w:rPr>
          <w:rFonts w:hint="default" w:ascii="Times New Roman" w:hAnsi="Times New Roman" w:eastAsia="仿宋_GB2312" w:cs="Times New Roman"/>
          <w:bCs/>
          <w:color w:val="000000"/>
          <w:kern w:val="2"/>
          <w:sz w:val="32"/>
          <w:szCs w:val="32"/>
          <w:lang w:val="en-US" w:eastAsia="zh-CN" w:bidi="ar-SA"/>
        </w:rPr>
        <w:t>开展高质量项目建设攻坚行动，对市区级重点项目，逐个梳理建立攻坚台账，制定任务、进度、问题、责任</w:t>
      </w:r>
      <w:r>
        <w:rPr>
          <w:rFonts w:hint="eastAsia" w:ascii="Times New Roman" w:hAnsi="Times New Roman" w:cs="Times New Roman"/>
          <w:bCs/>
          <w:color w:val="000000"/>
          <w:kern w:val="2"/>
          <w:sz w:val="32"/>
          <w:szCs w:val="32"/>
          <w:lang w:val="en-US" w:eastAsia="zh-CN" w:bidi="ar-SA"/>
        </w:rPr>
        <w:t>四张</w:t>
      </w:r>
      <w:r>
        <w:rPr>
          <w:rFonts w:hint="default" w:ascii="Times New Roman" w:hAnsi="Times New Roman" w:eastAsia="仿宋_GB2312" w:cs="Times New Roman"/>
          <w:bCs/>
          <w:color w:val="000000"/>
          <w:kern w:val="2"/>
          <w:sz w:val="32"/>
          <w:szCs w:val="32"/>
          <w:lang w:val="en-US" w:eastAsia="zh-CN" w:bidi="ar-SA"/>
        </w:rPr>
        <w:t>清单，排出前期手续办理、入库纳统、投资进展、工程进度等时间节点，挂图作战，实行问题清单“销号管理”，定期调度研判，通报晾晒项目进展。</w:t>
      </w:r>
      <w:r>
        <w:rPr>
          <w:rFonts w:hint="default" w:ascii="Times New Roman" w:hAnsi="Times New Roman" w:eastAsia="仿宋_GB2312" w:cs="Times New Roman"/>
          <w:kern w:val="2"/>
          <w:sz w:val="32"/>
          <w:szCs w:val="32"/>
          <w:lang w:val="en-US" w:eastAsia="zh-CN" w:bidi="ar-SA"/>
        </w:rPr>
        <w:t>出台2023年高质量项目推进年实施方案，打造环环相扣的项目推进体系，对项目储备、确定、管理、保障、服务、激励等全流程进行明确，重点突出项目储备、动态管理、项目保障、项目激励等。</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bCs/>
          <w:color w:val="000000"/>
          <w:kern w:val="2"/>
          <w:sz w:val="32"/>
          <w:szCs w:val="32"/>
          <w:lang w:val="en-US" w:eastAsia="zh-CN" w:bidi="ar-SA"/>
        </w:rPr>
        <w:t>抓服务促项目落地开工。</w:t>
      </w:r>
      <w:r>
        <w:rPr>
          <w:rFonts w:hint="default" w:ascii="Times New Roman" w:hAnsi="Times New Roman" w:eastAsia="仿宋_GB2312" w:cs="Times New Roman"/>
          <w:bCs/>
          <w:color w:val="000000"/>
          <w:kern w:val="2"/>
          <w:sz w:val="32"/>
          <w:szCs w:val="32"/>
          <w:lang w:val="en-US" w:eastAsia="zh-CN" w:bidi="ar-SA"/>
        </w:rPr>
        <w:t>继续推行“五个一”全周期</w:t>
      </w:r>
      <w:r>
        <w:rPr>
          <w:rFonts w:hint="eastAsia" w:ascii="Times New Roman" w:hAnsi="Times New Roman" w:cs="Times New Roman"/>
          <w:bCs/>
          <w:color w:val="000000"/>
          <w:kern w:val="2"/>
          <w:sz w:val="32"/>
          <w:szCs w:val="32"/>
          <w:lang w:val="en-US" w:eastAsia="zh-CN" w:bidi="ar-SA"/>
        </w:rPr>
        <w:t>项目</w:t>
      </w:r>
      <w:r>
        <w:rPr>
          <w:rFonts w:hint="default" w:ascii="Times New Roman" w:hAnsi="Times New Roman" w:eastAsia="仿宋_GB2312" w:cs="Times New Roman"/>
          <w:bCs/>
          <w:color w:val="000000"/>
          <w:kern w:val="2"/>
          <w:sz w:val="32"/>
          <w:szCs w:val="32"/>
          <w:lang w:val="en-US" w:eastAsia="zh-CN" w:bidi="ar-SA"/>
        </w:rPr>
        <w:t>管理机制，做到实施项目“六个有”，即：有区级领导包抓、有“片区长”推进、有“项目长”服务、有目标任务、有实施进度表、有完成时限等，</w:t>
      </w:r>
      <w:r>
        <w:rPr>
          <w:rFonts w:hint="default" w:ascii="Times New Roman" w:hAnsi="Times New Roman" w:eastAsia="仿宋_GB2312" w:cs="Times New Roman"/>
          <w:color w:val="000000"/>
          <w:kern w:val="2"/>
          <w:sz w:val="32"/>
          <w:szCs w:val="32"/>
          <w:lang w:val="en-US" w:eastAsia="zh-CN" w:bidi="ar-SA"/>
        </w:rPr>
        <w:t>强化运行调度、专班推进、日调度、周研判等措施，努力为项目落地建设创造有利条件，</w:t>
      </w:r>
      <w:r>
        <w:rPr>
          <w:rFonts w:hint="default" w:ascii="Times New Roman" w:hAnsi="Times New Roman" w:eastAsia="仿宋_GB2312" w:cs="Times New Roman"/>
          <w:bCs/>
          <w:color w:val="000000"/>
          <w:kern w:val="2"/>
          <w:sz w:val="32"/>
          <w:szCs w:val="32"/>
          <w:lang w:val="en-US" w:eastAsia="zh-CN" w:bidi="ar-SA"/>
        </w:rPr>
        <w:t>一、二、三季度开工率分别达到50%、80%、100%。</w:t>
      </w:r>
      <w:r>
        <w:rPr>
          <w:rFonts w:hint="default" w:ascii="Times New Roman" w:hAnsi="Times New Roman" w:eastAsia="仿宋_GB2312" w:cs="Times New Roman"/>
          <w:color w:val="000000"/>
          <w:kern w:val="2"/>
          <w:sz w:val="32"/>
          <w:szCs w:val="32"/>
          <w:lang w:val="en-US" w:eastAsia="zh-CN" w:bidi="ar-SA"/>
        </w:rPr>
        <w:t>高质、高效组织全市重点项目观摩活动、开工</w:t>
      </w:r>
      <w:r>
        <w:rPr>
          <w:rFonts w:hint="eastAsia" w:ascii="Times New Roman" w:hAnsi="Times New Roman" w:cs="Times New Roman"/>
          <w:color w:val="000000"/>
          <w:kern w:val="2"/>
          <w:sz w:val="32"/>
          <w:szCs w:val="32"/>
          <w:lang w:val="en-US" w:eastAsia="zh-CN" w:bidi="ar-SA"/>
        </w:rPr>
        <w:t>仪式</w:t>
      </w:r>
      <w:r>
        <w:rPr>
          <w:rFonts w:hint="default" w:ascii="Times New Roman" w:hAnsi="Times New Roman" w:eastAsia="仿宋_GB2312" w:cs="Times New Roman"/>
          <w:color w:val="000000"/>
          <w:kern w:val="2"/>
          <w:sz w:val="32"/>
          <w:szCs w:val="32"/>
          <w:lang w:val="en-US" w:eastAsia="zh-CN" w:bidi="ar-SA"/>
        </w:rPr>
        <w:t>，区人大代表、政协委员集中视察等活动，对市区级重点</w:t>
      </w:r>
      <w:r>
        <w:rPr>
          <w:rFonts w:hint="eastAsia" w:ascii="Times New Roman" w:hAnsi="Times New Roman" w:cs="Times New Roman"/>
          <w:color w:val="000000"/>
          <w:kern w:val="2"/>
          <w:sz w:val="32"/>
          <w:szCs w:val="32"/>
          <w:lang w:val="en-US" w:eastAsia="zh-CN" w:bidi="ar-SA"/>
        </w:rPr>
        <w:t>项目</w:t>
      </w:r>
      <w:r>
        <w:rPr>
          <w:rFonts w:hint="default" w:ascii="Times New Roman" w:hAnsi="Times New Roman" w:eastAsia="仿宋_GB2312" w:cs="Times New Roman"/>
          <w:color w:val="000000"/>
          <w:kern w:val="2"/>
          <w:sz w:val="32"/>
          <w:szCs w:val="32"/>
          <w:lang w:val="en-US" w:eastAsia="zh-CN" w:bidi="ar-SA"/>
        </w:rPr>
        <w:t>进行“亮晒”评比。</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bCs/>
          <w:color w:val="000000"/>
          <w:kern w:val="2"/>
          <w:sz w:val="32"/>
          <w:szCs w:val="32"/>
          <w:lang w:val="en-US" w:eastAsia="zh-CN" w:bidi="ar-SA"/>
        </w:rPr>
        <w:t>抓保障促要素优化配置。</w:t>
      </w:r>
      <w:r>
        <w:rPr>
          <w:rFonts w:hint="default" w:ascii="Times New Roman" w:hAnsi="Times New Roman" w:eastAsia="仿宋_GB2312" w:cs="Times New Roman"/>
          <w:bCs/>
          <w:color w:val="000000"/>
          <w:kern w:val="2"/>
          <w:sz w:val="32"/>
          <w:szCs w:val="32"/>
          <w:lang w:val="en-US" w:eastAsia="zh-CN" w:bidi="ar-SA"/>
        </w:rPr>
        <w:t>严格实行“要素资源跟着项目走”优先配置机制。</w:t>
      </w:r>
      <w:r>
        <w:rPr>
          <w:rFonts w:hint="default" w:ascii="Times New Roman" w:hAnsi="Times New Roman" w:eastAsia="仿宋_GB2312" w:cs="Times New Roman"/>
          <w:b/>
          <w:color w:val="000000"/>
          <w:kern w:val="2"/>
          <w:sz w:val="32"/>
          <w:szCs w:val="32"/>
          <w:lang w:val="en-US" w:eastAsia="zh-CN" w:bidi="ar-SA"/>
        </w:rPr>
        <w:t>在用地上，</w:t>
      </w:r>
      <w:r>
        <w:rPr>
          <w:rFonts w:hint="default" w:ascii="Times New Roman" w:hAnsi="Times New Roman" w:eastAsia="仿宋_GB2312" w:cs="Times New Roman"/>
          <w:bCs/>
          <w:color w:val="000000"/>
          <w:kern w:val="2"/>
          <w:sz w:val="32"/>
          <w:szCs w:val="32"/>
          <w:lang w:val="en-US" w:eastAsia="zh-CN" w:bidi="ar-SA"/>
        </w:rPr>
        <w:t>梳理2023年项目用地需求，制定用地指标保障计划，盘活闲置低效用地，精准保障项目用地；</w:t>
      </w:r>
      <w:r>
        <w:rPr>
          <w:rFonts w:hint="default" w:ascii="Times New Roman" w:hAnsi="Times New Roman" w:eastAsia="仿宋_GB2312" w:cs="Times New Roman"/>
          <w:b/>
          <w:color w:val="000000"/>
          <w:kern w:val="2"/>
          <w:sz w:val="32"/>
          <w:szCs w:val="32"/>
          <w:lang w:val="en-US" w:eastAsia="zh-CN" w:bidi="ar-SA"/>
        </w:rPr>
        <w:t>在资金上，</w:t>
      </w:r>
      <w:r>
        <w:rPr>
          <w:rFonts w:hint="default" w:ascii="Times New Roman" w:hAnsi="Times New Roman" w:eastAsia="仿宋_GB2312" w:cs="Times New Roman"/>
          <w:bCs/>
          <w:color w:val="000000"/>
          <w:kern w:val="2"/>
          <w:sz w:val="32"/>
          <w:szCs w:val="32"/>
          <w:lang w:val="en-US" w:eastAsia="zh-CN" w:bidi="ar-SA"/>
        </w:rPr>
        <w:t>运用市场化思维，积极推动创投风投、企业债券等多种融资方式满足项目资金需求；</w:t>
      </w:r>
      <w:r>
        <w:rPr>
          <w:rFonts w:hint="default" w:ascii="Times New Roman" w:hAnsi="Times New Roman" w:eastAsia="仿宋_GB2312" w:cs="Times New Roman"/>
          <w:b/>
          <w:color w:val="000000"/>
          <w:kern w:val="2"/>
          <w:sz w:val="32"/>
          <w:szCs w:val="32"/>
          <w:lang w:val="en-US" w:eastAsia="zh-CN" w:bidi="ar-SA"/>
        </w:rPr>
        <w:t>在服务上，</w:t>
      </w:r>
      <w:r>
        <w:rPr>
          <w:rFonts w:hint="default" w:ascii="Times New Roman" w:hAnsi="Times New Roman" w:eastAsia="仿宋_GB2312" w:cs="Times New Roman"/>
          <w:bCs/>
          <w:color w:val="000000"/>
          <w:kern w:val="2"/>
          <w:sz w:val="32"/>
          <w:szCs w:val="32"/>
          <w:lang w:val="en-US" w:eastAsia="zh-CN" w:bidi="ar-SA"/>
        </w:rPr>
        <w:t>建立重点项目联动协调机制及协调推进工作专班制度，协调解决影响项目推进难点堵点；建立健全绿色通道，贯彻落实“放管服”改革；</w:t>
      </w:r>
      <w:r>
        <w:rPr>
          <w:rFonts w:hint="default" w:ascii="Times New Roman" w:hAnsi="Times New Roman" w:eastAsia="仿宋_GB2312" w:cs="Times New Roman"/>
          <w:b/>
          <w:color w:val="000000"/>
          <w:kern w:val="2"/>
          <w:sz w:val="32"/>
          <w:szCs w:val="32"/>
          <w:lang w:val="en-US" w:eastAsia="zh-CN" w:bidi="ar-SA"/>
        </w:rPr>
        <w:t>在手续办理上，</w:t>
      </w:r>
      <w:r>
        <w:rPr>
          <w:rFonts w:hint="default" w:ascii="Times New Roman" w:hAnsi="Times New Roman" w:eastAsia="仿宋_GB2312" w:cs="Times New Roman"/>
          <w:bCs/>
          <w:color w:val="000000"/>
          <w:kern w:val="2"/>
          <w:sz w:val="32"/>
          <w:szCs w:val="32"/>
          <w:lang w:val="en-US" w:eastAsia="zh-CN" w:bidi="ar-SA"/>
        </w:rPr>
        <w:t>探索建立“1+6+N”前期服务机制，即由“1”名区级分管领导或者管委会副主任定期调度；“6”个手续服务单位（发改、文物、资源规划、住建、财政、生态环境）等参加会议，“N”个涉及项目单位“片区长”“项目长”列席会议，提出前期手续时间表、路线图，做好项目落地、建设各项服务保障。力争手续办结率达到100%。</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cs="Times New Roman"/>
        </w:rPr>
        <w:sectPr>
          <w:footerReference r:id="rId4" w:type="even"/>
          <w:pgSz w:w="11906" w:h="16838"/>
          <w:pgMar w:top="1984" w:right="1474" w:bottom="1814" w:left="1588" w:header="851" w:footer="1474" w:gutter="0"/>
          <w:cols w:space="0" w:num="1"/>
          <w:rtlGutter w:val="0"/>
          <w:docGrid w:linePitch="435" w:charSpace="0"/>
        </w:sectPr>
      </w:pPr>
    </w:p>
    <w:p>
      <w:pPr>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阎良区2023年重点在建项目表</w:t>
      </w:r>
    </w:p>
    <w:tbl>
      <w:tblPr>
        <w:tblStyle w:val="15"/>
        <w:tblW w:w="1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593"/>
        <w:gridCol w:w="2677"/>
        <w:gridCol w:w="1179"/>
        <w:gridCol w:w="1783"/>
        <w:gridCol w:w="1200"/>
        <w:gridCol w:w="2168"/>
        <w:gridCol w:w="749"/>
        <w:gridCol w:w="1620"/>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39" w:hRule="atLeast"/>
          <w:tblHeader/>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承办单位</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业主单位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总投资</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Style w:val="24"/>
                <w:rFonts w:hint="eastAsia" w:eastAsia="宋体"/>
                <w:lang w:val="en-US" w:eastAsia="zh-CN" w:bidi="ar"/>
              </w:rPr>
              <w:t>（</w:t>
            </w:r>
            <w:r>
              <w:rPr>
                <w:rFonts w:hint="eastAsia" w:ascii="宋体" w:hAnsi="宋体" w:eastAsia="宋体" w:cs="宋体"/>
                <w:b/>
                <w:bCs/>
                <w:i w:val="0"/>
                <w:iCs w:val="0"/>
                <w:color w:val="000000"/>
                <w:kern w:val="0"/>
                <w:sz w:val="20"/>
                <w:szCs w:val="20"/>
                <w:u w:val="none"/>
                <w:lang w:val="en-US" w:eastAsia="zh-CN" w:bidi="ar"/>
              </w:rPr>
              <w:t>万元</w:t>
            </w:r>
            <w:r>
              <w:rPr>
                <w:rStyle w:val="24"/>
                <w:rFonts w:hint="eastAsia" w:eastAsia="宋体"/>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建设地址</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来源</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建设周期</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计划投资</w:t>
            </w:r>
            <w:r>
              <w:rPr>
                <w:rStyle w:val="24"/>
                <w:rFonts w:hint="eastAsia" w:eastAsia="宋体"/>
                <w:lang w:val="en-US" w:eastAsia="zh-CN" w:bidi="ar"/>
              </w:rPr>
              <w:t>（</w:t>
            </w:r>
            <w:r>
              <w:rPr>
                <w:rFonts w:hint="eastAsia" w:ascii="宋体" w:hAnsi="宋体" w:eastAsia="宋体" w:cs="宋体"/>
                <w:b/>
                <w:bCs/>
                <w:i w:val="0"/>
                <w:iCs w:val="0"/>
                <w:color w:val="000000"/>
                <w:kern w:val="0"/>
                <w:sz w:val="20"/>
                <w:szCs w:val="20"/>
                <w:u w:val="none"/>
                <w:lang w:val="en-US" w:eastAsia="zh-CN" w:bidi="ar"/>
              </w:rPr>
              <w:t>万元</w:t>
            </w:r>
            <w:r>
              <w:rPr>
                <w:rStyle w:val="24"/>
                <w:rFonts w:hint="eastAsia" w:eastAsia="宋体"/>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0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一、先进制造业（33）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1.制造业（24）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鑫地包装生产改造项目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西安鑫地包装有限公司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北屯街道李浩村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北堡组</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0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亚宏面粉厂房扩建项目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西安市亚宏面粉</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北屯川心工贸区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阎良区新型工业园区基础设施项目孵化器标准化厂房及配套设施一期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西安市阎良经济开发区展腾建设发展有限公司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经发二路以西发展路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阎良区新型工业园区基础设施项目孵化器标准化厂房及配套设施二期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西安市阎良经济开发区展腾建设发展有限公司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创业路北侧，二环西路南侧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2023.07-2023.12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航空航天复材制品及航空包装研制生产项目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西安航锦机械制造有限责任公司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聚合西路南侧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富阎新区阎良产业带航空航天产业园项目（一期）（续建）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西安富阎航天发展有限公司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航博大道与迎宾北路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十字西北角</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2022.08-2023.08</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富阎新区阎良产业带航空航天产业园项目（二期）（续建）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西安富阎航天发展有限公司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迎宾北路与航博大道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西南角</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2022.08-2023.09</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富阎新区阎良产业带航空航天产业园项目（三期）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西安富阎航天产业发展有限公司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92300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迎宾北路与航空城大道西北角</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2022.09-2024.09</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航城恒业新型环保科技材料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西安航城恒业环保科技有限公司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关山工业园</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航空航天电磁窗、智能蒙皮研发制造项目（续建）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西安奥尔科复合材料研究所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新型工业园</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2023.01-2023.06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星航未来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机加工产业园项目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西安星航未来产城融合发展有限责任公司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咸铜铁路以北、西禹高速以东，关中环线以南，振兴路以西。</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阎良智能电气装配产业项目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阎良区迎宾大道以东、超越大道以北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航空供应链基础配套项目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部件装配集成交付中心</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西安市阎良区航城融创园区建设管理有限责任公司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阎良区蓝天三路以南，规划路以东</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阎良区航空供应链基础配套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智造中心</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西安市阎良区航城融创园区建设管理有限责任公司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航空六路以西、蓝天一路以北、航空七路以东、蓝天路以南。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2023.01-2023.09</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包装纸箱生产线建设项目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西安辰仟亿包装</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武屯街道栎阳村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2023.01-2023.06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空天产业园（贰号）</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西安富阎航天发展有限公司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36465</w:t>
            </w:r>
          </w:p>
        </w:tc>
        <w:tc>
          <w:tcPr>
            <w:tcW w:w="2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迎宾北路以西、备战路以南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2023.03-2024.12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陶瓷基复合材料智能制造园区项目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西安鑫垚高温复合材料有限公司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航空基地二期规划</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号路以东，规划</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号路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以西</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.01-202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航空功能材料产业基地一期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西安市航空基地</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新舟置业有限公司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航空基地二期，齐飞路以北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.01-202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西安蓝谷维景现代工业园</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陕西蓝谷机械制造有限公司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航空五路以东、创新</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一路以南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宋体" w:cs="Times New Roman"/>
                <w:i w:val="0"/>
                <w:iCs w:val="0"/>
                <w:color w:val="000000"/>
                <w:kern w:val="0"/>
                <w:sz w:val="20"/>
                <w:szCs w:val="20"/>
                <w:u w:val="none"/>
                <w:lang w:val="en-US" w:eastAsia="zh-CN" w:bidi="ar"/>
              </w:rPr>
              <w:t>.01-202</w:t>
            </w: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军用标准件及零部件研发生产项目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西安智同航空科技有限公司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航空基地二期</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.01-202</w:t>
            </w: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智汇谷</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西安航空城产业园运营管理有限公司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航空基地二期，规划</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路以东，规划</w:t>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路以北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.01-202</w:t>
            </w: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民用与航空等精密铸件生产线建设</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西安盛唐机械铸造有限公司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航空基地二期云华路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以西、迎宾路以东</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.01-202</w:t>
            </w: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西安航空基地绿色装备制造</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中心片区项目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西安国家航空产业基地投资发展有限公司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航空基地二期，规划</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一号路西延伸以北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.01-202</w:t>
            </w:r>
            <w:r>
              <w:rPr>
                <w:rFonts w:hint="eastAsia"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民用飞机蒙皮及超大零件制造中心项目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西安兴航航空股份有限公司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航空基地一期、航空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五路以西</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.01-202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2.军民融合（7）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636</w:t>
            </w:r>
            <w:r>
              <w:rPr>
                <w:rFonts w:hint="eastAsia" w:ascii="宋体" w:hAnsi="宋体" w:eastAsia="宋体" w:cs="宋体"/>
                <w:i w:val="0"/>
                <w:iCs w:val="0"/>
                <w:color w:val="000000"/>
                <w:kern w:val="0"/>
                <w:sz w:val="20"/>
                <w:szCs w:val="20"/>
                <w:u w:val="none"/>
                <w:lang w:val="en-US" w:eastAsia="zh-CN" w:bidi="ar"/>
              </w:rPr>
              <w:t>号表面处理厂房、</w:t>
            </w:r>
            <w:r>
              <w:rPr>
                <w:rFonts w:hint="default" w:ascii="Times New Roman" w:hAnsi="Times New Roman" w:eastAsia="宋体" w:cs="Times New Roman"/>
                <w:i w:val="0"/>
                <w:iCs w:val="0"/>
                <w:color w:val="000000"/>
                <w:kern w:val="0"/>
                <w:sz w:val="20"/>
                <w:szCs w:val="20"/>
                <w:u w:val="none"/>
                <w:lang w:val="en-US" w:eastAsia="zh-CN" w:bidi="ar"/>
              </w:rPr>
              <w:t>636a</w:t>
            </w:r>
            <w:r>
              <w:rPr>
                <w:rFonts w:hint="eastAsia" w:ascii="宋体" w:hAnsi="宋体" w:eastAsia="宋体" w:cs="宋体"/>
                <w:i w:val="0"/>
                <w:iCs w:val="0"/>
                <w:color w:val="000000"/>
                <w:kern w:val="0"/>
                <w:sz w:val="20"/>
                <w:szCs w:val="20"/>
                <w:u w:val="none"/>
                <w:lang w:val="en-US" w:eastAsia="zh-CN" w:bidi="ar"/>
              </w:rPr>
              <w:t>号喷漆厂房项目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凤凰路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西安飞机工业（集团）有限责任公司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19681</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西安飞机工业（集团）有限责任公司厂区内</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试飞员培养条件建设项目（续建）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中国飞行试验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173300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试飞院</w:t>
            </w:r>
            <w:r>
              <w:rPr>
                <w:rFonts w:hint="default" w:ascii="Times New Roman" w:hAnsi="Times New Roman" w:eastAsia="宋体" w:cs="Times New Roman"/>
                <w:i w:val="0"/>
                <w:iCs w:val="0"/>
                <w:color w:val="000000"/>
                <w:kern w:val="0"/>
                <w:sz w:val="20"/>
                <w:szCs w:val="20"/>
                <w:u w:val="none"/>
                <w:lang w:val="en-US" w:eastAsia="zh-CN" w:bidi="ar"/>
              </w:rPr>
              <w:t>517a</w:t>
            </w:r>
            <w:r>
              <w:rPr>
                <w:rFonts w:hint="eastAsia" w:ascii="宋体" w:hAnsi="宋体" w:eastAsia="宋体" w:cs="宋体"/>
                <w:i w:val="0"/>
                <w:iCs w:val="0"/>
                <w:color w:val="000000"/>
                <w:kern w:val="0"/>
                <w:sz w:val="20"/>
                <w:szCs w:val="20"/>
                <w:u w:val="none"/>
                <w:lang w:val="en-US" w:eastAsia="zh-CN" w:bidi="ar"/>
              </w:rPr>
              <w:t>直升机机库建设项目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中国飞行试验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试飞院内</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试飞院东北区新征地项目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中国飞行试验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阎良区内</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智慧试飞院所能力建设项目</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中国飞行试验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测试试验设施建设项目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中国飞行试验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48700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2023.01-2025.12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北塬遥测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雷达阵地建设项目（续建）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中国飞行试验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振兴街办坡底村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2021.01-2023.06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3.研发平台（2）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0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未来产业设计研发中心项目（续建）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西安星航未来产业融合发展有限责任公司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阎富路与航博大道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西南角</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2022.08-2024.02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0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国家高端航空装备技术创新中心</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西安市阎良区航远产城融合建设有限责任公司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人民路以南，西飞大道以东，新华路以西</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2022.09-2024.09</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0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二、服务业（5）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1.商贸、城市综合体（4）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乐游城项目（续建）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西安星航未来产业融合发展有限责任公司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迎宾路与航空城大道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东北角</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2022.08-2024.07</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城市展览中心（续建）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西安星航未来产业融合发展有限责任公司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迎宾路与航博大道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东北方位</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2022.08-2024.02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特色街区项目（续建）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西安市阎良区航飞资产运营有限公司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人民路、研飞巷、教育巷、公园街、科研巷、倚天路</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2022.11-2023.06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3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西安市跟踪指导镇建设项目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新兴街道办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新兴街道办全域</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2023.02-2023.12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2.物流、金融（1）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4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溢路美仓储发货中心项目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西安溢路美贸易有限公司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北屯街道北屯村鑫谷玉米公司院内</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三、乡村振兴（9）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武屯街道乡村振兴教育基地项目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2023.04-2023.12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武屯街道美丽乡村建设项目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西相、广阳、仁官、</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三合、东孙、房、栎阳等村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2023.6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北冯村乡村振兴农旅融合相枣林项目一期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关山街办北冯村股份经济合作社</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关山街道北冯村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北屯基础设施提升项目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北屯街道办事处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北屯街道财政所</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关山街道省级乡村振兴示范镇建设项目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关山街道全域内</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关山街道全域美丽乡村建设项目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关山街道辖区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阎良区高标准农田建设项目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区农业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关山、武屯、新兴</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种植业优势产业发展项目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区农业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13"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阎良区乡村振兴示范区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西安市阎良区航宇乡村建设投资发展有限责任公司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56149</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关山街道的樊家村、康桥村、东丁村、北冯村及南冯村；武屯街道的栎阳村；新兴街道的咀子村、新牛村及官路村。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2022.09-2025.12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0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四、文化旅游（3）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1.文化（2）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76"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中国青少年空天科普研学基地项目（续建）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西安星航未来产业融合发展有限责任公司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荆航一路以西、迎宾大道以东</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2022.09-2023.12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8"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西安阎良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中国航空文化博览园（一期）项目（续建）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西安市阎良区天宇文旅有限责任公司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99929.57</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新华路街道办农兴村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2022.03-2024.12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65"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2.旅游（1）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19"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石川河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安诺乳业旅游园建设项目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西安安诺乳业有限公司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新兴街道办事处新牛村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5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五、城建及基础设施（15）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51"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1.电力、供气、供水（2）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6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西安市阎良区西片区农村安全饮水工程项目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区水务局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区水务局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9201.92</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19"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西安市坚强电网攻坚电力沟道第三批建设项目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6456</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2023.04-2023.12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2.道路、管网（12）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阎良区润天大道与咸铜候西铁路立交桥建设项目（续建）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西安市阎良区天宏乡村建设有限公司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24181.94</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润天大道北延，南起前进东路，北至航空城</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大道</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2021.11-2023.06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阎良区公共交通改造提升项目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西安市阎良经济开发区展腾建设发展有限公司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武屯街道羊乳大道提升工程</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武屯街道办事处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武屯街道广阳村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2023.04-2023.12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镇域连接道路功能提升改造</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武屯街道办事处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武屯街道广阳村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2023.04-2023.12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临关路改建工程</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临关路</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产城融合基础设施建设项目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西安市阎良区航远产城融合建设有限责任公司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人民路</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2022.10-2023.12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阎良区经发部、发展路道路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接通项目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西安市阎良经济开发区展腾建设发展有限公司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新型工业园及扩展区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京昆高速公路改扩建工程</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续建</w:t>
            </w:r>
            <w:r>
              <w:rPr>
                <w:rFonts w:hint="default" w:ascii="Times New Roman" w:hAnsi="Times New Roman" w:eastAsia="宋体" w:cs="Times New Roman"/>
                <w:i w:val="0"/>
                <w:iCs w:val="0"/>
                <w:color w:val="000000"/>
                <w:kern w:val="0"/>
                <w:sz w:val="20"/>
                <w:szCs w:val="20"/>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陕西省交控集团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73400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振兴街办</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城市道路及配套设施改造提升项目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城区道路综合提升改造项目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3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产业园配套设施建设项目</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宋体"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15379</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航空城大道以北，年丰路以西，振兴路以东，航博大道以南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航空基地基础设施项目建设</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西安航空基地</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管委会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航空基地一期、二期</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78"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3.其他（1）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3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阎良区消防站建设项目（续建）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西安市阎良区天宏乡村建设有限公司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航博大道以北，迎宾北路以东，泾北干渠一支渠以南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2022.10-2023.06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2"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六、生态环保（3）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1.治水（2）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9"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阎良区关山街道光明村农村污水治理二期项目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关山街道光明村</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34"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关山街道全域排水渠灾后修复二期项目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关山街道辖区内</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82"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2.治绿（1）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城市基础设施提升项目（续建）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2022.12-2024.09</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0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七、社会事业及民生保障（1）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2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1.教育（1）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西航院新校区扩建项目（一期）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凤凰路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西安航空职业技术学院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迎宾大道</w:t>
            </w: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70"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八、安居工程（13）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04"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阎良三四七区片区化城市更新项目一期（续建）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区城改事务中心</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96338.18</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东至凤凰南路，南至铝业路，西至铁路专用线，北至五区西院</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2019.07-2023.12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24"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阎良三四七区片区化城市更新项目二期（续建）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区城改事务中心</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87776.74</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东至试飞院铁路专运线，西至西航职院老校区东区，南至规划路，北至人民路</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2021.08-2024.02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8"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城东片区城市更新项目（续建）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66360.54</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人民路东段南侧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3"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阎良区保障性住房航城佳苑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续建</w:t>
            </w:r>
            <w:r>
              <w:rPr>
                <w:rFonts w:hint="default" w:ascii="Times New Roman" w:hAnsi="Times New Roman" w:eastAsia="宋体" w:cs="Times New Roman"/>
                <w:i w:val="0"/>
                <w:iCs w:val="0"/>
                <w:color w:val="000000"/>
                <w:kern w:val="0"/>
                <w:sz w:val="20"/>
                <w:szCs w:val="20"/>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57281.13</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宾广路</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8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阎良区安芦组棚户区改造安置房建设项目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续建</w:t>
            </w:r>
            <w:r>
              <w:rPr>
                <w:rFonts w:hint="default" w:ascii="Times New Roman" w:hAnsi="Times New Roman" w:eastAsia="宋体" w:cs="Times New Roman"/>
                <w:i w:val="0"/>
                <w:iCs w:val="0"/>
                <w:color w:val="000000"/>
                <w:kern w:val="0"/>
                <w:sz w:val="20"/>
                <w:szCs w:val="20"/>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83718.1</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凤凰街办新跃村安芦组</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2020.10-2023.08</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2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阎良区断垣村片区化城市更新项目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续建</w:t>
            </w:r>
            <w:r>
              <w:rPr>
                <w:rFonts w:hint="default" w:ascii="Times New Roman" w:hAnsi="Times New Roman" w:eastAsia="宋体" w:cs="Times New Roman"/>
                <w:i w:val="0"/>
                <w:iCs w:val="0"/>
                <w:color w:val="000000"/>
                <w:kern w:val="0"/>
                <w:sz w:val="20"/>
                <w:szCs w:val="20"/>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西安市阎良区天宏乡村建设有限公司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79607.72</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石川河以南，前进路以北，咸铜铁路线以西，公园东路</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2021.03-2023.08</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58"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张大夫安置区建设项目</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续建</w:t>
            </w:r>
            <w:r>
              <w:rPr>
                <w:rFonts w:hint="default" w:ascii="Times New Roman" w:hAnsi="Times New Roman" w:eastAsia="宋体" w:cs="Times New Roman"/>
                <w:i w:val="0"/>
                <w:iCs w:val="0"/>
                <w:color w:val="000000"/>
                <w:kern w:val="0"/>
                <w:sz w:val="20"/>
                <w:szCs w:val="20"/>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西安市阎良区天赫城市开发建设有限公司、西安市阎良区航远产城融合建设有限责任公司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130089.63</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新兴街道万南村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张大夫组</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2022.06-2024.10</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2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阎良区罗家安置房</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续建</w:t>
            </w:r>
            <w:r>
              <w:rPr>
                <w:rFonts w:hint="default" w:ascii="Times New Roman" w:hAnsi="Times New Roman" w:eastAsia="宋体" w:cs="Times New Roman"/>
                <w:i w:val="0"/>
                <w:iCs w:val="0"/>
                <w:color w:val="000000"/>
                <w:kern w:val="0"/>
                <w:sz w:val="20"/>
                <w:szCs w:val="20"/>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西安市阎良区天卓城市开发建设有限公司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50325.75</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润天大道以东、规划路以南，陕西金松置业有限公司以北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2022.08-2024.07</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59"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阎良经济开发区保障性租赁用房一期项目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西安市阎良经济开发区展腾建设发展有限公司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新型工业园</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2023.05-2026.05</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18"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北朱、牌楼安置区建设项目（一期）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西安市阎良区天卓城市开发建设有限公司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柳东路以东、原振关路以西、泾惠一支渠以南、人民路以北。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2022.06-2024.07</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4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阎良区保障性租赁住房项目（一期）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西安市阎良区航远产城融合建设有限责任公司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凤凰路街道西安交大一附院东院南侧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2022.09-2024.06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18"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阎良区保障性租赁住房项目（二期）</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区城投集团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西安市阎良区航远产城融合建设有限责任公司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区新华路街道办金松小区东侧筑城小区西侧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2022.09-2024.06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3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北屯安置房二期（含清河雅苑）项目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西安航空基地保障房有限公司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航空基地一期、二期</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96" w:hRule="atLeast"/>
          <w:jc w:val="center"/>
        </w:trPr>
        <w:tc>
          <w:tcPr>
            <w:tcW w:w="1303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九、房地产（9）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星航未来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富阎新区品质阎良绿色宜居项目（续建）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西安星际领航置业有限责任公司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博大道以南，年丰路以西，荆航一路以东。</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2022.07-2024.07</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恒泰悦璟府项目（续建）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西安恒祈顺业房地产开发有限公司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人民西路以南、振兴路以西、青松路以北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2023.01-2025.12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锦绣观邸项目（续建）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陕西德信恒通房地产开发有限公司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万南村张大夫组</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丽登悦城项目（续建）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西安丽登实业有限责任公司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人民东路以北，柳中路以西</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龙鼎天墅项目（续建）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新华路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西安天鼎正信置业有限公司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人民东路以南，东临柳中路，南临规划路</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2022.01-2024.07</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碧桂园</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天誉（续建）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西安海康置业有限公司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50806</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人民西路南侧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2021.01-2023.12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荣观梧桐美地（续建）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振兴街道办</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陕西荣观房地产有限公司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人民路南侧、青松路北侧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2021.01-2024.12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锦庭春晓（续建）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荆山开发区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西安闫城房地产开发有限公司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62000</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荆航大道以东，航博大道以南。</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2020.01-2025.12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6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龙记观园项目（续建）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经济开发区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西安曼科置业有限公司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86771</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人民西路南侧</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2018.11-2023.12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r>
    </w:tbl>
    <w:p>
      <w:pPr>
        <w:pStyle w:val="2"/>
        <w:ind w:firstLine="632"/>
        <w:sectPr>
          <w:footerReference r:id="rId5" w:type="default"/>
          <w:pgSz w:w="16838" w:h="11906" w:orient="landscape"/>
          <w:pgMar w:top="1587" w:right="1984" w:bottom="1474" w:left="1814" w:header="851" w:footer="1020" w:gutter="0"/>
          <w:pgNumType w:fmt="decimal"/>
          <w:cols w:space="0" w:num="1"/>
          <w:rtlGutter w:val="0"/>
          <w:docGrid w:type="linesAndChars" w:linePitch="589" w:charSpace="-849"/>
        </w:sectPr>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sectPr>
          <w:footerReference r:id="rId6" w:type="default"/>
          <w:pgSz w:w="11906" w:h="16838"/>
          <w:pgMar w:top="2098" w:right="1474" w:bottom="1984" w:left="1587" w:header="851" w:footer="1020" w:gutter="0"/>
          <w:pgNumType w:fmt="decimal"/>
          <w:cols w:space="0" w:num="1"/>
          <w:rtlGutter w:val="0"/>
          <w:docGrid w:type="linesAndChars" w:linePitch="589" w:charSpace="-842"/>
        </w:sectPr>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pStyle w:val="2"/>
        <w:ind w:firstLine="632"/>
      </w:pPr>
    </w:p>
    <w:p>
      <w:pPr>
        <w:spacing w:line="576" w:lineRule="exact"/>
        <w:ind w:left="274" w:leftChars="87" w:right="271" w:rightChars="86"/>
        <w:rPr>
          <w:rFonts w:ascii="Times New Roman"/>
        </w:rPr>
      </w:pPr>
      <w:r>
        <w:rPr>
          <w:rFonts w:ascii="Times New Roman" w:eastAsia="楷体_GB2312"/>
          <w:sz w:val="28"/>
          <w:szCs w:val="28"/>
        </w:rPr>
        <w:t>阎良区十三届人大</w:t>
      </w:r>
      <w:r>
        <w:rPr>
          <w:rFonts w:hint="eastAsia" w:ascii="Times New Roman" w:eastAsia="楷体_GB2312"/>
          <w:sz w:val="28"/>
          <w:szCs w:val="28"/>
        </w:rPr>
        <w:t>二</w:t>
      </w:r>
      <w:r>
        <w:rPr>
          <w:rFonts w:ascii="Times New Roman" w:eastAsia="楷体_GB2312"/>
          <w:sz w:val="28"/>
          <w:szCs w:val="28"/>
        </w:rPr>
        <w:t>次会议秘书处</w: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40005</wp:posOffset>
                </wp:positionV>
                <wp:extent cx="5618480" cy="0"/>
                <wp:effectExtent l="0" t="0" r="0" b="0"/>
                <wp:wrapNone/>
                <wp:docPr id="2" name="直线 3"/>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3.15pt;height:0pt;width:442.4pt;z-index:251660288;mso-width-relative:page;mso-height-relative:page;" filled="f" stroked="t" coordsize="21600,21600" o:gfxdata="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xww81AAAAAQBAAAPAAAA&#10;AAAAAAEAIAAAACIAAABkcnMvZG93bnJldi54bWxQSwECFAAUAAAACACHTuJA/tWsROABAADQAwAA&#10;DgAAAAAAAAABACAAAAAjAQAAZHJzL2Uyb0RvYy54bWxQSwUGAAAAAAYABgBZAQAAdQUAAAAA&#10;">
                <v:fill on="f" focussize="0,0"/>
                <v:stroke weight="1pt"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407670</wp:posOffset>
                </wp:positionV>
                <wp:extent cx="5618480" cy="0"/>
                <wp:effectExtent l="0" t="0" r="0" b="0"/>
                <wp:wrapNone/>
                <wp:docPr id="1" name="直线 2"/>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32.1pt;height:0pt;width:442.4pt;z-index:251659264;mso-width-relative:page;mso-height-relative:page;" filled="f" stroked="t" coordsize="21600,21600" o:gfxdata="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jEon1QAAAAYBAAAPAAAA&#10;AAAAAAEAIAAAACIAAABkcnMvZG93bnJldi54bWxQSwECFAAUAAAACACHTuJAPCZgLd8BAADQAwAA&#10;DgAAAAAAAAABACAAAAAkAQAAZHJzL2Uyb0RvYy54bWxQSwUGAAAAAAYABgBZAQAAdQUAAAAA&#10;">
                <v:fill on="f" focussize="0,0"/>
                <v:stroke weight="1pt" color="#000000" joinstyle="round"/>
                <v:imagedata o:title=""/>
                <o:lock v:ext="edit" aspectratio="f"/>
              </v:line>
            </w:pict>
          </mc:Fallback>
        </mc:AlternateContent>
      </w:r>
      <w:r>
        <w:rPr>
          <w:rFonts w:ascii="Times New Roman"/>
          <w:sz w:val="28"/>
          <w:szCs w:val="28"/>
        </w:rPr>
        <w:t xml:space="preserve">           202</w:t>
      </w:r>
      <w:r>
        <w:rPr>
          <w:rFonts w:hint="eastAsia" w:ascii="Times New Roman"/>
          <w:sz w:val="28"/>
          <w:szCs w:val="28"/>
        </w:rPr>
        <w:t>3</w:t>
      </w:r>
      <w:r>
        <w:rPr>
          <w:rFonts w:ascii="Times New Roman"/>
          <w:sz w:val="28"/>
          <w:szCs w:val="28"/>
        </w:rPr>
        <w:t>年</w:t>
      </w:r>
      <w:r>
        <w:rPr>
          <w:rFonts w:hint="eastAsia" w:ascii="Times New Roman"/>
          <w:sz w:val="28"/>
          <w:szCs w:val="28"/>
        </w:rPr>
        <w:t>1</w:t>
      </w:r>
      <w:r>
        <w:rPr>
          <w:rFonts w:ascii="Times New Roman"/>
          <w:sz w:val="28"/>
          <w:szCs w:val="28"/>
        </w:rPr>
        <w:t>月1</w:t>
      </w:r>
      <w:r>
        <w:rPr>
          <w:rFonts w:hint="eastAsia" w:ascii="Times New Roman"/>
          <w:sz w:val="28"/>
          <w:szCs w:val="28"/>
        </w:rPr>
        <w:t>7</w:t>
      </w:r>
      <w:r>
        <w:rPr>
          <w:rFonts w:ascii="Times New Roman"/>
          <w:sz w:val="28"/>
          <w:szCs w:val="28"/>
        </w:rPr>
        <w:t>日印</w:t>
      </w:r>
      <w:r>
        <w:rPr>
          <w:rFonts w:hint="eastAsia" w:ascii="Times New Roman"/>
          <w:sz w:val="28"/>
          <w:szCs w:val="28"/>
        </w:rPr>
        <w:t>发</w:t>
      </w:r>
    </w:p>
    <w:sectPr>
      <w:footerReference r:id="rId7" w:type="default"/>
      <w:pgSz w:w="11906" w:h="16838"/>
      <w:pgMar w:top="2098" w:right="1474" w:bottom="1984" w:left="1587" w:header="851" w:footer="1020" w:gutter="0"/>
      <w:pgNumType w:fmt="decimal"/>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180" w:firstLine="180" w:firstLineChars="100"/>
      <w:rPr>
        <w:rFonts w:ascii="宋体" w:hAnsi="宋体" w:eastAsia="宋体"/>
        <w:sz w:val="28"/>
        <w:szCs w:val="28"/>
      </w:rPr>
    </w:pPr>
    <w:r>
      <w:rPr>
        <w:rFonts w:hint="eastAsia"/>
      </w:rPr>
      <w:t xml:space="preserve"> </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382"/>
        <w:tab w:val="right" w:pos="8785"/>
      </w:tabs>
      <w:ind w:right="180"/>
      <w:jc w:val="left"/>
      <w:rPr>
        <w:rFonts w:ascii="宋体" w:hAnsi="宋体" w:eastAsia="宋体"/>
        <w:sz w:val="28"/>
        <w:szCs w:val="28"/>
      </w:rPr>
    </w:pPr>
    <w:r>
      <w:rPr>
        <w:rFonts w:hint="eastAsia" w:ascii="宋体" w:hAnsi="宋体" w:eastAsia="宋体"/>
        <w:sz w:val="28"/>
        <w:szCs w:val="28"/>
        <w:lang w:eastAsia="zh-CN"/>
      </w:rPr>
      <w:tab/>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382"/>
        <w:tab w:val="right" w:pos="8785"/>
      </w:tabs>
      <w:ind w:right="180"/>
      <w:jc w:val="left"/>
      <w:rPr>
        <w:rFonts w:ascii="宋体" w:hAnsi="宋体" w:eastAsia="宋体"/>
        <w:sz w:val="28"/>
        <w:szCs w:val="28"/>
      </w:rPr>
    </w:pPr>
    <w:r>
      <w:rPr>
        <w:rFonts w:hint="eastAsia" w:ascii="宋体" w:hAnsi="宋体" w:eastAsia="宋体"/>
        <w:sz w:val="28"/>
        <w:szCs w:val="28"/>
        <w:lang w:eastAsia="zh-CN"/>
      </w:rPr>
      <w:tab/>
    </w:r>
    <w:r>
      <w:rPr>
        <w:rFonts w:hint="eastAsia" w:ascii="宋体" w:hAnsi="宋体" w:eastAsia="宋体"/>
        <w:sz w:val="28"/>
        <w:szCs w:val="28"/>
        <w:lang w:eastAsia="zh-CN"/>
      </w:rPr>
      <w:tab/>
    </w:r>
    <w:r>
      <w:rPr>
        <w:rFonts w:hint="eastAsia" w:ascii="宋体" w:hAnsi="宋体" w:eastAsia="宋体"/>
        <w:sz w:val="28"/>
        <w:szCs w:val="28"/>
        <w:lang w:eastAsia="zh-CN"/>
      </w:rPr>
      <w:tab/>
    </w:r>
    <w:r>
      <w:rPr>
        <w:rFonts w:hint="eastAsia" w:ascii="宋体" w:hAnsi="宋体" w:eastAsia="宋体"/>
        <w:sz w:val="28"/>
        <w:szCs w:val="28"/>
        <w:lang w:eastAsia="zh-CN"/>
      </w:rPr>
      <w:tab/>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180"/>
      <w:jc w:val="right"/>
      <w:rPr>
        <w:rFonts w:ascii="宋体" w:hAnsi="宋体" w:eastAsia="宋体"/>
        <w:sz w:val="28"/>
        <w:szCs w:val="28"/>
      </w:rP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MTAxOTcyNzhhMjU3NTE0ZWNlNzUwNGI0YTk1OGUifQ=="/>
  </w:docVars>
  <w:rsids>
    <w:rsidRoot w:val="00000000"/>
    <w:rsid w:val="103619C1"/>
    <w:rsid w:val="27CD18EC"/>
    <w:rsid w:val="2CF66483"/>
    <w:rsid w:val="360C1DD5"/>
    <w:rsid w:val="3A2628C8"/>
    <w:rsid w:val="53E72BFD"/>
    <w:rsid w:val="75435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2"/>
    <w:basedOn w:val="1"/>
    <w:next w:val="1"/>
    <w:link w:val="18"/>
    <w:unhideWhenUsed/>
    <w:qFormat/>
    <w:uiPriority w:val="0"/>
    <w:pPr>
      <w:spacing w:line="554" w:lineRule="exact"/>
      <w:ind w:firstLine="562" w:firstLineChars="200"/>
      <w:outlineLvl w:val="1"/>
    </w:pPr>
    <w:rPr>
      <w:rFonts w:ascii="仿宋" w:hAnsi="仿宋" w:eastAsia="楷体"/>
      <w:bCs/>
      <w:szCs w:val="28"/>
    </w:rPr>
  </w:style>
  <w:style w:type="paragraph" w:styleId="4">
    <w:name w:val="heading 4"/>
    <w:basedOn w:val="1"/>
    <w:next w:val="1"/>
    <w:qFormat/>
    <w:uiPriority w:val="0"/>
    <w:pPr>
      <w:keepNext/>
      <w:keepLines/>
      <w:spacing w:before="280" w:after="290" w:line="376" w:lineRule="auto"/>
      <w:outlineLvl w:val="3"/>
    </w:pPr>
    <w:rPr>
      <w:rFonts w:ascii="Calibri Light" w:hAnsi="Calibri Light" w:eastAsia="宋体"/>
      <w:b/>
      <w:bCs/>
      <w:sz w:val="28"/>
      <w:szCs w:val="28"/>
    </w:rPr>
  </w:style>
  <w:style w:type="paragraph" w:styleId="5">
    <w:name w:val="heading 5"/>
    <w:basedOn w:val="1"/>
    <w:next w:val="1"/>
    <w:qFormat/>
    <w:uiPriority w:val="0"/>
    <w:pPr>
      <w:ind w:firstLine="640"/>
      <w:jc w:val="center"/>
      <w:outlineLvl w:val="4"/>
    </w:pPr>
    <w:rPr>
      <w:rFonts w:ascii="黑体" w:eastAsia="黑体"/>
    </w:rPr>
  </w:style>
  <w:style w:type="character" w:default="1" w:styleId="16">
    <w:name w:val="Default Paragraph Font"/>
    <w:unhideWhenUsed/>
    <w:qFormat/>
    <w:uiPriority w:val="1"/>
  </w:style>
  <w:style w:type="table" w:default="1" w:styleId="15">
    <w:name w:val="Normal Table"/>
    <w:unhideWhenUsed/>
    <w:uiPriority w:val="99"/>
    <w:tblPr>
      <w:tblCellMar>
        <w:top w:w="0" w:type="dxa"/>
        <w:left w:w="108" w:type="dxa"/>
        <w:bottom w:w="0" w:type="dxa"/>
        <w:right w:w="108" w:type="dxa"/>
      </w:tblCellMar>
    </w:tblPr>
  </w:style>
  <w:style w:type="paragraph" w:customStyle="1" w:styleId="2">
    <w:name w:val="列出段落1"/>
    <w:qFormat/>
    <w:uiPriority w:val="34"/>
    <w:pPr>
      <w:widowControl w:val="0"/>
      <w:spacing w:line="576" w:lineRule="exact"/>
      <w:ind w:firstLine="420" w:firstLineChars="200"/>
      <w:jc w:val="both"/>
    </w:pPr>
    <w:rPr>
      <w:rFonts w:ascii="Calibri" w:hAnsi="Calibri" w:eastAsia="宋体" w:cs="黑体"/>
      <w:kern w:val="2"/>
      <w:sz w:val="32"/>
      <w:szCs w:val="24"/>
      <w:lang w:val="en-US" w:eastAsia="zh-CN" w:bidi="ar-SA"/>
    </w:rPr>
  </w:style>
  <w:style w:type="paragraph" w:styleId="6">
    <w:name w:val="Normal Indent"/>
    <w:qFormat/>
    <w:uiPriority w:val="99"/>
    <w:pPr>
      <w:widowControl w:val="0"/>
      <w:ind w:firstLine="420"/>
      <w:jc w:val="both"/>
    </w:pPr>
    <w:rPr>
      <w:rFonts w:ascii="Calibri" w:hAnsi="Calibri" w:eastAsia="宋体" w:cs="Times New Roman"/>
      <w:kern w:val="2"/>
      <w:sz w:val="21"/>
      <w:szCs w:val="24"/>
      <w:lang w:val="en-US" w:eastAsia="zh-CN" w:bidi="ar-SA"/>
    </w:rPr>
  </w:style>
  <w:style w:type="paragraph" w:styleId="7">
    <w:name w:val="Body Text"/>
    <w:basedOn w:val="1"/>
    <w:next w:val="1"/>
    <w:qFormat/>
    <w:uiPriority w:val="99"/>
    <w:pPr>
      <w:spacing w:after="120"/>
    </w:pPr>
    <w:rPr>
      <w:rFonts w:ascii="Calibri" w:hAnsi="Calibri" w:eastAsia="宋体" w:cs="宋体"/>
      <w:sz w:val="21"/>
      <w:szCs w:val="22"/>
    </w:rPr>
  </w:style>
  <w:style w:type="paragraph" w:styleId="8">
    <w:name w:val="Body Text Indent"/>
    <w:basedOn w:val="1"/>
    <w:qFormat/>
    <w:uiPriority w:val="0"/>
    <w:pPr>
      <w:ind w:firstLine="624" w:firstLineChars="200"/>
    </w:pPr>
    <w:rPr>
      <w:rFonts w:ascii="方正仿宋简体"/>
      <w:spacing w:val="30"/>
      <w:w w:val="80"/>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ind w:firstLine="632" w:firstLineChars="200"/>
    </w:p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rFonts w:eastAsia="方正仿宋简体"/>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eastAsia="方正仿宋简体"/>
      <w:sz w:val="18"/>
      <w:szCs w:val="18"/>
    </w:rPr>
  </w:style>
  <w:style w:type="paragraph" w:styleId="14">
    <w:name w:val="Title"/>
    <w:next w:val="1"/>
    <w:qFormat/>
    <w:uiPriority w:val="0"/>
    <w:pPr>
      <w:widowControl w:val="0"/>
      <w:spacing w:before="240" w:after="60"/>
      <w:jc w:val="center"/>
      <w:outlineLvl w:val="0"/>
    </w:pPr>
    <w:rPr>
      <w:rFonts w:ascii="Arial" w:hAnsi="Arial" w:eastAsia="仿宋_GB2312" w:cs="Arial"/>
      <w:b/>
      <w:bCs/>
      <w:kern w:val="2"/>
      <w:sz w:val="32"/>
      <w:szCs w:val="32"/>
      <w:lang w:val="en-US" w:eastAsia="zh-CN" w:bidi="ar-SA"/>
    </w:rPr>
  </w:style>
  <w:style w:type="character" w:styleId="17">
    <w:name w:val="page number"/>
    <w:basedOn w:val="16"/>
    <w:qFormat/>
    <w:uiPriority w:val="0"/>
  </w:style>
  <w:style w:type="character" w:customStyle="1" w:styleId="18">
    <w:name w:val="标题 2 字符"/>
    <w:basedOn w:val="16"/>
    <w:link w:val="3"/>
    <w:qFormat/>
    <w:uiPriority w:val="9"/>
    <w:rPr>
      <w:rFonts w:ascii="仿宋" w:hAnsi="仿宋" w:eastAsia="楷体"/>
      <w:bCs/>
      <w:sz w:val="32"/>
      <w:szCs w:val="28"/>
    </w:rPr>
  </w:style>
  <w:style w:type="character" w:customStyle="1" w:styleId="19">
    <w:name w:val="批注框文本 字符"/>
    <w:link w:val="11"/>
    <w:qFormat/>
    <w:uiPriority w:val="0"/>
    <w:rPr>
      <w:rFonts w:ascii="仿宋_GB2312" w:eastAsia="仿宋_GB2312"/>
      <w:kern w:val="2"/>
      <w:sz w:val="18"/>
      <w:szCs w:val="18"/>
    </w:rPr>
  </w:style>
  <w:style w:type="paragraph" w:customStyle="1" w:styleId="20">
    <w:name w:val="Char"/>
    <w:basedOn w:val="1"/>
    <w:next w:val="1"/>
    <w:qFormat/>
    <w:uiPriority w:val="0"/>
    <w:pPr>
      <w:widowControl/>
      <w:spacing w:before="100" w:beforeAutospacing="1" w:line="240" w:lineRule="exact"/>
      <w:jc w:val="left"/>
    </w:pPr>
    <w:rPr>
      <w:rFonts w:ascii="Arial" w:hAnsi="Arial" w:cs="Verdana"/>
      <w:b/>
      <w:bCs/>
      <w:kern w:val="0"/>
      <w:sz w:val="24"/>
    </w:rPr>
  </w:style>
  <w:style w:type="character" w:customStyle="1" w:styleId="21">
    <w:name w:val="NormalCharacter"/>
    <w:semiHidden/>
    <w:qFormat/>
    <w:uiPriority w:val="0"/>
    <w:rPr>
      <w:rFonts w:ascii="Calibri" w:hAnsi="Calibri" w:eastAsia="宋体" w:cs="Times New Roman"/>
      <w:kern w:val="2"/>
      <w:sz w:val="21"/>
      <w:szCs w:val="24"/>
      <w:lang w:val="en-US" w:eastAsia="zh-CN" w:bidi="ar-SA"/>
    </w:rPr>
  </w:style>
  <w:style w:type="character" w:customStyle="1" w:styleId="22">
    <w:name w:val="font21"/>
    <w:qFormat/>
    <w:uiPriority w:val="0"/>
    <w:rPr>
      <w:rFonts w:hint="default" w:ascii="Times New Roman" w:hAnsi="Times New Roman" w:cs="Times New Roman"/>
      <w:color w:val="000000"/>
      <w:sz w:val="24"/>
      <w:szCs w:val="24"/>
      <w:u w:val="none"/>
    </w:rPr>
  </w:style>
  <w:style w:type="paragraph" w:customStyle="1" w:styleId="23">
    <w:name w:val="修订1"/>
    <w:hidden/>
    <w:semiHidden/>
    <w:qFormat/>
    <w:uiPriority w:val="99"/>
    <w:rPr>
      <w:rFonts w:ascii="仿宋_GB2312" w:hAnsi="Times New Roman" w:eastAsia="仿宋_GB2312" w:cs="Times New Roman"/>
      <w:kern w:val="2"/>
      <w:sz w:val="32"/>
      <w:szCs w:val="24"/>
      <w:lang w:val="en-US" w:eastAsia="zh-CN" w:bidi="ar-SA"/>
    </w:rPr>
  </w:style>
  <w:style w:type="character" w:customStyle="1" w:styleId="24">
    <w:name w:val="font101"/>
    <w:basedOn w:val="16"/>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40</Pages>
  <Words>18762</Words>
  <Characters>21703</Characters>
  <Lines>71</Lines>
  <Paragraphs>20</Paragraphs>
  <TotalTime>0</TotalTime>
  <ScaleCrop>false</ScaleCrop>
  <LinksUpToDate>false</LinksUpToDate>
  <CharactersWithSpaces>21715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2019-12-27T07:54:00Z</dcterms:created>
  <dc:creator>李化安</dc:creator>
  <cp:lastModifiedBy>ZQC</cp:lastModifiedBy>
  <cp:lastPrinted>2023-01-13T09:28:00Z</cp:lastPrinted>
  <dcterms:modified xsi:type="dcterms:W3CDTF">2023-01-14T11:30:23Z</dcterms:modified>
  <dc:title>阎发改字〔2015〕21号                签发人：李  卓</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050551F7165A44C6AB1D8C409D1E2768</vt:lpwstr>
  </property>
</Properties>
</file>