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5"/>
        <w:shd w:val="clear" w:color="auto"/>
        <w:spacing w:before="0" w:beforeAutospacing="0" w:after="0" w:afterAutospacing="0"/>
        <w:jc w:val="center"/>
        <w:rPr>
          <w:rStyle w:val="9"/>
          <w:rFonts w:hint="eastAsia"/>
          <w:sz w:val="36"/>
          <w:szCs w:val="36"/>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中国共产党西安市阎良区纪律检查委员会</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（西安市阎良区监察委员会）</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201</w:t>
      </w:r>
      <w:r>
        <w:rPr>
          <w:rFonts w:hint="eastAsia" w:ascii="方正小标宋简体" w:hAnsi="方正小标宋简体" w:eastAsia="方正小标宋简体" w:cs="方正小标宋简体"/>
          <w:sz w:val="44"/>
          <w:szCs w:val="44"/>
          <w:lang w:val="en-US" w:eastAsia="zh-CN"/>
        </w:rPr>
        <w:t>9</w:t>
      </w:r>
      <w:r>
        <w:rPr>
          <w:rFonts w:hint="eastAsia" w:ascii="方正小标宋简体" w:hAnsi="方正小标宋简体" w:eastAsia="方正小标宋简体" w:cs="方正小标宋简体"/>
          <w:sz w:val="44"/>
          <w:szCs w:val="44"/>
        </w:rPr>
        <w:t>年度部门决算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lang w:eastAsia="zh-CN"/>
        </w:rPr>
        <w:t>已审查</w:t>
      </w:r>
    </w:p>
    <w:p>
      <w:pPr>
        <w:spacing w:line="400" w:lineRule="exact"/>
        <w:jc w:val="center"/>
        <w:rPr>
          <w:rFonts w:hint="eastAsia" w:asciiTheme="minorEastAsia" w:hAnsiTheme="minorEastAsia" w:eastAsiaTheme="minorEastAsia" w:cstheme="minorEastAsia"/>
          <w:b/>
          <w:bCs/>
          <w:sz w:val="32"/>
          <w:szCs w:val="32"/>
        </w:rPr>
      </w:pPr>
    </w:p>
    <w:p>
      <w:pPr>
        <w:spacing w:line="400" w:lineRule="exact"/>
        <w:ind w:firstLine="2088" w:firstLineChars="650"/>
        <w:rPr>
          <w:rFonts w:hint="eastAsia" w:ascii="宋体" w:hAnsi="宋体" w:cs="宋体" w:eastAsiaTheme="minorEastAsia"/>
          <w:b/>
          <w:bCs/>
          <w:sz w:val="32"/>
          <w:szCs w:val="32"/>
          <w:lang w:eastAsia="zh-CN"/>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lang w:eastAsia="zh-CN"/>
        </w:rPr>
        <w:t>已审签</w:t>
      </w:r>
    </w:p>
    <w:p>
      <w:pPr>
        <w:jc w:val="center"/>
        <w:rPr>
          <w:rFonts w:ascii="黑体" w:hAnsi="宋体" w:eastAsia="黑体"/>
          <w:b/>
          <w:color w:val="000000"/>
          <w:kern w:val="0"/>
          <w:sz w:val="56"/>
          <w:szCs w:val="56"/>
          <w:lang w:bidi="ar"/>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一、部门主要职责及内设机构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textAlignment w:val="auto"/>
      </w:pPr>
      <w:r>
        <w:rPr>
          <w:rFonts w:ascii="仿宋_GB2312" w:hAnsi="微软雅黑" w:eastAsia="仿宋_GB2312" w:cs="仿宋_GB2312"/>
          <w:sz w:val="32"/>
          <w:szCs w:val="32"/>
        </w:rPr>
        <w:t>1.</w:t>
      </w:r>
      <w:r>
        <w:rPr>
          <w:rFonts w:hint="eastAsia" w:ascii="仿宋_GB2312" w:hAnsi="微软雅黑" w:eastAsia="仿宋_GB2312" w:cs="仿宋_GB2312"/>
          <w:sz w:val="32"/>
          <w:szCs w:val="32"/>
        </w:rPr>
        <w:t>负责主管全区</w:t>
      </w:r>
      <w:r>
        <w:rPr>
          <w:rFonts w:hint="eastAsia" w:ascii="仿宋_GB2312" w:hAnsi="微软雅黑" w:eastAsia="仿宋_GB2312" w:cs="仿宋_GB2312"/>
          <w:sz w:val="32"/>
          <w:szCs w:val="32"/>
          <w:lang w:eastAsia="zh-CN"/>
        </w:rPr>
        <w:t>纪检监察</w:t>
      </w:r>
      <w:r>
        <w:rPr>
          <w:rFonts w:hint="eastAsia" w:ascii="仿宋_GB2312" w:hAnsi="微软雅黑" w:eastAsia="仿宋_GB2312" w:cs="仿宋_GB2312"/>
          <w:sz w:val="32"/>
          <w:szCs w:val="32"/>
        </w:rPr>
        <w:t>工作。</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textAlignment w:val="auto"/>
      </w:pPr>
      <w:r>
        <w:rPr>
          <w:rFonts w:ascii="仿宋_GB2312" w:hAnsi="微软雅黑" w:eastAsia="仿宋_GB2312" w:cs="仿宋_GB2312"/>
          <w:sz w:val="32"/>
          <w:szCs w:val="32"/>
        </w:rPr>
        <w:t>2.</w:t>
      </w:r>
      <w:r>
        <w:rPr>
          <w:rFonts w:hint="eastAsia" w:ascii="仿宋_GB2312" w:hAnsi="微软雅黑" w:eastAsia="仿宋_GB2312" w:cs="仿宋_GB2312"/>
          <w:sz w:val="32"/>
          <w:szCs w:val="32"/>
        </w:rPr>
        <w:t>负责查办腐败案件有关工作。</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textAlignment w:val="auto"/>
      </w:pPr>
      <w:r>
        <w:rPr>
          <w:rFonts w:ascii="仿宋_GB2312" w:hAnsi="微软雅黑" w:eastAsia="仿宋_GB2312" w:cs="仿宋_GB2312"/>
          <w:sz w:val="32"/>
          <w:szCs w:val="32"/>
        </w:rPr>
        <w:t>3.</w:t>
      </w:r>
      <w:r>
        <w:rPr>
          <w:rFonts w:hint="eastAsia" w:ascii="仿宋_GB2312" w:hAnsi="微软雅黑" w:eastAsia="仿宋_GB2312" w:cs="仿宋_GB2312"/>
          <w:sz w:val="32"/>
          <w:szCs w:val="32"/>
        </w:rPr>
        <w:t>负责作出关于维护党纪的决定，制定全区党风党纪教育规划，配合有关部门做好党的纪检工作方针、政策的宣传和党员遵守纪律的教育。</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textAlignment w:val="auto"/>
      </w:pPr>
      <w:r>
        <w:rPr>
          <w:rFonts w:ascii="仿宋_GB2312" w:hAnsi="微软雅黑" w:eastAsia="仿宋_GB2312" w:cs="仿宋_GB2312"/>
          <w:sz w:val="32"/>
          <w:szCs w:val="32"/>
        </w:rPr>
        <w:t>4.</w:t>
      </w:r>
      <w:r>
        <w:rPr>
          <w:rFonts w:hint="eastAsia" w:ascii="仿宋_GB2312" w:hAnsi="微软雅黑" w:eastAsia="仿宋_GB2312" w:cs="仿宋_GB2312"/>
          <w:sz w:val="32"/>
          <w:szCs w:val="32"/>
        </w:rPr>
        <w:t>负责对党的纪检工作理论及有关问题进行调查研究。</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textAlignment w:val="auto"/>
      </w:pPr>
      <w:r>
        <w:rPr>
          <w:rFonts w:ascii="仿宋_GB2312" w:hAnsi="微软雅黑" w:eastAsia="仿宋_GB2312" w:cs="仿宋_GB2312"/>
          <w:sz w:val="32"/>
          <w:szCs w:val="32"/>
        </w:rPr>
        <w:t>5.</w:t>
      </w:r>
      <w:r>
        <w:rPr>
          <w:rFonts w:hint="eastAsia" w:ascii="仿宋_GB2312" w:hAnsi="微软雅黑" w:eastAsia="仿宋_GB2312" w:cs="仿宋_GB2312"/>
          <w:sz w:val="32"/>
          <w:szCs w:val="32"/>
        </w:rPr>
        <w:t>负责全区纪检监察系统领导班子建设、干部队伍建设和组织建设。</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textAlignment w:val="auto"/>
      </w:pPr>
      <w:r>
        <w:rPr>
          <w:rFonts w:ascii="仿宋_GB2312" w:hAnsi="微软雅黑" w:eastAsia="仿宋_GB2312" w:cs="仿宋_GB2312"/>
          <w:sz w:val="32"/>
          <w:szCs w:val="32"/>
        </w:rPr>
        <w:t>6.</w:t>
      </w:r>
      <w:r>
        <w:rPr>
          <w:rFonts w:hint="eastAsia" w:ascii="仿宋_GB2312" w:hAnsi="微软雅黑" w:eastAsia="仿宋_GB2312" w:cs="仿宋_GB2312"/>
          <w:sz w:val="32"/>
          <w:szCs w:val="32"/>
        </w:rPr>
        <w:t>负责全区预防腐败工作的组织协调、综合规划、政策制定、检查指导等工作。</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textAlignment w:val="auto"/>
      </w:pPr>
      <w:r>
        <w:rPr>
          <w:rFonts w:ascii="仿宋_GB2312" w:hAnsi="微软雅黑" w:eastAsia="仿宋_GB2312" w:cs="仿宋_GB2312"/>
          <w:sz w:val="32"/>
          <w:szCs w:val="32"/>
        </w:rPr>
        <w:t>7.</w:t>
      </w:r>
      <w:r>
        <w:rPr>
          <w:rFonts w:hint="eastAsia" w:ascii="仿宋_GB2312" w:hAnsi="微软雅黑" w:eastAsia="仿宋_GB2312" w:cs="仿宋_GB2312"/>
          <w:sz w:val="32"/>
          <w:szCs w:val="32"/>
        </w:rPr>
        <w:t>负责维护宪法和法律法规权威；依法监察公职人员行使公权力情况，调查职务违法和职务犯罪；开展廉政建设和反腐败工作。</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textAlignment w:val="auto"/>
      </w:pPr>
      <w:r>
        <w:rPr>
          <w:rFonts w:ascii="仿宋_GB2312" w:hAnsi="微软雅黑" w:eastAsia="仿宋_GB2312" w:cs="仿宋_GB2312"/>
          <w:sz w:val="32"/>
          <w:szCs w:val="32"/>
        </w:rPr>
        <w:t>8.</w:t>
      </w:r>
      <w:r>
        <w:rPr>
          <w:rFonts w:hint="eastAsia" w:ascii="仿宋_GB2312" w:hAnsi="微软雅黑" w:eastAsia="仿宋_GB2312" w:cs="仿宋_GB2312"/>
          <w:sz w:val="32"/>
          <w:szCs w:val="32"/>
        </w:rPr>
        <w:t>贯彻区委巡察工作领导小组会议决定和工作部署，研究提出巡察工作规划、计划、方案，汇总巡察工作情况；负责区委巡察组开展巡察的有关协调工作；负责领导小组决定事项的具体落实和督促办理；负责巡察工作人员的培训、考核和监督管理；组织开展巡察工作政策研究和制度建设。</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40"/>
        <w:textAlignment w:val="auto"/>
        <w:rPr>
          <w:rFonts w:hint="eastAsia" w:ascii="仿宋_GB2312" w:hAnsi="微软雅黑" w:eastAsia="仿宋_GB2312" w:cs="仿宋_GB2312"/>
          <w:sz w:val="32"/>
          <w:szCs w:val="32"/>
        </w:rPr>
      </w:pPr>
      <w:r>
        <w:rPr>
          <w:rFonts w:ascii="仿宋_GB2312" w:hAnsi="微软雅黑" w:eastAsia="仿宋_GB2312" w:cs="仿宋_GB2312"/>
          <w:sz w:val="32"/>
          <w:szCs w:val="32"/>
        </w:rPr>
        <w:t>9.</w:t>
      </w:r>
      <w:r>
        <w:rPr>
          <w:rFonts w:hint="eastAsia" w:ascii="仿宋_GB2312" w:hAnsi="微软雅黑" w:eastAsia="仿宋_GB2312" w:cs="仿宋_GB2312"/>
          <w:sz w:val="32"/>
          <w:szCs w:val="32"/>
        </w:rPr>
        <w:t>承办授权和交办的其他事项。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（二）内设机构</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eastAsia" w:ascii="仿宋_GB2312" w:hAnsi="微软雅黑" w:eastAsia="仿宋_GB2312" w:cs="仿宋_GB2312"/>
          <w:color w:val="2B2B2B"/>
          <w:kern w:val="0"/>
          <w:sz w:val="32"/>
          <w:szCs w:val="32"/>
          <w:lang w:val="en-US" w:eastAsia="zh-CN" w:bidi="ar"/>
        </w:rPr>
      </w:pPr>
      <w:r>
        <w:rPr>
          <w:rFonts w:hint="eastAsia" w:ascii="仿宋_GB2312" w:hAnsi="微软雅黑" w:eastAsia="仿宋_GB2312" w:cs="仿宋_GB2312"/>
          <w:color w:val="2B2B2B"/>
          <w:kern w:val="0"/>
          <w:sz w:val="32"/>
          <w:szCs w:val="32"/>
          <w:lang w:val="en-US" w:eastAsia="zh-CN" w:bidi="ar"/>
        </w:rPr>
        <w:t>区纪委监委现有内设机构11个，分别为：办公室、组织宣传部、党风政风监督室、信访室、案件监督管理室、第一纪检监察室、第二纪检监察室、第三纪检监察室、第四纪检监察室、第五纪检监察室和案件审理室。区纪委监委向全区7个街道派出纪工委，向区一级党和国家机关派驻6个纪检组。</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eastAsia" w:ascii="仿宋_GB2312" w:hAnsi="微软雅黑" w:eastAsia="仿宋_GB2312" w:cs="仿宋_GB2312"/>
          <w:color w:val="2B2B2B"/>
          <w:kern w:val="0"/>
          <w:sz w:val="32"/>
          <w:szCs w:val="32"/>
          <w:lang w:val="en-US" w:eastAsia="zh-CN" w:bidi="ar"/>
        </w:rPr>
      </w:pPr>
      <w:r>
        <w:rPr>
          <w:rFonts w:hint="eastAsia" w:ascii="仿宋_GB2312" w:hAnsi="微软雅黑" w:eastAsia="仿宋_GB2312" w:cs="仿宋_GB2312"/>
          <w:color w:val="2B2B2B"/>
          <w:kern w:val="0"/>
          <w:sz w:val="32"/>
          <w:szCs w:val="32"/>
          <w:lang w:val="en-US" w:eastAsia="zh-CN" w:bidi="ar"/>
        </w:rPr>
        <w:t>区委巡察办是区委的工作部门，设在区纪委。</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rPr>
      </w:pP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Cs w:val="32"/>
          <w:lang w:eastAsia="zh-CN"/>
        </w:rPr>
      </w:pPr>
      <w:r>
        <w:rPr>
          <w:rFonts w:hint="eastAsia" w:ascii="仿宋_GB2312" w:eastAsia="仿宋_GB2312" w:cs="仿宋_GB2312"/>
          <w:color w:val="000000"/>
          <w:spacing w:val="2"/>
          <w:szCs w:val="32"/>
        </w:rPr>
        <w:t>区纪委</w:t>
      </w:r>
      <w:r>
        <w:rPr>
          <w:rFonts w:hint="eastAsia" w:ascii="仿宋_GB2312" w:eastAsia="仿宋_GB2312" w:cs="仿宋_GB2312"/>
          <w:color w:val="000000"/>
          <w:spacing w:val="2"/>
          <w:szCs w:val="32"/>
          <w:lang w:eastAsia="zh-CN"/>
        </w:rPr>
        <w:t>监委（含区委巡察办）</w:t>
      </w:r>
      <w:r>
        <w:rPr>
          <w:rFonts w:hint="eastAsia" w:ascii="仿宋_GB2312" w:eastAsia="仿宋_GB2312" w:cs="仿宋_GB2312"/>
          <w:color w:val="000000"/>
          <w:spacing w:val="2"/>
          <w:szCs w:val="32"/>
        </w:rPr>
        <w:t>为财政全额拨款的行政单位，预算为本级预算，</w:t>
      </w:r>
      <w:r>
        <w:rPr>
          <w:rFonts w:hint="eastAsia" w:ascii="仿宋_GB2312" w:hAnsi="仿宋_GB2312" w:eastAsia="仿宋_GB2312" w:cs="仿宋_GB2312"/>
          <w:szCs w:val="32"/>
        </w:rPr>
        <w:t>无二级预算单位</w:t>
      </w:r>
      <w:r>
        <w:rPr>
          <w:rFonts w:hint="eastAsia" w:ascii="仿宋_GB2312" w:hAnsi="仿宋_GB2312" w:eastAsia="仿宋_GB2312" w:cs="仿宋_GB2312"/>
          <w:szCs w:val="32"/>
          <w:lang w:eastAsia="zh-CN"/>
        </w:rPr>
        <w:t>：</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 w:val="32"/>
                <w:szCs w:val="32"/>
              </w:rPr>
            </w:pPr>
            <w:r>
              <w:rPr>
                <w:rFonts w:hint="eastAsia" w:ascii="黑体" w:hAnsi="黑体" w:eastAsia="黑体"/>
                <w:sz w:val="32"/>
                <w:szCs w:val="32"/>
              </w:rPr>
              <w:t>序号</w:t>
            </w:r>
          </w:p>
        </w:tc>
        <w:tc>
          <w:tcPr>
            <w:tcW w:w="7278" w:type="dxa"/>
            <w:vAlign w:val="center"/>
          </w:tcPr>
          <w:p>
            <w:pPr>
              <w:jc w:val="center"/>
              <w:rPr>
                <w:rFonts w:ascii="黑体" w:hAnsi="黑体" w:eastAsia="黑体"/>
                <w:sz w:val="32"/>
                <w:szCs w:val="32"/>
              </w:rPr>
            </w:pPr>
            <w:r>
              <w:rPr>
                <w:rFonts w:hint="eastAsia" w:ascii="黑体" w:hAnsi="黑体" w:eastAsia="黑体"/>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278"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中共西安市阎良区纪律检查委员会</w:t>
            </w:r>
            <w:r>
              <w:rPr>
                <w:rFonts w:hint="eastAsia" w:ascii="仿宋_GB2312" w:hAnsi="仿宋_GB2312" w:eastAsia="仿宋_GB2312" w:cs="仿宋_GB2312"/>
                <w:sz w:val="32"/>
                <w:szCs w:val="32"/>
              </w:rPr>
              <w:t>本级</w:t>
            </w:r>
          </w:p>
        </w:tc>
      </w:tr>
    </w:tbl>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Cs w:val="32"/>
          <w:lang w:eastAsia="zh-CN"/>
        </w:rPr>
      </w:pPr>
    </w:p>
    <w:p>
      <w:pPr>
        <w:ind w:firstLine="640"/>
        <w:rPr>
          <w:rFonts w:ascii="黑体" w:hAnsi="黑体" w:eastAsia="黑体"/>
          <w:b/>
          <w:bCs/>
          <w:sz w:val="32"/>
          <w:szCs w:val="32"/>
        </w:rPr>
      </w:pPr>
      <w:r>
        <w:rPr>
          <w:rFonts w:hint="eastAsia" w:ascii="黑体" w:hAnsi="黑体" w:eastAsia="黑体"/>
          <w:b/>
          <w:bCs/>
          <w:sz w:val="32"/>
          <w:szCs w:val="32"/>
        </w:rPr>
        <w:t>三、部门人员情况</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截止</w:t>
      </w:r>
      <w:r>
        <w:rPr>
          <w:rFonts w:ascii="仿宋_GB2312" w:hAnsi="仿宋_GB2312" w:eastAsia="仿宋_GB2312" w:cs="仿宋_GB2312"/>
          <w:szCs w:val="32"/>
        </w:rPr>
        <w:t>201</w:t>
      </w:r>
      <w:r>
        <w:rPr>
          <w:rFonts w:hint="eastAsia" w:ascii="仿宋_GB2312" w:hAnsi="仿宋_GB2312" w:eastAsia="仿宋_GB2312" w:cs="仿宋_GB2312"/>
          <w:szCs w:val="32"/>
          <w:lang w:val="en-US" w:eastAsia="zh-CN"/>
        </w:rPr>
        <w:t>9</w:t>
      </w:r>
      <w:r>
        <w:rPr>
          <w:rFonts w:hint="eastAsia" w:ascii="仿宋_GB2312" w:hAnsi="仿宋_GB2312" w:eastAsia="仿宋_GB2312" w:cs="仿宋_GB2312"/>
          <w:szCs w:val="32"/>
        </w:rPr>
        <w:t>年底，</w:t>
      </w:r>
      <w:r>
        <w:rPr>
          <w:rFonts w:hint="eastAsia" w:ascii="仿宋_GB2312" w:hAnsi="仿宋_GB2312" w:eastAsia="仿宋_GB2312" w:cs="仿宋_GB2312"/>
          <w:szCs w:val="32"/>
          <w:lang w:eastAsia="zh-CN"/>
        </w:rPr>
        <w:t>区纪委监委</w:t>
      </w:r>
      <w:r>
        <w:rPr>
          <w:rFonts w:hint="eastAsia" w:ascii="仿宋_GB2312" w:eastAsia="仿宋_GB2312" w:cs="仿宋_GB2312"/>
          <w:color w:val="000000"/>
          <w:spacing w:val="2"/>
          <w:szCs w:val="32"/>
          <w:lang w:eastAsia="zh-CN"/>
        </w:rPr>
        <w:t>（含派驻纪检组、区委巡察办</w:t>
      </w:r>
      <w:r>
        <w:rPr>
          <w:rFonts w:hint="eastAsia" w:ascii="仿宋_GB2312" w:hAnsi="仿宋_GB2312" w:eastAsia="仿宋_GB2312" w:cs="仿宋_GB2312"/>
          <w:szCs w:val="32"/>
          <w:lang w:eastAsia="zh-CN"/>
        </w:rPr>
        <w:t>）行政编制</w:t>
      </w:r>
      <w:r>
        <w:rPr>
          <w:rFonts w:hint="eastAsia" w:ascii="仿宋_GB2312" w:hAnsi="仿宋_GB2312" w:eastAsia="仿宋_GB2312" w:cs="仿宋_GB2312"/>
          <w:szCs w:val="32"/>
          <w:lang w:val="en-US" w:eastAsia="zh-CN"/>
        </w:rPr>
        <w:t>47名，</w:t>
      </w:r>
      <w:r>
        <w:rPr>
          <w:rFonts w:hint="eastAsia" w:ascii="仿宋_GB2312" w:hAnsi="仿宋_GB2312" w:eastAsia="仿宋_GB2312" w:cs="仿宋_GB2312"/>
          <w:szCs w:val="32"/>
        </w:rPr>
        <w:t>实有人员</w:t>
      </w:r>
      <w:r>
        <w:rPr>
          <w:rFonts w:hint="eastAsia" w:ascii="仿宋_GB2312" w:hAnsi="仿宋_GB2312" w:eastAsia="仿宋_GB2312" w:cs="仿宋_GB2312"/>
          <w:szCs w:val="32"/>
          <w:lang w:val="en-US" w:eastAsia="zh-CN"/>
        </w:rPr>
        <w:t>47</w:t>
      </w:r>
      <w:r>
        <w:rPr>
          <w:rFonts w:hint="eastAsia" w:ascii="仿宋_GB2312" w:hAnsi="仿宋_GB2312" w:eastAsia="仿宋_GB2312" w:cs="仿宋_GB2312"/>
          <w:szCs w:val="32"/>
        </w:rPr>
        <w:t>人，其中行政</w:t>
      </w:r>
      <w:r>
        <w:rPr>
          <w:rFonts w:hint="eastAsia" w:ascii="仿宋_GB2312" w:hAnsi="仿宋_GB2312" w:eastAsia="仿宋_GB2312" w:cs="仿宋_GB2312"/>
          <w:szCs w:val="32"/>
          <w:lang w:val="en-US" w:eastAsia="zh-CN"/>
        </w:rPr>
        <w:t>47</w:t>
      </w:r>
      <w:r>
        <w:rPr>
          <w:rFonts w:hint="eastAsia" w:ascii="仿宋_GB2312" w:hAnsi="仿宋_GB2312" w:eastAsia="仿宋_GB2312" w:cs="仿宋_GB2312"/>
          <w:szCs w:val="32"/>
        </w:rPr>
        <w:t>人</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离退休人员</w:t>
      </w:r>
      <w:r>
        <w:rPr>
          <w:rFonts w:hint="eastAsia" w:ascii="仿宋_GB2312" w:hAnsi="仿宋_GB2312" w:eastAsia="仿宋_GB2312" w:cs="仿宋_GB2312"/>
          <w:szCs w:val="32"/>
          <w:lang w:val="en-US" w:eastAsia="zh-CN"/>
        </w:rPr>
        <w:t>11</w:t>
      </w:r>
      <w:r>
        <w:rPr>
          <w:rFonts w:hint="eastAsia" w:ascii="仿宋_GB2312" w:hAnsi="仿宋_GB2312" w:eastAsia="仿宋_GB2312" w:cs="仿宋_GB2312"/>
          <w:szCs w:val="32"/>
        </w:rPr>
        <w:t>人。</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p>
    <w:p>
      <w:pPr>
        <w:widowControl/>
        <w:jc w:val="center"/>
        <w:rPr>
          <w:rFonts w:ascii="黑体" w:hAnsi="宋体" w:eastAsia="黑体"/>
          <w:color w:val="000000"/>
          <w:kern w:val="0"/>
          <w:sz w:val="44"/>
          <w:szCs w:val="44"/>
        </w:rPr>
      </w:pPr>
      <w:r>
        <w:rPr>
          <w:rFonts w:hint="eastAsia" w:eastAsiaTheme="minorEastAsia"/>
          <w:lang w:eastAsia="zh-CN"/>
        </w:rPr>
        <w:drawing>
          <wp:inline distT="0" distB="0" distL="114300" distR="114300">
            <wp:extent cx="2286635" cy="1830705"/>
            <wp:effectExtent l="4445" t="4445" r="13970" b="1270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sz w:val="44"/>
          <w:szCs w:val="44"/>
        </w:rPr>
      </w:pPr>
      <w:r>
        <w:rPr>
          <w:rFonts w:ascii="黑体" w:hAnsi="宋体" w:eastAsia="黑体"/>
          <w:color w:val="000000"/>
          <w:kern w:val="0"/>
          <w:sz w:val="44"/>
          <w:szCs w:val="44"/>
        </w:rPr>
        <w:t>第二部分 2019年度部门决算表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本部门不涉及政府性基金资金</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1009.94</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959.57</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49.23</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13.06</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1009.94</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1021.86</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23.00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11.08</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1032.94</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1032.94</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6"/>
        <w:tblW w:w="8867" w:type="dxa"/>
        <w:tblInd w:w="0" w:type="dxa"/>
        <w:tblLayout w:type="fixed"/>
        <w:tblCellMar>
          <w:top w:w="15" w:type="dxa"/>
          <w:left w:w="15" w:type="dxa"/>
          <w:bottom w:w="15" w:type="dxa"/>
          <w:right w:w="15" w:type="dxa"/>
        </w:tblCellMar>
      </w:tblPr>
      <w:tblGrid>
        <w:gridCol w:w="927"/>
        <w:gridCol w:w="755"/>
        <w:gridCol w:w="855"/>
        <w:gridCol w:w="870"/>
        <w:gridCol w:w="720"/>
        <w:gridCol w:w="720"/>
        <w:gridCol w:w="1470"/>
        <w:gridCol w:w="750"/>
        <w:gridCol w:w="990"/>
        <w:gridCol w:w="810"/>
      </w:tblGrid>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75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1009.94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1009.94</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一般服务公务支出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947.65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947.65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20111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纪检监察事务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947.65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947.65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2011101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行政运行</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622.58</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622.58</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2011102</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一般行政管理事务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186.80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186.80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2011150</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事业运行</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12.69</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12.69</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2011199</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其他纪检监察事务支出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125.58</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125.58</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社会保障和就业支出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49.23</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49.23</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行政事业单位离退休</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49.23</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49.23</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2080505</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机关事业单位基本养老保险缴费支出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49.23</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49.23</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卫生健康支出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13.06</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13.06</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行政事业单位医疗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13.06</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13.06</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2101101</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12.21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12.21</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2101102</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事业单位医疗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0.85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0.85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公开03表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1,021.86</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720.56</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301.30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spacing w:beforeLines="0" w:afterLines="0"/>
              <w:jc w:val="left"/>
              <w:rPr>
                <w:rFonts w:hint="default" w:ascii="ËÎÌå" w:hAnsi="ËÎÌå" w:eastAsia="ËÎÌå" w:cs="Times New Roman"/>
                <w:color w:val="000000"/>
                <w:kern w:val="2"/>
                <w:sz w:val="22"/>
                <w:lang w:val="en-US" w:eastAsia="zh-CN" w:bidi="ar-SA"/>
              </w:rPr>
            </w:pPr>
            <w:r>
              <w:rPr>
                <w:rFonts w:hint="default" w:ascii="ËÎÌå" w:hAnsi="ËÎÌå" w:eastAsia="ËÎÌå"/>
                <w:color w:val="000000"/>
                <w:sz w:val="22"/>
              </w:rPr>
              <w:t>201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一般公共服务支出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959.57</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658.27</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301.30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spacing w:beforeLines="0" w:afterLines="0"/>
              <w:jc w:val="left"/>
              <w:rPr>
                <w:rFonts w:hint="default" w:ascii="ËÎÌå" w:hAnsi="ËÎÌå" w:eastAsia="ËÎÌå" w:cs="Times New Roman"/>
                <w:color w:val="000000"/>
                <w:kern w:val="2"/>
                <w:sz w:val="22"/>
                <w:lang w:val="en-US" w:eastAsia="zh-CN" w:bidi="ar-SA"/>
              </w:rPr>
            </w:pPr>
            <w:r>
              <w:rPr>
                <w:rFonts w:hint="default" w:ascii="ËÎÌå" w:hAnsi="ËÎÌå" w:eastAsia="ËÎÌå"/>
                <w:color w:val="000000"/>
                <w:sz w:val="22"/>
              </w:rPr>
              <w:t>20111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纪检监察事务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959.57</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658.27</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301.30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spacing w:beforeLines="0" w:afterLines="0"/>
              <w:jc w:val="left"/>
              <w:rPr>
                <w:rFonts w:hint="default" w:ascii="ËÎÌå" w:hAnsi="ËÎÌå" w:eastAsia="ËÎÌå" w:cs="Times New Roman"/>
                <w:color w:val="000000"/>
                <w:kern w:val="2"/>
                <w:sz w:val="22"/>
                <w:lang w:val="en-US" w:eastAsia="zh-CN" w:bidi="ar-SA"/>
              </w:rPr>
            </w:pPr>
            <w:r>
              <w:rPr>
                <w:rFonts w:hint="default" w:ascii="ËÎÌå" w:hAnsi="ËÎÌå" w:eastAsia="ËÎÌå"/>
                <w:color w:val="000000"/>
                <w:sz w:val="22"/>
              </w:rPr>
              <w:t>2011101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行政运行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645.58</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645.58</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spacing w:beforeLines="0" w:afterLines="0"/>
              <w:jc w:val="left"/>
              <w:rPr>
                <w:rFonts w:hint="default" w:ascii="ËÎÌå" w:hAnsi="ËÎÌå" w:eastAsia="ËÎÌå" w:cs="Times New Roman"/>
                <w:color w:val="000000"/>
                <w:kern w:val="2"/>
                <w:sz w:val="22"/>
                <w:lang w:val="en-US" w:eastAsia="zh-CN" w:bidi="ar-SA"/>
              </w:rPr>
            </w:pPr>
            <w:r>
              <w:rPr>
                <w:rFonts w:hint="default" w:ascii="ËÎÌå" w:hAnsi="ËÎÌå" w:eastAsia="ËÎÌå"/>
                <w:color w:val="000000"/>
                <w:sz w:val="22"/>
              </w:rPr>
              <w:t>2011102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一般行政管理事务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186.80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186.80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spacing w:beforeLines="0" w:afterLines="0"/>
              <w:jc w:val="left"/>
              <w:rPr>
                <w:rFonts w:hint="default" w:ascii="ËÎÌå" w:hAnsi="ËÎÌå" w:eastAsia="ËÎÌå" w:cs="Times New Roman"/>
                <w:color w:val="000000"/>
                <w:kern w:val="2"/>
                <w:sz w:val="22"/>
                <w:lang w:val="en-US" w:eastAsia="zh-CN" w:bidi="ar-SA"/>
              </w:rPr>
            </w:pPr>
            <w:r>
              <w:rPr>
                <w:rFonts w:hint="default" w:ascii="ËÎÌå" w:hAnsi="ËÎÌå" w:eastAsia="ËÎÌå"/>
                <w:color w:val="000000"/>
                <w:sz w:val="22"/>
              </w:rPr>
              <w:t>2011150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事业运行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12.69</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12.69</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spacing w:beforeLines="0" w:afterLines="0"/>
              <w:jc w:val="left"/>
              <w:rPr>
                <w:rFonts w:hint="default" w:ascii="ËÎÌå" w:hAnsi="ËÎÌå" w:eastAsia="ËÎÌå" w:cs="Times New Roman"/>
                <w:color w:val="000000"/>
                <w:kern w:val="2"/>
                <w:sz w:val="22"/>
                <w:lang w:val="en-US" w:eastAsia="zh-CN" w:bidi="ar-SA"/>
              </w:rPr>
            </w:pPr>
            <w:r>
              <w:rPr>
                <w:rFonts w:hint="default" w:ascii="ËÎÌå" w:hAnsi="ËÎÌå" w:eastAsia="ËÎÌå"/>
                <w:color w:val="000000"/>
                <w:sz w:val="22"/>
              </w:rPr>
              <w:t>2011199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其他纪检监察事务支出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114.50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114.50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spacing w:beforeLines="0" w:afterLines="0"/>
              <w:jc w:val="left"/>
              <w:rPr>
                <w:rFonts w:hint="default" w:ascii="ËÎÌå" w:hAnsi="ËÎÌå" w:eastAsia="ËÎÌå" w:cs="Times New Roman"/>
                <w:color w:val="000000"/>
                <w:kern w:val="2"/>
                <w:sz w:val="22"/>
                <w:lang w:val="en-US" w:eastAsia="zh-CN" w:bidi="ar-SA"/>
              </w:rPr>
            </w:pPr>
            <w:r>
              <w:rPr>
                <w:rFonts w:hint="default" w:ascii="ËÎÌå" w:hAnsi="ËÎÌå" w:eastAsia="ËÎÌå"/>
                <w:color w:val="000000"/>
                <w:sz w:val="22"/>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49.23</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49.23</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spacing w:beforeLines="0" w:afterLines="0"/>
              <w:jc w:val="left"/>
              <w:rPr>
                <w:rFonts w:hint="default" w:ascii="ËÎÌå" w:hAnsi="ËÎÌå" w:eastAsia="ËÎÌå" w:cs="Times New Roman"/>
                <w:color w:val="000000"/>
                <w:kern w:val="2"/>
                <w:sz w:val="22"/>
                <w:lang w:val="en-US" w:eastAsia="zh-CN" w:bidi="ar-SA"/>
              </w:rPr>
            </w:pPr>
            <w:r>
              <w:rPr>
                <w:rFonts w:hint="default" w:ascii="ËÎÌå" w:hAnsi="ËÎÌå" w:eastAsia="ËÎÌå"/>
                <w:color w:val="000000"/>
                <w:sz w:val="22"/>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行政事业单位离退休</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49.23</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49.23</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spacing w:beforeLines="0" w:afterLines="0"/>
              <w:jc w:val="left"/>
              <w:rPr>
                <w:rFonts w:hint="default" w:ascii="ËÎÌå" w:hAnsi="ËÎÌå" w:eastAsia="ËÎÌå" w:cs="Times New Roman"/>
                <w:color w:val="000000"/>
                <w:kern w:val="2"/>
                <w:sz w:val="22"/>
                <w:lang w:val="en-US" w:eastAsia="zh-CN" w:bidi="ar-SA"/>
              </w:rPr>
            </w:pPr>
            <w:r>
              <w:rPr>
                <w:rFonts w:hint="default" w:ascii="ËÎÌå" w:hAnsi="ËÎÌå" w:eastAsia="ËÎÌå"/>
                <w:color w:val="000000"/>
                <w:sz w:val="22"/>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49.23</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49.23</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spacing w:beforeLines="0" w:afterLines="0"/>
              <w:jc w:val="left"/>
              <w:rPr>
                <w:rFonts w:hint="default" w:ascii="ËÎÌå" w:hAnsi="ËÎÌå" w:eastAsia="ËÎÌå" w:cs="Times New Roman"/>
                <w:color w:val="000000"/>
                <w:kern w:val="2"/>
                <w:sz w:val="22"/>
                <w:lang w:val="en-US" w:eastAsia="zh-CN" w:bidi="ar-SA"/>
              </w:rPr>
            </w:pPr>
            <w:r>
              <w:rPr>
                <w:rFonts w:hint="default" w:ascii="ËÎÌå" w:hAnsi="ËÎÌå" w:eastAsia="ËÎÌå"/>
                <w:color w:val="000000"/>
                <w:sz w:val="22"/>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13.06</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13.06</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spacing w:beforeLines="0" w:afterLines="0"/>
              <w:jc w:val="left"/>
              <w:rPr>
                <w:rFonts w:hint="default" w:ascii="ËÎÌå" w:hAnsi="ËÎÌå" w:eastAsia="ËÎÌå" w:cs="Times New Roman"/>
                <w:color w:val="000000"/>
                <w:kern w:val="2"/>
                <w:sz w:val="22"/>
                <w:lang w:val="en-US" w:eastAsia="zh-CN" w:bidi="ar-SA"/>
              </w:rPr>
            </w:pPr>
            <w:r>
              <w:rPr>
                <w:rFonts w:hint="default" w:ascii="ËÎÌå" w:hAnsi="ËÎÌå" w:eastAsia="ËÎÌå"/>
                <w:color w:val="000000"/>
                <w:sz w:val="22"/>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13.06</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13.06</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spacing w:beforeLines="0" w:afterLines="0"/>
              <w:jc w:val="left"/>
              <w:rPr>
                <w:rFonts w:hint="default" w:ascii="ËÎÌå" w:hAnsi="ËÎÌå" w:eastAsia="ËÎÌå" w:cs="Times New Roman"/>
                <w:color w:val="000000"/>
                <w:kern w:val="2"/>
                <w:sz w:val="22"/>
                <w:lang w:val="en-US" w:eastAsia="zh-CN" w:bidi="ar-SA"/>
              </w:rPr>
            </w:pPr>
            <w:r>
              <w:rPr>
                <w:rFonts w:hint="default" w:ascii="ËÎÌå" w:hAnsi="ËÎÌå" w:eastAsia="ËÎÌå"/>
                <w:color w:val="000000"/>
                <w:sz w:val="22"/>
              </w:rPr>
              <w:t>2101101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行政单位医疗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12.21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12.21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top"/>
          </w:tcPr>
          <w:p>
            <w:pPr>
              <w:spacing w:beforeLines="0" w:afterLines="0"/>
              <w:jc w:val="left"/>
              <w:rPr>
                <w:rFonts w:hint="default" w:ascii="ËÎÌå" w:hAnsi="ËÎÌå" w:eastAsia="ËÎÌå" w:cs="Times New Roman"/>
                <w:color w:val="000000"/>
                <w:kern w:val="2"/>
                <w:sz w:val="22"/>
                <w:lang w:val="en-US" w:eastAsia="zh-CN" w:bidi="ar-SA"/>
              </w:rPr>
            </w:pPr>
            <w:r>
              <w:rPr>
                <w:rFonts w:hint="default" w:ascii="ËÎÌå" w:hAnsi="ËÎÌå" w:eastAsia="ËÎÌå"/>
                <w:color w:val="000000"/>
                <w:sz w:val="22"/>
              </w:rPr>
              <w:t>2101102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0.85</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0.85</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9"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1,009.94</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959.57</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959.57</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49.23</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49.23</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13.06</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13.06</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1,009.94</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1,021.86</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1,021.86</w:t>
            </w:r>
          </w:p>
        </w:tc>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11.08</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11.08</w:t>
            </w:r>
          </w:p>
        </w:tc>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1,032.94</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1,032.94</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1,032.94</w:t>
            </w:r>
          </w:p>
        </w:tc>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1,021.86</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720.56</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688.42</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32.14</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301.30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一般公共服务支出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959.57</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658.27</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626.13</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32.14</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301.30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20111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纪检监察事务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959.57</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658.27</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626.13</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32.14</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301.30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2011101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645.58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645.58</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613.44</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32.14</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2011102</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一般行政管理事务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186.80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186.80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2011150</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事业运行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12.69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12.69</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12.69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2011199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其他纪检监察事务支出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114.50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114.50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49.23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49.23</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49.23</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49.23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49.23</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49.23</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49.23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49.23</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49.23</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13.06</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13.06</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13.06</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13.06</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13.06</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13.06</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12.21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12.21</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12.21</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2101102</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0.85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0.85</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0.85</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720.56</w:t>
            </w:r>
          </w:p>
        </w:tc>
        <w:tc>
          <w:tcPr>
            <w:tcW w:w="1437"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688.42</w:t>
            </w:r>
          </w:p>
        </w:tc>
        <w:tc>
          <w:tcPr>
            <w:tcW w:w="1363"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32.14</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688.01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688.00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214.15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214.15</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169.36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169.36</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139.45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139.45</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30107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0.29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0.29</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70.89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70.89</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10.51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10.51</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15.35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15.35</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30112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其他社会保障缴费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6.14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6.14</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61.87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61.87</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32.14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32.14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4.61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4.61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30202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印刷费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9.17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9.17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30205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0.19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0.19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0.20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0.20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30213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维修(护)费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30215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会议费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30231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公务用车运行维护费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14.51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14.51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对个人和家庭的补助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0.42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0.42</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30305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生活补助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0.42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0.42</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auto"/>
                <w:sz w:val="21"/>
                <w:szCs w:val="21"/>
              </w:rPr>
            </w:pPr>
            <w:r>
              <w:rPr>
                <w:rFonts w:hint="eastAsia" w:ascii="宋体" w:hAnsi="宋体" w:eastAsia="宋体" w:cs="宋体"/>
                <w:b/>
                <w:color w:val="auto"/>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15.21</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3.92</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14.51</w:t>
            </w:r>
          </w:p>
        </w:tc>
        <w:tc>
          <w:tcPr>
            <w:tcW w:w="9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11.40</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1.23</w:t>
            </w:r>
          </w:p>
        </w:tc>
        <w:tc>
          <w:tcPr>
            <w:tcW w:w="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10.00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14.51</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14.51</w:t>
            </w:r>
          </w:p>
        </w:tc>
        <w:tc>
          <w:tcPr>
            <w:tcW w:w="9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14.51</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1.20</w:t>
            </w:r>
          </w:p>
        </w:tc>
        <w:tc>
          <w:tcPr>
            <w:tcW w:w="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10.00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44"/>
          <w:szCs w:val="44"/>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收入</w:t>
      </w:r>
      <w:r>
        <w:rPr>
          <w:rFonts w:hint="eastAsia" w:ascii="仿宋_GB2312" w:hAnsi="仿宋" w:eastAsia="仿宋_GB2312"/>
          <w:sz w:val="32"/>
          <w:szCs w:val="32"/>
          <w:lang w:eastAsia="zh-CN"/>
        </w:rPr>
        <w:t>合计</w:t>
      </w:r>
      <w:r>
        <w:rPr>
          <w:rFonts w:hint="eastAsia" w:ascii="仿宋_GB2312" w:hAnsi="仿宋" w:eastAsia="仿宋_GB2312"/>
          <w:sz w:val="32"/>
          <w:szCs w:val="32"/>
          <w:lang w:val="en-US" w:eastAsia="zh-CN"/>
        </w:rPr>
        <w:t>1009.94万元，</w:t>
      </w:r>
      <w:r>
        <w:rPr>
          <w:rFonts w:hint="eastAsia" w:ascii="仿宋_GB2312" w:hAnsi="仿宋" w:eastAsia="仿宋_GB2312"/>
          <w:sz w:val="32"/>
          <w:szCs w:val="32"/>
        </w:rPr>
        <w:t>比上年增长</w:t>
      </w:r>
      <w:r>
        <w:rPr>
          <w:rFonts w:hint="eastAsia" w:ascii="仿宋_GB2312" w:hAnsi="仿宋" w:eastAsia="仿宋_GB2312"/>
          <w:sz w:val="32"/>
          <w:szCs w:val="32"/>
          <w:lang w:val="en-US" w:eastAsia="zh-CN"/>
        </w:rPr>
        <w:t>198.85万元</w:t>
      </w:r>
      <w:r>
        <w:rPr>
          <w:rFonts w:hint="eastAsia" w:ascii="仿宋_GB2312" w:hAnsi="仿宋" w:eastAsia="仿宋_GB2312"/>
          <w:sz w:val="32"/>
          <w:szCs w:val="32"/>
        </w:rPr>
        <w:t>，</w:t>
      </w:r>
      <w:r>
        <w:rPr>
          <w:rFonts w:hint="eastAsia" w:ascii="仿宋_GB2312" w:hAnsi="华文仿宋" w:eastAsia="仿宋_GB2312" w:cs="华文仿宋"/>
          <w:sz w:val="32"/>
          <w:szCs w:val="32"/>
        </w:rPr>
        <w:t>主要原因是</w:t>
      </w:r>
      <w:r>
        <w:rPr>
          <w:rFonts w:hint="eastAsia" w:ascii="仿宋_GB2312" w:hAnsi="华文仿宋" w:eastAsia="仿宋_GB2312" w:cs="华文仿宋"/>
          <w:sz w:val="32"/>
          <w:szCs w:val="32"/>
          <w:lang w:eastAsia="zh-CN"/>
        </w:rPr>
        <w:t>上级指定管辖案件增多，办案经费增加</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rPr>
        <w:t>2019</w:t>
      </w:r>
      <w:r>
        <w:rPr>
          <w:rFonts w:hint="eastAsia" w:ascii="仿宋_GB2312" w:hAnsi="仿宋" w:eastAsia="仿宋_GB2312"/>
          <w:sz w:val="32"/>
          <w:szCs w:val="32"/>
          <w:lang w:eastAsia="zh-CN"/>
        </w:rPr>
        <w:t>年度</w:t>
      </w:r>
      <w:r>
        <w:rPr>
          <w:rFonts w:hint="eastAsia" w:ascii="仿宋_GB2312" w:hAnsi="仿宋" w:eastAsia="仿宋_GB2312"/>
          <w:sz w:val="32"/>
          <w:szCs w:val="32"/>
        </w:rPr>
        <w:t>支出</w:t>
      </w:r>
      <w:r>
        <w:rPr>
          <w:rFonts w:hint="eastAsia" w:ascii="仿宋_GB2312" w:hAnsi="仿宋" w:eastAsia="仿宋_GB2312"/>
          <w:sz w:val="32"/>
          <w:szCs w:val="32"/>
          <w:lang w:eastAsia="zh-CN"/>
        </w:rPr>
        <w:t>合计</w:t>
      </w:r>
      <w:r>
        <w:rPr>
          <w:rFonts w:hint="eastAsia" w:ascii="仿宋_GB2312" w:hAnsi="仿宋" w:eastAsia="仿宋_GB2312"/>
          <w:sz w:val="32"/>
          <w:szCs w:val="32"/>
          <w:lang w:val="en-US" w:eastAsia="zh-CN"/>
        </w:rPr>
        <w:t>1021.86万元，</w:t>
      </w:r>
      <w:r>
        <w:rPr>
          <w:rFonts w:hint="eastAsia" w:ascii="仿宋_GB2312" w:hAnsi="仿宋" w:eastAsia="仿宋_GB2312"/>
          <w:sz w:val="32"/>
          <w:szCs w:val="32"/>
          <w:lang w:eastAsia="zh-CN"/>
        </w:rPr>
        <w:t>比上年增长</w:t>
      </w:r>
      <w:r>
        <w:rPr>
          <w:rFonts w:hint="eastAsia" w:ascii="仿宋_GB2312" w:hAnsi="仿宋" w:eastAsia="仿宋_GB2312"/>
          <w:sz w:val="32"/>
          <w:szCs w:val="32"/>
          <w:lang w:val="en-US" w:eastAsia="zh-CN"/>
        </w:rPr>
        <w:t>233.77万元，</w:t>
      </w:r>
      <w:r>
        <w:rPr>
          <w:rFonts w:hint="eastAsia" w:ascii="仿宋_GB2312" w:hAnsi="华文仿宋" w:eastAsia="仿宋_GB2312" w:cs="华文仿宋"/>
          <w:sz w:val="32"/>
          <w:szCs w:val="32"/>
        </w:rPr>
        <w:t>主要原因是</w:t>
      </w:r>
      <w:r>
        <w:rPr>
          <w:rFonts w:hint="eastAsia" w:ascii="仿宋_GB2312" w:hAnsi="华文仿宋" w:eastAsia="仿宋_GB2312" w:cs="华文仿宋"/>
          <w:sz w:val="32"/>
          <w:szCs w:val="32"/>
          <w:lang w:eastAsia="zh-CN"/>
        </w:rPr>
        <w:t>上级指定管辖案件增多，办案经费增加</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r>
        <w:rPr>
          <w:rFonts w:hint="eastAsia" w:ascii="仿宋_GB2312" w:hAnsi="仿宋" w:eastAsia="仿宋_GB2312"/>
          <w:sz w:val="32"/>
          <w:szCs w:val="32"/>
          <w:lang w:val="en-US" w:eastAsia="zh-CN"/>
        </w:rPr>
        <w:drawing>
          <wp:anchor distT="0" distB="0" distL="114300" distR="114300" simplePos="0" relativeHeight="251660288" behindDoc="0" locked="0" layoutInCell="1" allowOverlap="1">
            <wp:simplePos x="0" y="0"/>
            <wp:positionH relativeFrom="column">
              <wp:posOffset>136525</wp:posOffset>
            </wp:positionH>
            <wp:positionV relativeFrom="paragraph">
              <wp:posOffset>359410</wp:posOffset>
            </wp:positionV>
            <wp:extent cx="5080000" cy="3810000"/>
            <wp:effectExtent l="4445" t="4445" r="20955"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仿宋" w:eastAsia="仿宋_GB2312"/>
          <w:sz w:val="32"/>
          <w:szCs w:val="32"/>
          <w:lang w:val="en-US" w:eastAsia="zh-CN"/>
        </w:rPr>
        <w:t>1009.94</w:t>
      </w:r>
      <w:r>
        <w:rPr>
          <w:rFonts w:ascii="仿宋_GB2312" w:hAnsi="宋体" w:eastAsia="仿宋_GB2312" w:cs="仿宋_GB2312"/>
          <w:color w:val="000000"/>
          <w:kern w:val="0"/>
          <w:sz w:val="32"/>
          <w:szCs w:val="32"/>
          <w:lang w:bidi="ar"/>
        </w:rPr>
        <w:t>万元，其中：财政拨款收入</w:t>
      </w:r>
      <w:r>
        <w:rPr>
          <w:rFonts w:hint="eastAsia" w:ascii="仿宋_GB2312" w:hAnsi="宋体" w:eastAsia="仿宋_GB2312" w:cs="仿宋_GB2312"/>
          <w:color w:val="000000"/>
          <w:kern w:val="0"/>
          <w:sz w:val="32"/>
          <w:szCs w:val="32"/>
          <w:lang w:val="en-US" w:eastAsia="zh-CN" w:bidi="ar"/>
        </w:rPr>
        <w:t>1009.94</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%；事业收入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%；经营收入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%；其他收入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r>
        <w:rPr>
          <w:rFonts w:hint="eastAsia" w:ascii="仿宋_GB2312" w:hAnsi="宋体" w:eastAsia="仿宋_GB2312" w:cs="仿宋_GB2312"/>
          <w:color w:val="000000"/>
          <w:kern w:val="0"/>
          <w:sz w:val="32"/>
          <w:szCs w:val="32"/>
          <w:lang w:eastAsia="zh-CN" w:bidi="ar"/>
        </w:rPr>
        <w:drawing>
          <wp:anchor distT="0" distB="0" distL="114300" distR="114300" simplePos="0" relativeHeight="251661312" behindDoc="0" locked="0" layoutInCell="1" allowOverlap="1">
            <wp:simplePos x="0" y="0"/>
            <wp:positionH relativeFrom="column">
              <wp:posOffset>291465</wp:posOffset>
            </wp:positionH>
            <wp:positionV relativeFrom="paragraph">
              <wp:posOffset>27305</wp:posOffset>
            </wp:positionV>
            <wp:extent cx="5080000" cy="3810000"/>
            <wp:effectExtent l="4445" t="4445" r="20955"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宋体" w:eastAsia="仿宋_GB2312" w:cs="仿宋_GB2312"/>
          <w:color w:val="000000"/>
          <w:kern w:val="0"/>
          <w:sz w:val="32"/>
          <w:szCs w:val="32"/>
          <w:lang w:val="en-US" w:eastAsia="zh-CN" w:bidi="ar"/>
        </w:rPr>
        <w:t>1021.86</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720.56</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70.51</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301.30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29.49</w:t>
      </w:r>
      <w:r>
        <w:rPr>
          <w:rFonts w:ascii="仿宋_GB2312" w:hAnsi="宋体" w:eastAsia="仿宋_GB2312" w:cs="仿宋_GB2312"/>
          <w:color w:val="000000"/>
          <w:kern w:val="0"/>
          <w:sz w:val="32"/>
          <w:szCs w:val="32"/>
          <w:lang w:bidi="ar"/>
        </w:rPr>
        <w:t>%；经营支出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olor w:val="000000"/>
          <w:kern w:val="0"/>
          <w:sz w:val="32"/>
          <w:szCs w:val="32"/>
          <w:lang w:bidi="ar"/>
        </w:rPr>
      </w:pPr>
      <w:r>
        <w:rPr>
          <w:rFonts w:hint="eastAsia" w:ascii="仿宋_GB2312" w:hAnsi="宋体" w:eastAsia="仿宋_GB2312" w:cs="仿宋_GB2312"/>
          <w:color w:val="000000"/>
          <w:kern w:val="0"/>
          <w:sz w:val="32"/>
          <w:szCs w:val="32"/>
          <w:lang w:eastAsia="zh-CN" w:bidi="ar"/>
        </w:rPr>
        <w:drawing>
          <wp:anchor distT="0" distB="0" distL="114300" distR="114300" simplePos="0" relativeHeight="251659264" behindDoc="0" locked="0" layoutInCell="1" allowOverlap="1">
            <wp:simplePos x="0" y="0"/>
            <wp:positionH relativeFrom="column">
              <wp:posOffset>839470</wp:posOffset>
            </wp:positionH>
            <wp:positionV relativeFrom="paragraph">
              <wp:posOffset>186055</wp:posOffset>
            </wp:positionV>
            <wp:extent cx="3580130" cy="2726690"/>
            <wp:effectExtent l="4445" t="5080" r="15875" b="1143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四、财政拨款收入支出决算总体情况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收入总体情况及比上年增长</w:t>
      </w:r>
      <w:r>
        <w:rPr>
          <w:rFonts w:hint="eastAsia" w:ascii="仿宋_GB2312" w:hAnsi="仿宋" w:eastAsia="仿宋_GB2312"/>
          <w:sz w:val="32"/>
          <w:szCs w:val="32"/>
          <w:lang w:val="en-US" w:eastAsia="zh-CN"/>
        </w:rPr>
        <w:t>198.85万元</w:t>
      </w:r>
      <w:r>
        <w:rPr>
          <w:rFonts w:hint="eastAsia" w:ascii="仿宋_GB2312" w:hAnsi="仿宋" w:eastAsia="仿宋_GB2312"/>
          <w:sz w:val="32"/>
          <w:szCs w:val="32"/>
        </w:rPr>
        <w:t>，</w:t>
      </w:r>
      <w:r>
        <w:rPr>
          <w:rFonts w:hint="eastAsia" w:ascii="仿宋_GB2312" w:hAnsi="华文仿宋" w:eastAsia="仿宋_GB2312" w:cs="华文仿宋"/>
          <w:sz w:val="32"/>
          <w:szCs w:val="32"/>
        </w:rPr>
        <w:t>主要原因是</w:t>
      </w:r>
      <w:r>
        <w:rPr>
          <w:rFonts w:hint="eastAsia" w:ascii="仿宋_GB2312" w:hAnsi="华文仿宋" w:eastAsia="仿宋_GB2312" w:cs="华文仿宋"/>
          <w:sz w:val="32"/>
          <w:szCs w:val="32"/>
          <w:lang w:eastAsia="zh-CN"/>
        </w:rPr>
        <w:t>上级指定管辖案件增多，办案经费增加</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支出总体情况及比上年增长</w:t>
      </w:r>
      <w:r>
        <w:rPr>
          <w:rFonts w:hint="eastAsia" w:ascii="仿宋_GB2312" w:hAnsi="仿宋" w:eastAsia="仿宋_GB2312"/>
          <w:sz w:val="32"/>
          <w:szCs w:val="32"/>
          <w:lang w:val="en-US" w:eastAsia="zh-CN"/>
        </w:rPr>
        <w:t>233.8万元，</w:t>
      </w:r>
      <w:r>
        <w:rPr>
          <w:rFonts w:hint="eastAsia" w:ascii="仿宋_GB2312" w:hAnsi="华文仿宋" w:eastAsia="仿宋_GB2312" w:cs="华文仿宋"/>
          <w:sz w:val="32"/>
          <w:szCs w:val="32"/>
        </w:rPr>
        <w:t>主要原因是</w:t>
      </w:r>
      <w:r>
        <w:rPr>
          <w:rFonts w:hint="eastAsia" w:ascii="仿宋_GB2312" w:hAnsi="华文仿宋" w:eastAsia="仿宋_GB2312" w:cs="华文仿宋"/>
          <w:sz w:val="32"/>
          <w:szCs w:val="32"/>
          <w:lang w:eastAsia="zh-CN"/>
        </w:rPr>
        <w:t>上级指定管辖案件增多，办案经费增加</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r>
        <w:rPr>
          <w:rFonts w:hint="eastAsia" w:ascii="仿宋_GB2312" w:hAnsi="仿宋" w:eastAsia="仿宋_GB2312"/>
          <w:sz w:val="32"/>
          <w:szCs w:val="32"/>
          <w:lang w:eastAsia="zh-CN"/>
        </w:rPr>
        <w:drawing>
          <wp:anchor distT="0" distB="0" distL="114300" distR="114300" simplePos="0" relativeHeight="251662336" behindDoc="0" locked="0" layoutInCell="1" allowOverlap="1">
            <wp:simplePos x="0" y="0"/>
            <wp:positionH relativeFrom="column">
              <wp:posOffset>481965</wp:posOffset>
            </wp:positionH>
            <wp:positionV relativeFrom="paragraph">
              <wp:posOffset>315595</wp:posOffset>
            </wp:positionV>
            <wp:extent cx="4318000" cy="2774950"/>
            <wp:effectExtent l="4445" t="4445" r="20955" b="2095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1021.86</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相比，财政拨款支出增加</w:t>
      </w:r>
      <w:r>
        <w:rPr>
          <w:rFonts w:hint="eastAsia" w:ascii="仿宋_GB2312" w:hAnsi="宋体" w:eastAsia="仿宋_GB2312" w:cs="仿宋_GB2312"/>
          <w:color w:val="000000"/>
          <w:kern w:val="0"/>
          <w:sz w:val="32"/>
          <w:szCs w:val="32"/>
          <w:lang w:val="en-US" w:eastAsia="zh-CN" w:bidi="ar"/>
        </w:rPr>
        <w:t>233.8</w:t>
      </w:r>
      <w:r>
        <w:rPr>
          <w:rFonts w:ascii="仿宋_GB2312" w:hAnsi="宋体" w:eastAsia="仿宋_GB2312" w:cs="仿宋_GB2312"/>
          <w:color w:val="000000"/>
          <w:kern w:val="0"/>
          <w:sz w:val="32"/>
          <w:szCs w:val="32"/>
          <w:lang w:bidi="ar"/>
        </w:rPr>
        <w:t>万元，增长</w:t>
      </w:r>
      <w:r>
        <w:rPr>
          <w:rFonts w:hint="eastAsia" w:ascii="仿宋_GB2312" w:hAnsi="宋体" w:eastAsia="仿宋_GB2312" w:cs="仿宋_GB2312"/>
          <w:color w:val="000000"/>
          <w:kern w:val="0"/>
          <w:sz w:val="32"/>
          <w:szCs w:val="32"/>
          <w:lang w:val="en-US" w:eastAsia="zh-CN" w:bidi="ar"/>
        </w:rPr>
        <w:t>29.67</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_GB2312" w:hAnsi="华文仿宋" w:eastAsia="仿宋_GB2312" w:cs="华文仿宋"/>
          <w:sz w:val="32"/>
          <w:szCs w:val="32"/>
          <w:lang w:eastAsia="zh-CN"/>
        </w:rPr>
        <w:t>上级指定管辖案件增多，办案经费增加；</w:t>
      </w:r>
      <w:r>
        <w:rPr>
          <w:rFonts w:hint="eastAsia" w:ascii="仿宋_GB2312" w:hAnsi="华文仿宋" w:eastAsia="仿宋_GB2312" w:cs="华文仿宋"/>
          <w:sz w:val="32"/>
          <w:szCs w:val="32"/>
          <w:lang w:val="en-US" w:eastAsia="zh-CN"/>
        </w:rPr>
        <w:t>2018年度年末结转有结余经费</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楷体_GB2312" w:hAnsi="宋体" w:eastAsia="楷体_GB2312" w:cs="楷体_GB2312"/>
          <w:b/>
          <w:color w:val="000000"/>
          <w:kern w:val="0"/>
          <w:sz w:val="32"/>
          <w:szCs w:val="32"/>
          <w:lang w:bidi="ar"/>
        </w:rPr>
      </w:pPr>
      <w:r>
        <w:rPr>
          <w:rFonts w:hint="eastAsia" w:ascii="仿宋_GB2312" w:hAnsi="仿宋" w:eastAsia="仿宋_GB2312"/>
          <w:sz w:val="32"/>
          <w:szCs w:val="32"/>
          <w:lang w:eastAsia="zh-CN"/>
        </w:rPr>
        <w:drawing>
          <wp:anchor distT="0" distB="0" distL="114300" distR="114300" simplePos="0" relativeHeight="251663360" behindDoc="0" locked="0" layoutInCell="1" allowOverlap="1">
            <wp:simplePos x="0" y="0"/>
            <wp:positionH relativeFrom="column">
              <wp:posOffset>492125</wp:posOffset>
            </wp:positionH>
            <wp:positionV relativeFrom="paragraph">
              <wp:posOffset>218440</wp:posOffset>
            </wp:positionV>
            <wp:extent cx="4318000" cy="2774950"/>
            <wp:effectExtent l="4445" t="4445" r="20955" b="2095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lang w:val="en-US" w:eastAsia="zh-CN" w:bidi="ar"/>
        </w:rPr>
        <w:t>595.05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1021.89</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200.7</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color w:val="000000"/>
          <w:kern w:val="0"/>
          <w:sz w:val="32"/>
          <w:szCs w:val="32"/>
          <w:lang w:bidi="ar"/>
        </w:rPr>
        <w:t xml:space="preserve">1.一般公共服务支出（类）财政事务（款）行政运行。 </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479.50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645.58</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134.6</w:t>
      </w:r>
      <w:r>
        <w:rPr>
          <w:rFonts w:ascii="仿宋_GB2312" w:hAnsi="宋体" w:eastAsia="仿宋_GB2312" w:cs="仿宋_GB2312"/>
          <w:color w:val="000000"/>
          <w:kern w:val="0"/>
          <w:sz w:val="32"/>
          <w:szCs w:val="32"/>
          <w:lang w:bidi="ar"/>
        </w:rPr>
        <w:t>%。决算数大于预算数的主要原因是</w:t>
      </w:r>
      <w:r>
        <w:rPr>
          <w:rFonts w:hint="eastAsia" w:ascii="仿宋_GB2312" w:hAnsi="华文仿宋" w:eastAsia="仿宋_GB2312" w:cs="华文仿宋"/>
          <w:sz w:val="32"/>
          <w:szCs w:val="32"/>
          <w:lang w:eastAsia="zh-CN"/>
        </w:rPr>
        <w:t>上级指定管辖案件增多，办案经费增加</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b/>
          <w:color w:val="000000"/>
          <w:kern w:val="0"/>
          <w:sz w:val="32"/>
          <w:szCs w:val="32"/>
          <w:lang w:val="en-US" w:eastAsia="zh-CN" w:bidi="ar"/>
        </w:rPr>
        <w:t>2</w:t>
      </w:r>
      <w:r>
        <w:rPr>
          <w:rFonts w:ascii="仿宋_GB2312" w:hAnsi="宋体" w:eastAsia="仿宋_GB2312" w:cs="仿宋_GB2312"/>
          <w:b/>
          <w:color w:val="000000"/>
          <w:kern w:val="0"/>
          <w:sz w:val="32"/>
          <w:szCs w:val="32"/>
          <w:lang w:bidi="ar"/>
        </w:rPr>
        <w:t>.一般公共服务支出（类）财政事务（款）</w:t>
      </w:r>
      <w:r>
        <w:rPr>
          <w:rFonts w:hint="eastAsia" w:ascii="仿宋_GB2312" w:hAnsi="宋体" w:eastAsia="仿宋_GB2312" w:cs="仿宋_GB2312"/>
          <w:b/>
          <w:color w:val="000000"/>
          <w:kern w:val="0"/>
          <w:sz w:val="32"/>
          <w:szCs w:val="32"/>
          <w:lang w:eastAsia="zh-CN" w:bidi="ar"/>
        </w:rPr>
        <w:t>一般行政管理事务</w:t>
      </w:r>
      <w:r>
        <w:rPr>
          <w:rFonts w:ascii="仿宋_GB2312" w:hAnsi="宋体" w:eastAsia="仿宋_GB2312" w:cs="仿宋_GB2312"/>
          <w:b/>
          <w:color w:val="000000"/>
          <w:kern w:val="0"/>
          <w:sz w:val="32"/>
          <w:szCs w:val="32"/>
          <w:lang w:bidi="ar"/>
        </w:rPr>
        <w:t xml:space="preserve">。 </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15.54</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186.81</w:t>
      </w:r>
      <w:r>
        <w:rPr>
          <w:rFonts w:ascii="仿宋_GB2312" w:hAnsi="宋体" w:eastAsia="仿宋_GB2312" w:cs="仿宋_GB2312"/>
          <w:color w:val="000000"/>
          <w:kern w:val="0"/>
          <w:sz w:val="32"/>
          <w:szCs w:val="32"/>
          <w:lang w:bidi="ar"/>
        </w:rPr>
        <w:t>万元，决算数大于预算数的主要原因是</w:t>
      </w:r>
      <w:r>
        <w:rPr>
          <w:rFonts w:hint="eastAsia" w:ascii="仿宋_GB2312" w:hAnsi="华文仿宋" w:eastAsia="仿宋_GB2312" w:cs="华文仿宋"/>
          <w:sz w:val="32"/>
          <w:szCs w:val="32"/>
          <w:lang w:eastAsia="zh-CN"/>
        </w:rPr>
        <w:t>上级指定管辖案件增多，办案经费增加</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b/>
          <w:color w:val="000000"/>
          <w:kern w:val="0"/>
          <w:sz w:val="32"/>
          <w:szCs w:val="32"/>
          <w:lang w:val="en-US" w:eastAsia="zh-CN" w:bidi="ar"/>
        </w:rPr>
        <w:t>3</w:t>
      </w:r>
      <w:r>
        <w:rPr>
          <w:rFonts w:ascii="仿宋_GB2312" w:hAnsi="宋体" w:eastAsia="仿宋_GB2312" w:cs="仿宋_GB2312"/>
          <w:b/>
          <w:color w:val="000000"/>
          <w:kern w:val="0"/>
          <w:sz w:val="32"/>
          <w:szCs w:val="32"/>
          <w:lang w:bidi="ar"/>
        </w:rPr>
        <w:t>.一般公共服务支出（类）财政事务（款）</w:t>
      </w:r>
      <w:r>
        <w:rPr>
          <w:rFonts w:hint="eastAsia" w:ascii="仿宋_GB2312" w:hAnsi="宋体" w:eastAsia="仿宋_GB2312" w:cs="仿宋_GB2312"/>
          <w:b/>
          <w:color w:val="000000"/>
          <w:kern w:val="0"/>
          <w:sz w:val="32"/>
          <w:szCs w:val="32"/>
          <w:lang w:eastAsia="zh-CN" w:bidi="ar"/>
        </w:rPr>
        <w:t>事业运行</w:t>
      </w:r>
      <w:r>
        <w:rPr>
          <w:rFonts w:ascii="仿宋_GB2312" w:hAnsi="宋体" w:eastAsia="仿宋_GB2312" w:cs="仿宋_GB2312"/>
          <w:b/>
          <w:color w:val="000000"/>
          <w:kern w:val="0"/>
          <w:sz w:val="32"/>
          <w:szCs w:val="32"/>
          <w:lang w:bidi="ar"/>
        </w:rPr>
        <w:t xml:space="preserve">。 </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12.69</w:t>
      </w:r>
      <w:r>
        <w:rPr>
          <w:rFonts w:ascii="仿宋_GB2312" w:hAnsi="宋体" w:eastAsia="仿宋_GB2312" w:cs="仿宋_GB2312"/>
          <w:color w:val="000000"/>
          <w:kern w:val="0"/>
          <w:sz w:val="32"/>
          <w:szCs w:val="32"/>
          <w:lang w:bidi="ar"/>
        </w:rPr>
        <w:t>万元，决算数大于预算数的主要原因</w:t>
      </w:r>
      <w:r>
        <w:rPr>
          <w:rFonts w:hint="eastAsia" w:ascii="仿宋_GB2312" w:hAnsi="宋体" w:eastAsia="仿宋_GB2312" w:cs="仿宋_GB2312"/>
          <w:color w:val="000000"/>
          <w:kern w:val="0"/>
          <w:sz w:val="32"/>
          <w:szCs w:val="32"/>
          <w:lang w:eastAsia="zh-CN" w:bidi="ar"/>
        </w:rPr>
        <w:t>室未预算事业运行经费</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b/>
          <w:color w:val="000000"/>
          <w:kern w:val="0"/>
          <w:sz w:val="32"/>
          <w:szCs w:val="32"/>
          <w:lang w:val="en-US" w:eastAsia="zh-CN" w:bidi="ar"/>
        </w:rPr>
        <w:t>4</w:t>
      </w:r>
      <w:r>
        <w:rPr>
          <w:rFonts w:ascii="仿宋_GB2312" w:hAnsi="宋体" w:eastAsia="仿宋_GB2312" w:cs="仿宋_GB2312"/>
          <w:b/>
          <w:color w:val="000000"/>
          <w:kern w:val="0"/>
          <w:sz w:val="32"/>
          <w:szCs w:val="32"/>
          <w:lang w:bidi="ar"/>
        </w:rPr>
        <w:t>.一般公共服务支出（类）财政事务（款）</w:t>
      </w:r>
      <w:r>
        <w:rPr>
          <w:rFonts w:hint="eastAsia" w:ascii="仿宋_GB2312" w:hAnsi="宋体" w:eastAsia="仿宋_GB2312" w:cs="仿宋_GB2312"/>
          <w:b/>
          <w:color w:val="000000"/>
          <w:kern w:val="0"/>
          <w:sz w:val="32"/>
          <w:szCs w:val="32"/>
          <w:lang w:eastAsia="zh-CN" w:bidi="ar"/>
        </w:rPr>
        <w:t>其他纪检监察事务支出</w:t>
      </w:r>
      <w:r>
        <w:rPr>
          <w:rFonts w:ascii="仿宋_GB2312" w:hAnsi="宋体" w:eastAsia="仿宋_GB2312" w:cs="仿宋_GB2312"/>
          <w:b/>
          <w:color w:val="000000"/>
          <w:kern w:val="0"/>
          <w:sz w:val="32"/>
          <w:szCs w:val="32"/>
          <w:lang w:bidi="ar"/>
        </w:rPr>
        <w:t xml:space="preserve">。 </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114.50</w:t>
      </w:r>
      <w:r>
        <w:rPr>
          <w:rFonts w:ascii="仿宋_GB2312" w:hAnsi="宋体" w:eastAsia="仿宋_GB2312" w:cs="仿宋_GB2312"/>
          <w:color w:val="000000"/>
          <w:kern w:val="0"/>
          <w:sz w:val="32"/>
          <w:szCs w:val="32"/>
          <w:lang w:bidi="ar"/>
        </w:rPr>
        <w:t>万元，决算数大于预算数的主要原因</w:t>
      </w:r>
      <w:r>
        <w:rPr>
          <w:rFonts w:hint="eastAsia" w:ascii="仿宋_GB2312" w:hAnsi="宋体" w:eastAsia="仿宋_GB2312" w:cs="仿宋_GB2312"/>
          <w:color w:val="000000"/>
          <w:kern w:val="0"/>
          <w:sz w:val="32"/>
          <w:szCs w:val="32"/>
          <w:lang w:eastAsia="zh-CN" w:bidi="ar"/>
        </w:rPr>
        <w:t>是未预算其他几件监察事务支出经费</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b/>
          <w:color w:val="000000"/>
          <w:kern w:val="0"/>
          <w:sz w:val="32"/>
          <w:szCs w:val="32"/>
          <w:lang w:val="en-US" w:eastAsia="zh-CN" w:bidi="ar"/>
        </w:rPr>
        <w:t>5</w:t>
      </w:r>
      <w:r>
        <w:rPr>
          <w:rFonts w:ascii="仿宋_GB2312" w:hAnsi="宋体" w:eastAsia="仿宋_GB2312" w:cs="仿宋_GB2312"/>
          <w:b/>
          <w:color w:val="000000"/>
          <w:kern w:val="0"/>
          <w:sz w:val="32"/>
          <w:szCs w:val="32"/>
          <w:lang w:bidi="ar"/>
        </w:rPr>
        <w:t>.一般公共服务支出（类）财政事务（款）</w:t>
      </w:r>
      <w:r>
        <w:rPr>
          <w:rFonts w:hint="eastAsia" w:ascii="仿宋_GB2312" w:hAnsi="宋体" w:eastAsia="仿宋_GB2312" w:cs="仿宋_GB2312"/>
          <w:b/>
          <w:color w:val="000000"/>
          <w:kern w:val="0"/>
          <w:sz w:val="32"/>
          <w:szCs w:val="32"/>
          <w:lang w:eastAsia="zh-CN" w:bidi="ar"/>
        </w:rPr>
        <w:t>行政事业单位离退休支出</w:t>
      </w:r>
      <w:r>
        <w:rPr>
          <w:rFonts w:ascii="仿宋_GB2312" w:hAnsi="宋体" w:eastAsia="仿宋_GB2312" w:cs="仿宋_GB2312"/>
          <w:b/>
          <w:color w:val="000000"/>
          <w:kern w:val="0"/>
          <w:sz w:val="32"/>
          <w:szCs w:val="32"/>
          <w:lang w:bidi="ar"/>
        </w:rPr>
        <w:t xml:space="preserve">。 </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49.23</w:t>
      </w:r>
      <w:r>
        <w:rPr>
          <w:rFonts w:ascii="仿宋_GB2312" w:hAnsi="宋体" w:eastAsia="仿宋_GB2312" w:cs="仿宋_GB2312"/>
          <w:color w:val="000000"/>
          <w:kern w:val="0"/>
          <w:sz w:val="32"/>
          <w:szCs w:val="32"/>
          <w:lang w:bidi="ar"/>
        </w:rPr>
        <w:t>万元，决算数大于预算数的主要原因</w:t>
      </w:r>
      <w:r>
        <w:rPr>
          <w:rFonts w:hint="eastAsia" w:ascii="仿宋_GB2312" w:hAnsi="宋体" w:eastAsia="仿宋_GB2312" w:cs="仿宋_GB2312"/>
          <w:color w:val="000000"/>
          <w:kern w:val="0"/>
          <w:sz w:val="32"/>
          <w:szCs w:val="32"/>
          <w:lang w:eastAsia="zh-CN" w:bidi="ar"/>
        </w:rPr>
        <w:t>是工资体</w:t>
      </w:r>
      <w:r>
        <w:rPr>
          <w:rFonts w:hint="eastAsia" w:ascii="仿宋_GB2312" w:hAnsi="宋体" w:eastAsia="仿宋_GB2312" w:cs="仿宋_GB2312"/>
          <w:color w:val="000000"/>
          <w:kern w:val="0"/>
          <w:sz w:val="32"/>
          <w:szCs w:val="32"/>
          <w:lang w:val="en-US" w:eastAsia="zh-CN" w:bidi="ar"/>
        </w:rPr>
        <w:t>制</w:t>
      </w:r>
      <w:r>
        <w:rPr>
          <w:rFonts w:hint="eastAsia" w:ascii="仿宋_GB2312" w:hAnsi="宋体" w:eastAsia="仿宋_GB2312" w:cs="仿宋_GB2312"/>
          <w:color w:val="000000"/>
          <w:kern w:val="0"/>
          <w:sz w:val="32"/>
          <w:szCs w:val="32"/>
          <w:lang w:eastAsia="zh-CN" w:bidi="ar"/>
        </w:rPr>
        <w:t>改革，工资由单位自行发放，增加缴纳行政事业单位养老保险</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b/>
          <w:color w:val="000000"/>
          <w:kern w:val="0"/>
          <w:sz w:val="32"/>
          <w:szCs w:val="32"/>
          <w:lang w:val="en-US" w:eastAsia="zh-CN" w:bidi="ar"/>
        </w:rPr>
        <w:t>5</w:t>
      </w:r>
      <w:r>
        <w:rPr>
          <w:rFonts w:ascii="仿宋_GB2312" w:hAnsi="宋体" w:eastAsia="仿宋_GB2312" w:cs="仿宋_GB2312"/>
          <w:b/>
          <w:color w:val="000000"/>
          <w:kern w:val="0"/>
          <w:sz w:val="32"/>
          <w:szCs w:val="32"/>
          <w:lang w:bidi="ar"/>
        </w:rPr>
        <w:t>.一般公共服务支出（类）财政事务（款）</w:t>
      </w:r>
      <w:r>
        <w:rPr>
          <w:rFonts w:hint="eastAsia" w:ascii="仿宋_GB2312" w:hAnsi="宋体" w:eastAsia="仿宋_GB2312" w:cs="仿宋_GB2312"/>
          <w:b/>
          <w:color w:val="000000"/>
          <w:kern w:val="0"/>
          <w:sz w:val="32"/>
          <w:szCs w:val="32"/>
          <w:lang w:eastAsia="zh-CN" w:bidi="ar"/>
        </w:rPr>
        <w:t>行政事业单位医疗支出</w:t>
      </w:r>
      <w:r>
        <w:rPr>
          <w:rFonts w:ascii="仿宋_GB2312" w:hAnsi="宋体" w:eastAsia="仿宋_GB2312" w:cs="仿宋_GB2312"/>
          <w:b/>
          <w:color w:val="000000"/>
          <w:kern w:val="0"/>
          <w:sz w:val="32"/>
          <w:szCs w:val="32"/>
          <w:lang w:bidi="ar"/>
        </w:rPr>
        <w:t xml:space="preserve">。 </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13.06</w:t>
      </w:r>
      <w:r>
        <w:rPr>
          <w:rFonts w:ascii="仿宋_GB2312" w:hAnsi="宋体" w:eastAsia="仿宋_GB2312" w:cs="仿宋_GB2312"/>
          <w:color w:val="000000"/>
          <w:kern w:val="0"/>
          <w:sz w:val="32"/>
          <w:szCs w:val="32"/>
          <w:lang w:bidi="ar"/>
        </w:rPr>
        <w:t>万元，决算数大于预算数的主要原因</w:t>
      </w:r>
      <w:r>
        <w:rPr>
          <w:rFonts w:hint="eastAsia" w:ascii="仿宋_GB2312" w:hAnsi="宋体" w:eastAsia="仿宋_GB2312" w:cs="仿宋_GB2312"/>
          <w:color w:val="000000"/>
          <w:kern w:val="0"/>
          <w:sz w:val="32"/>
          <w:szCs w:val="32"/>
          <w:lang w:eastAsia="zh-CN" w:bidi="ar"/>
        </w:rPr>
        <w:t>是工资体</w:t>
      </w:r>
      <w:r>
        <w:rPr>
          <w:rFonts w:hint="eastAsia" w:ascii="仿宋_GB2312" w:hAnsi="宋体" w:eastAsia="仿宋_GB2312" w:cs="仿宋_GB2312"/>
          <w:color w:val="000000"/>
          <w:kern w:val="0"/>
          <w:sz w:val="32"/>
          <w:szCs w:val="32"/>
          <w:lang w:val="en-US" w:eastAsia="zh-CN" w:bidi="ar"/>
        </w:rPr>
        <w:t>制</w:t>
      </w:r>
      <w:bookmarkStart w:id="4" w:name="_GoBack"/>
      <w:bookmarkEnd w:id="4"/>
      <w:r>
        <w:rPr>
          <w:rFonts w:hint="eastAsia" w:ascii="仿宋_GB2312" w:hAnsi="宋体" w:eastAsia="仿宋_GB2312" w:cs="仿宋_GB2312"/>
          <w:color w:val="000000"/>
          <w:kern w:val="0"/>
          <w:sz w:val="32"/>
          <w:szCs w:val="32"/>
          <w:lang w:eastAsia="zh-CN" w:bidi="ar"/>
        </w:rPr>
        <w:t>改革，工资由单位自行发放，增加行政事业单位人员医疗保险</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sz w:val="32"/>
          <w:szCs w:val="32"/>
        </w:rPr>
      </w:pPr>
      <w:r>
        <w:rPr>
          <w:rFonts w:hint="eastAsia" w:ascii="黑体" w:hAnsi="黑体" w:eastAsia="黑体"/>
          <w:color w:val="000000"/>
          <w:kern w:val="0"/>
          <w:sz w:val="32"/>
          <w:szCs w:val="32"/>
          <w:lang w:bidi="ar"/>
        </w:rPr>
        <w:t>六、一般公共预算财政拨款基本支出决算情况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201</w:t>
      </w:r>
      <w:r>
        <w:rPr>
          <w:rFonts w:hint="eastAsia" w:ascii="仿宋_GB2312" w:hAnsi="仿宋_GB2312" w:eastAsia="仿宋_GB2312" w:cs="仿宋_GB2312"/>
          <w:color w:val="000000"/>
          <w:kern w:val="0"/>
          <w:sz w:val="31"/>
          <w:szCs w:val="31"/>
          <w:lang w:bidi="ar"/>
        </w:rPr>
        <w:t>9</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720.56</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688.42</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32.14</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b/>
          <w:bCs/>
          <w:color w:val="000000"/>
          <w:kern w:val="0"/>
          <w:sz w:val="32"/>
          <w:szCs w:val="32"/>
          <w:lang w:bidi="ar"/>
        </w:rPr>
        <w:t>人员经费</w:t>
      </w:r>
      <w:r>
        <w:rPr>
          <w:rFonts w:hint="eastAsia" w:ascii="仿宋_GB2312" w:hAnsi="仿宋_GB2312" w:eastAsia="仿宋_GB2312" w:cs="仿宋_GB2312"/>
          <w:color w:val="000000"/>
          <w:kern w:val="0"/>
          <w:sz w:val="31"/>
          <w:szCs w:val="31"/>
          <w:lang w:val="en-US" w:eastAsia="zh-CN" w:bidi="ar"/>
        </w:rPr>
        <w:t>688.42</w:t>
      </w:r>
      <w:r>
        <w:rPr>
          <w:rFonts w:ascii="仿宋_GB2312" w:hAnsi="宋体" w:eastAsia="仿宋_GB2312" w:cs="仿宋_GB2312"/>
          <w:color w:val="000000"/>
          <w:kern w:val="0"/>
          <w:sz w:val="32"/>
          <w:szCs w:val="32"/>
          <w:lang w:bidi="ar"/>
        </w:rPr>
        <w:t>万元，主要包括基本工资</w:t>
      </w:r>
      <w:r>
        <w:rPr>
          <w:rFonts w:hint="eastAsia" w:ascii="仿宋_GB2312" w:hAnsi="宋体" w:eastAsia="仿宋_GB2312" w:cs="仿宋_GB2312"/>
          <w:color w:val="000000"/>
          <w:kern w:val="0"/>
          <w:sz w:val="32"/>
          <w:szCs w:val="32"/>
          <w:lang w:val="en-US" w:eastAsia="zh-CN" w:bidi="ar"/>
        </w:rPr>
        <w:t>214.15</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，津贴补贴</w:t>
      </w:r>
      <w:r>
        <w:rPr>
          <w:rFonts w:hint="eastAsia" w:ascii="仿宋_GB2312" w:hAnsi="宋体" w:eastAsia="仿宋_GB2312" w:cs="仿宋_GB2312"/>
          <w:color w:val="000000"/>
          <w:kern w:val="0"/>
          <w:sz w:val="32"/>
          <w:szCs w:val="32"/>
          <w:lang w:val="en-US" w:eastAsia="zh-CN" w:bidi="ar"/>
        </w:rPr>
        <w:t>169.36万元，奖金139.45万元，机关事业单位养老保险缴费70.89万元，职工基本医疗保险缴费15.35万元，绩效工资0.29万元，职业年金缴费10.51万元，其他社保缴费6.14万元，住房公积金61.87万元</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bCs/>
          <w:color w:val="000000"/>
          <w:kern w:val="0"/>
          <w:sz w:val="32"/>
          <w:szCs w:val="32"/>
          <w:lang w:bidi="ar"/>
        </w:rPr>
        <w:t>公用经费</w:t>
      </w:r>
      <w:r>
        <w:rPr>
          <w:rFonts w:hint="eastAsia" w:ascii="仿宋_GB2312" w:hAnsi="仿宋_GB2312" w:eastAsia="仿宋_GB2312" w:cs="仿宋_GB2312"/>
          <w:color w:val="000000"/>
          <w:kern w:val="0"/>
          <w:sz w:val="31"/>
          <w:szCs w:val="31"/>
          <w:lang w:val="en-US" w:eastAsia="zh-CN" w:bidi="ar"/>
        </w:rPr>
        <w:t>32.14</w:t>
      </w:r>
      <w:r>
        <w:rPr>
          <w:rFonts w:ascii="仿宋_GB2312" w:hAnsi="宋体" w:eastAsia="仿宋_GB2312" w:cs="仿宋_GB2312"/>
          <w:color w:val="000000"/>
          <w:kern w:val="0"/>
          <w:sz w:val="32"/>
          <w:szCs w:val="32"/>
          <w:lang w:bidi="ar"/>
        </w:rPr>
        <w:t>万元，主要包括办公费</w:t>
      </w:r>
      <w:r>
        <w:rPr>
          <w:rFonts w:hint="eastAsia" w:ascii="仿宋_GB2312" w:hAnsi="宋体" w:eastAsia="仿宋_GB2312" w:cs="仿宋_GB2312"/>
          <w:color w:val="000000"/>
          <w:kern w:val="0"/>
          <w:sz w:val="32"/>
          <w:szCs w:val="32"/>
          <w:lang w:val="en-US" w:eastAsia="zh-CN" w:bidi="ar"/>
        </w:rPr>
        <w:t>4.61</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，印刷费</w:t>
      </w:r>
      <w:r>
        <w:rPr>
          <w:rFonts w:hint="eastAsia" w:ascii="仿宋_GB2312" w:hAnsi="宋体" w:eastAsia="仿宋_GB2312" w:cs="仿宋_GB2312"/>
          <w:color w:val="000000"/>
          <w:kern w:val="0"/>
          <w:sz w:val="32"/>
          <w:szCs w:val="32"/>
          <w:lang w:val="en-US" w:eastAsia="zh-CN" w:bidi="ar"/>
        </w:rPr>
        <w:t>9.17万元，水费0.19万元，差率费0.20万元，维修（护）费2.26万元，会议费1.20万元，公务用车运行维护费14.51万元</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七、一般公共预算财政拨款“三公”经费及会议费、培训费支出决算情况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15.32</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14.51</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94.7</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0.81</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贯彻执行中央八项规定，控制三公经费支出</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bidi="ar"/>
        </w:rPr>
        <w:t>示例：</w:t>
      </w: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14.51</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b/>
          <w:bCs/>
          <w:sz w:val="32"/>
          <w:szCs w:val="32"/>
          <w:lang w:eastAsia="zh-CN"/>
        </w:rPr>
      </w:pPr>
      <w:r>
        <w:rPr>
          <w:rFonts w:hint="eastAsia" w:ascii="仿宋_GB2312" w:hAnsi="仿宋" w:eastAsia="仿宋_GB2312"/>
          <w:b/>
          <w:bCs/>
          <w:sz w:val="32"/>
          <w:szCs w:val="32"/>
          <w:lang w:eastAsia="zh-CN"/>
        </w:rPr>
        <w:drawing>
          <wp:anchor distT="0" distB="0" distL="114300" distR="114300" simplePos="0" relativeHeight="251664384" behindDoc="0" locked="0" layoutInCell="1" allowOverlap="1">
            <wp:simplePos x="0" y="0"/>
            <wp:positionH relativeFrom="column">
              <wp:posOffset>815340</wp:posOffset>
            </wp:positionH>
            <wp:positionV relativeFrom="paragraph">
              <wp:posOffset>141605</wp:posOffset>
            </wp:positionV>
            <wp:extent cx="3675380" cy="1953260"/>
            <wp:effectExtent l="5080" t="4445" r="15240" b="2349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b/>
          <w:bCs/>
          <w:sz w:val="32"/>
          <w:szCs w:val="32"/>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b/>
          <w:bCs/>
          <w:sz w:val="32"/>
          <w:szCs w:val="32"/>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b/>
          <w:bCs/>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 w:eastAsia="仿宋_GB2312"/>
          <w:b/>
          <w:bCs/>
          <w:sz w:val="32"/>
          <w:szCs w:val="32"/>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lang w:eastAsia="zh-CN"/>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15.32</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14.51</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94.7</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0.81</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贯彻执行中央八项规定，控制三公经费支出</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公务接待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10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1.23</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1.2</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97.6</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0.03</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全年整体会议次数减少</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本部门无政府性基金决算收支，并已公开空表</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十、预算绩效情况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1021.86</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1"/>
          <w:szCs w:val="31"/>
          <w:lang w:val="en-US" w:eastAsia="zh-CN" w:bidi="ar"/>
        </w:rPr>
        <w:t>2019年无政府性基金预算</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仿宋_GB2312" w:eastAsia="仿宋_GB2312" w:cs="仿宋_GB2312"/>
          <w:color w:val="000000"/>
          <w:kern w:val="0"/>
          <w:sz w:val="31"/>
          <w:szCs w:val="31"/>
          <w:lang w:val="en-US" w:eastAsia="zh-CN" w:bidi="ar"/>
        </w:rPr>
        <w:t>1021.86</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eastAsia="zh-CN" w:bidi="ar"/>
        </w:rPr>
        <w:t>本部门无项目支出。</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楷体_GB2312" w:hAnsi="宋体" w:eastAsia="楷体_GB2312" w:cs="楷体_GB2312"/>
          <w:b/>
          <w:color w:val="000000"/>
          <w:kern w:val="0"/>
          <w:sz w:val="32"/>
          <w:szCs w:val="32"/>
          <w:lang w:bidi="ar"/>
        </w:rPr>
      </w:pPr>
      <w:r>
        <w:rPr>
          <w:rFonts w:hint="eastAsia" w:ascii="仿宋_GB2312" w:hAnsi="仿宋_GB2312" w:eastAsia="仿宋_GB2312" w:cs="仿宋_GB2312"/>
          <w:color w:val="000000"/>
          <w:kern w:val="0"/>
          <w:sz w:val="31"/>
          <w:szCs w:val="31"/>
          <w:lang w:eastAsia="zh-CN" w:bidi="ar"/>
        </w:rPr>
        <w:t>本部门无项目支出。</w: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bookmarkStart w:id="0" w:name="_1662907080"/>
      <w:bookmarkEnd w:id="0"/>
      <w:bookmarkStart w:id="1" w:name="_1662907161"/>
      <w:bookmarkEnd w:id="1"/>
      <w:bookmarkStart w:id="2" w:name="_1662907596"/>
      <w:bookmarkEnd w:id="2"/>
      <w:r>
        <w:rPr>
          <w:rFonts w:hint="eastAsia" w:ascii="仿宋_GB2312" w:hAnsi="仿宋_GB2312" w:eastAsia="仿宋_GB2312" w:cs="仿宋_GB2312"/>
          <w:color w:val="000000"/>
          <w:sz w:val="31"/>
          <w:szCs w:val="31"/>
          <w:lang w:bidi="ar"/>
        </w:rPr>
        <w:object>
          <v:shape id="_x0000_i1025" o:spt="75" type="#_x0000_t75" style="height:604.65pt;width:385.5pt;" o:ole="t" filled="f" o:preferrelative="t" stroked="f" coordsize="21600,21600">
            <v:path/>
            <v:fill on="f" focussize="0,0"/>
            <v:stroke on="f"/>
            <v:imagedata r:id="rId12" o:title=""/>
            <o:lock v:ext="edit" aspectratio="f"/>
            <w10:wrap type="none"/>
            <w10:anchorlock/>
          </v:shape>
          <o:OLEObject Type="Embed" ProgID="Excel.Sheet.12" ShapeID="_x0000_i1025" DrawAspect="Content" ObjectID="_1468075725" r:id="rId11">
            <o:LockedField>false</o:LockedField>
          </o:OLEObject>
        </w:objec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sectPr>
          <w:pgSz w:w="11906" w:h="16838"/>
          <w:pgMar w:top="1440" w:right="1800" w:bottom="1440" w:left="1800" w:header="851" w:footer="992" w:gutter="0"/>
          <w:cols w:space="425" w:num="1"/>
          <w:docGrid w:type="lines" w:linePitch="312" w:charSpace="0"/>
        </w:sectPr>
      </w:pPr>
    </w:p>
    <w:p>
      <w:pPr>
        <w:widowControl/>
        <w:jc w:val="left"/>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object>
          <v:shape id="_x0000_i1026" o:spt="75" type="#_x0000_t75" style="height:1171.7pt;width:697.5pt;" o:ole="t" filled="f" o:preferrelative="t" stroked="f" coordsize="21600,21600">
            <v:path/>
            <v:fill on="f" focussize="0,0"/>
            <v:stroke on="f"/>
            <v:imagedata r:id="rId14" o:title=""/>
            <o:lock v:ext="edit" aspectratio="f"/>
            <w10:wrap type="none"/>
            <w10:anchorlock/>
          </v:shape>
          <o:OLEObject Type="Embed" ProgID="Excel.Sheet.12" ShapeID="_x0000_i1026" DrawAspect="Content" ObjectID="_1468075726" r:id="rId13">
            <o:LockedField>false</o:LockedField>
          </o:OLEObject>
        </w:object>
      </w:r>
    </w:p>
    <w:p>
      <w:pPr>
        <w:rPr>
          <w:rFonts w:hint="eastAsia" w:ascii="黑体" w:hAnsi="黑体" w:eastAsia="黑体"/>
          <w:color w:val="000000"/>
          <w:kern w:val="0"/>
          <w:sz w:val="32"/>
          <w:szCs w:val="32"/>
          <w:lang w:bidi="ar"/>
        </w:rPr>
      </w:pPr>
      <w:bookmarkStart w:id="3" w:name="_1662907696"/>
      <w:bookmarkEnd w:id="3"/>
      <w:r>
        <w:rPr>
          <w:rFonts w:hint="eastAsia" w:ascii="黑体" w:hAnsi="黑体" w:eastAsia="黑体"/>
          <w:color w:val="000000"/>
          <w:sz w:val="32"/>
          <w:szCs w:val="32"/>
          <w:lang w:bidi="ar"/>
        </w:rPr>
        <w:object>
          <v:shape id="_x0000_i1027" o:spt="75" type="#_x0000_t75" style="height:345.15pt;width:644.3pt;" o:ole="t" filled="f" o:preferrelative="t" stroked="f" coordsize="21600,21600">
            <v:path/>
            <v:fill on="f" focussize="0,0"/>
            <v:stroke on="f"/>
            <v:imagedata r:id="rId16" o:title=""/>
            <o:lock v:ext="edit" aspectratio="f"/>
            <w10:wrap type="none"/>
            <w10:anchorlock/>
          </v:shape>
          <o:OLEObject Type="Embed" ProgID="Excel.Sheet.12" ShapeID="_x0000_i1027" DrawAspect="Content" ObjectID="_1468075727" r:id="rId15">
            <o:LockedField>false</o:LockedField>
          </o:OLEObject>
        </w:object>
      </w:r>
    </w:p>
    <w:p>
      <w:pPr>
        <w:rPr>
          <w:rFonts w:hint="eastAsia" w:ascii="黑体" w:hAnsi="黑体" w:eastAsia="黑体"/>
          <w:color w:val="000000"/>
          <w:kern w:val="0"/>
          <w:sz w:val="32"/>
          <w:szCs w:val="32"/>
          <w:lang w:bidi="ar"/>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color w:val="000000"/>
          <w:kern w:val="0"/>
          <w:sz w:val="32"/>
          <w:szCs w:val="32"/>
          <w:lang w:bidi="ar"/>
        </w:rPr>
        <w:t>十一、其他重要事项</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（一）机关运行经费支出情况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仿宋_GB2312" w:eastAsia="仿宋_GB2312" w:cs="仿宋_GB2312"/>
          <w:color w:val="000000"/>
          <w:kern w:val="0"/>
          <w:sz w:val="31"/>
          <w:szCs w:val="31"/>
          <w:lang w:bidi="ar"/>
        </w:rPr>
        <w:t>2019年</w:t>
      </w:r>
      <w:r>
        <w:rPr>
          <w:rFonts w:hint="eastAsia" w:ascii="仿宋_GB2312" w:hAnsi="仿宋_GB2312" w:eastAsia="仿宋_GB2312" w:cs="仿宋_GB2312"/>
          <w:color w:val="000000"/>
          <w:kern w:val="0"/>
          <w:sz w:val="31"/>
          <w:szCs w:val="31"/>
          <w:lang w:eastAsia="zh-CN" w:bidi="ar"/>
        </w:rPr>
        <w:t>度</w:t>
      </w:r>
      <w:r>
        <w:rPr>
          <w:rFonts w:ascii="仿宋_GB2312" w:hAnsi="仿宋_GB2312" w:eastAsia="仿宋_GB2312" w:cs="仿宋_GB2312"/>
          <w:color w:val="000000"/>
          <w:kern w:val="0"/>
          <w:sz w:val="31"/>
          <w:szCs w:val="31"/>
          <w:lang w:bidi="ar"/>
        </w:rPr>
        <w:t>机关运行经费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41.34</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32.14</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77.7</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9.2</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我委厉行节约原则，减少不必要的开支</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（二）政府采购支出情况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无政府采购支出</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（三）国有资产占用及购置情况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截至2019年末，本部门机关及所属单位共有车辆</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年当年购置车辆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辆；购置单价50万元以上的通用设备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pPr>
        <w:numPr>
          <w:ilvl w:val="0"/>
          <w:numId w:val="4"/>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numPr>
          <w:ilvl w:val="0"/>
          <w:numId w:val="0"/>
        </w:numPr>
        <w:jc w:val="both"/>
        <w:rPr>
          <w:rFonts w:ascii="黑体" w:hAnsi="宋体" w:eastAsia="黑体"/>
          <w:color w:val="000000"/>
          <w:kern w:val="0"/>
          <w:sz w:val="44"/>
          <w:szCs w:val="44"/>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调整预算数：</w:t>
      </w:r>
      <w:r>
        <w:rPr>
          <w:rFonts w:hint="eastAsia" w:ascii="仿宋_GB2312" w:hAnsi="宋体" w:eastAsia="仿宋_GB2312"/>
          <w:bCs/>
          <w:sz w:val="32"/>
          <w:szCs w:val="32"/>
        </w:rPr>
        <w:t>填列经调整后的全年预算数，包括年初预算数和预算调增调减数</w:t>
      </w:r>
      <w:r>
        <w:rPr>
          <w:rFonts w:hint="eastAsia" w:ascii="仿宋_GB2312" w:eastAsia="仿宋_GB2312"/>
          <w:bCs/>
          <w:sz w:val="32"/>
          <w:szCs w:val="32"/>
        </w:rPr>
        <w:t>，即：调整预算数＝年初预算数＋预算调增数－预算调减数</w:t>
      </w:r>
      <w:r>
        <w:rPr>
          <w:rFonts w:hint="eastAsia" w:ascii="仿宋_GB2312" w:hAnsi="宋体" w:eastAsia="仿宋_GB2312"/>
          <w:bCs/>
          <w:sz w:val="32"/>
          <w:szCs w:val="32"/>
        </w:rPr>
        <w:t>。</w:t>
      </w: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楷体" w:hAnsi="楷体" w:eastAsia="楷体" w:cs="楷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ËÎÌå">
    <w:altName w:val="Times New Roman"/>
    <w:panose1 w:val="00000000000000000000"/>
    <w:charset w:val="00"/>
    <w:family w:val="auto"/>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E8010DA6"/>
    <w:multiLevelType w:val="singleLevel"/>
    <w:tmpl w:val="E8010DA6"/>
    <w:lvl w:ilvl="0" w:tentative="0">
      <w:start w:val="3"/>
      <w:numFmt w:val="chineseCounting"/>
      <w:suff w:val="nothing"/>
      <w:lvlText w:val="（%1）"/>
      <w:lvlJc w:val="left"/>
      <w:rPr>
        <w:rFonts w:hint="eastAsia"/>
      </w:rPr>
    </w:lvl>
  </w:abstractNum>
  <w:abstractNum w:abstractNumId="2">
    <w:nsid w:val="39BEA4A8"/>
    <w:multiLevelType w:val="singleLevel"/>
    <w:tmpl w:val="39BEA4A8"/>
    <w:lvl w:ilvl="0" w:tentative="0">
      <w:start w:val="4"/>
      <w:numFmt w:val="chineseCounting"/>
      <w:suff w:val="space"/>
      <w:lvlText w:val="第%1部分"/>
      <w:lvlJc w:val="left"/>
      <w:rPr>
        <w:rFonts w:hint="eastAsia"/>
      </w:rPr>
    </w:lvl>
  </w:abstractNum>
  <w:abstractNum w:abstractNumId="3">
    <w:nsid w:val="4E290741"/>
    <w:multiLevelType w:val="singleLevel"/>
    <w:tmpl w:val="4E290741"/>
    <w:lvl w:ilvl="0" w:tentative="0">
      <w:start w:val="3"/>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mI3ZTE1ZTYyNTljN2NjOTVmNGFiZmYyMDkyMWEifQ=="/>
  </w:docVars>
  <w:rsids>
    <w:rsidRoot w:val="00172A27"/>
    <w:rsid w:val="00F43A0B"/>
    <w:rsid w:val="010E3361"/>
    <w:rsid w:val="068B7849"/>
    <w:rsid w:val="086C1E64"/>
    <w:rsid w:val="09F56D6B"/>
    <w:rsid w:val="0D0C09BD"/>
    <w:rsid w:val="0DB865A2"/>
    <w:rsid w:val="0E392CF1"/>
    <w:rsid w:val="115A65A9"/>
    <w:rsid w:val="14304471"/>
    <w:rsid w:val="14894AB1"/>
    <w:rsid w:val="14DA5047"/>
    <w:rsid w:val="15916C1F"/>
    <w:rsid w:val="16BD4D06"/>
    <w:rsid w:val="18634A0D"/>
    <w:rsid w:val="19D377B9"/>
    <w:rsid w:val="1A622C9C"/>
    <w:rsid w:val="1AF22409"/>
    <w:rsid w:val="1BB40455"/>
    <w:rsid w:val="1D246AFD"/>
    <w:rsid w:val="1D407DDA"/>
    <w:rsid w:val="1D453FFA"/>
    <w:rsid w:val="1D8B0C78"/>
    <w:rsid w:val="1F6541CD"/>
    <w:rsid w:val="1F6D5712"/>
    <w:rsid w:val="1F8C11D8"/>
    <w:rsid w:val="200B236D"/>
    <w:rsid w:val="20B96E79"/>
    <w:rsid w:val="20E506C4"/>
    <w:rsid w:val="20F9477D"/>
    <w:rsid w:val="21C360D4"/>
    <w:rsid w:val="2256467C"/>
    <w:rsid w:val="239A5975"/>
    <w:rsid w:val="256264C3"/>
    <w:rsid w:val="2660352B"/>
    <w:rsid w:val="287C13F1"/>
    <w:rsid w:val="28FB2AB2"/>
    <w:rsid w:val="2A152C2D"/>
    <w:rsid w:val="2DE12890"/>
    <w:rsid w:val="2DED56C3"/>
    <w:rsid w:val="30813212"/>
    <w:rsid w:val="30DF4759"/>
    <w:rsid w:val="30FF4ED2"/>
    <w:rsid w:val="31CB5884"/>
    <w:rsid w:val="33D87286"/>
    <w:rsid w:val="350A5D93"/>
    <w:rsid w:val="3669223E"/>
    <w:rsid w:val="366C12FC"/>
    <w:rsid w:val="39FE0B67"/>
    <w:rsid w:val="3B637CB5"/>
    <w:rsid w:val="3BFC6DCC"/>
    <w:rsid w:val="3C7A6DAB"/>
    <w:rsid w:val="3D904069"/>
    <w:rsid w:val="3EDC0F70"/>
    <w:rsid w:val="3FCA23EC"/>
    <w:rsid w:val="41942E54"/>
    <w:rsid w:val="424D60E4"/>
    <w:rsid w:val="42FA4769"/>
    <w:rsid w:val="43BC1030"/>
    <w:rsid w:val="43E539F2"/>
    <w:rsid w:val="46E00877"/>
    <w:rsid w:val="47964FBE"/>
    <w:rsid w:val="49EA5FBC"/>
    <w:rsid w:val="4A1752A2"/>
    <w:rsid w:val="4A920841"/>
    <w:rsid w:val="4B18398F"/>
    <w:rsid w:val="4BA208CE"/>
    <w:rsid w:val="4D0D1095"/>
    <w:rsid w:val="4E085DE8"/>
    <w:rsid w:val="50C46A00"/>
    <w:rsid w:val="52AC7AB3"/>
    <w:rsid w:val="53AA3DC9"/>
    <w:rsid w:val="54207C4C"/>
    <w:rsid w:val="544D3043"/>
    <w:rsid w:val="55027D56"/>
    <w:rsid w:val="55524E5F"/>
    <w:rsid w:val="568872AA"/>
    <w:rsid w:val="578E6543"/>
    <w:rsid w:val="590A1B72"/>
    <w:rsid w:val="596D661C"/>
    <w:rsid w:val="5E0A71AD"/>
    <w:rsid w:val="5ECA4304"/>
    <w:rsid w:val="5F5027A5"/>
    <w:rsid w:val="6100514D"/>
    <w:rsid w:val="63C070E6"/>
    <w:rsid w:val="6417010C"/>
    <w:rsid w:val="64AD79AA"/>
    <w:rsid w:val="65706DA4"/>
    <w:rsid w:val="66D516FF"/>
    <w:rsid w:val="67043B5C"/>
    <w:rsid w:val="67491601"/>
    <w:rsid w:val="67C16EF2"/>
    <w:rsid w:val="68E3349E"/>
    <w:rsid w:val="69A157A9"/>
    <w:rsid w:val="6A473FC0"/>
    <w:rsid w:val="6A903441"/>
    <w:rsid w:val="6B3B79EC"/>
    <w:rsid w:val="6EAC6681"/>
    <w:rsid w:val="6F094735"/>
    <w:rsid w:val="7179162C"/>
    <w:rsid w:val="71840673"/>
    <w:rsid w:val="720A51D9"/>
    <w:rsid w:val="73431FE5"/>
    <w:rsid w:val="73C41175"/>
    <w:rsid w:val="778B0394"/>
    <w:rsid w:val="7AB120F4"/>
    <w:rsid w:val="7AC64DE2"/>
    <w:rsid w:val="7B6D5E4A"/>
    <w:rsid w:val="7CC2741D"/>
    <w:rsid w:val="7D896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3.emf"/><Relationship Id="rId15" Type="http://schemas.openxmlformats.org/officeDocument/2006/relationships/oleObject" Target="embeddings/oleObject3.bin"/><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人员情况</a:t>
            </a:r>
          </a:p>
        </c:rich>
      </c:tx>
      <c:layout>
        <c:manualLayout>
          <c:xMode val="edge"/>
          <c:yMode val="edge"/>
          <c:x val="0.328936406553736"/>
          <c:y val="0.0624349635796046"/>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extLst>
                <c:ext xmlns:c15="http://schemas.microsoft.com/office/drawing/2012/chart" uri="{02D57815-91ED-43cb-92C2-25804820EDAC}">
                  <c15:fullRef>
                    <c15:sqref>Sheet1!$A$2:$A$5</c15:sqref>
                  </c15:fullRef>
                </c:ext>
              </c:extLst>
              <c:f>Sheet1!$A$2:$A$3</c:f>
              <c:strCache>
                <c:ptCount val="2"/>
                <c:pt idx="0">
                  <c:v>行政编制</c:v>
                </c:pt>
                <c:pt idx="1">
                  <c:v>退休干部</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47</c:v>
                </c:pt>
                <c:pt idx="1">
                  <c:v>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2018年</c:v>
                </c:pt>
              </c:strCache>
            </c:strRef>
          </c:tx>
          <c:spPr>
            <a:solidFill>
              <a:schemeClr val="accent1"/>
            </a:solidFill>
            <a:ln>
              <a:noFill/>
            </a:ln>
            <a:effectLst/>
          </c:spPr>
          <c:invertIfNegative val="0"/>
          <c:dLbls>
            <c:delete val="1"/>
          </c:dLbls>
          <c:cat>
            <c:strRef>
              <c:f>Sheet1!$A$2:$A$5</c:f>
              <c:strCache>
                <c:ptCount val="4"/>
                <c:pt idx="0">
                  <c:v>收入合计（万元）</c:v>
                </c:pt>
                <c:pt idx="1">
                  <c:v>支出合计（万元）</c:v>
                </c:pt>
              </c:strCache>
            </c:strRef>
          </c:cat>
          <c:val>
            <c:numRef>
              <c:f>Sheet1!$B$2:$B$5</c:f>
              <c:numCache>
                <c:formatCode>General</c:formatCode>
                <c:ptCount val="4"/>
                <c:pt idx="0">
                  <c:v>811.09</c:v>
                </c:pt>
                <c:pt idx="1">
                  <c:v>788.09</c:v>
                </c:pt>
              </c:numCache>
            </c:numRef>
          </c:val>
        </c:ser>
        <c:ser>
          <c:idx val="1"/>
          <c:order val="1"/>
          <c:tx>
            <c:strRef>
              <c:f>Sheet1!$C$1</c:f>
              <c:strCache>
                <c:ptCount val="1"/>
                <c:pt idx="0">
                  <c:v>2019年</c:v>
                </c:pt>
              </c:strCache>
            </c:strRef>
          </c:tx>
          <c:spPr>
            <a:solidFill>
              <a:schemeClr val="accent2"/>
            </a:solidFill>
            <a:ln>
              <a:noFill/>
            </a:ln>
            <a:effectLst/>
          </c:spPr>
          <c:invertIfNegative val="0"/>
          <c:dLbls>
            <c:delete val="1"/>
          </c:dLbls>
          <c:cat>
            <c:strRef>
              <c:f>Sheet1!$A$2:$A$5</c:f>
              <c:strCache>
                <c:ptCount val="4"/>
                <c:pt idx="0">
                  <c:v>收入合计（万元）</c:v>
                </c:pt>
                <c:pt idx="1">
                  <c:v>支出合计（万元）</c:v>
                </c:pt>
              </c:strCache>
            </c:strRef>
          </c:cat>
          <c:val>
            <c:numRef>
              <c:f>Sheet1!$C$2:$C$5</c:f>
              <c:numCache>
                <c:formatCode>General</c:formatCode>
                <c:ptCount val="4"/>
                <c:pt idx="0">
                  <c:v>1009.94</c:v>
                </c:pt>
                <c:pt idx="1">
                  <c:v>1021.86</c:v>
                </c:pt>
              </c:numCache>
            </c:numRef>
          </c:val>
        </c:ser>
        <c:dLbls>
          <c:showLegendKey val="0"/>
          <c:showVal val="1"/>
          <c:showCatName val="0"/>
          <c:showSerName val="0"/>
          <c:showPercent val="0"/>
          <c:showBubbleSize val="0"/>
        </c:dLbls>
        <c:gapWidth val="75"/>
        <c:overlap val="-25"/>
        <c:axId val="475090058"/>
        <c:axId val="179336570"/>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Sheet1!$A$2:$A$5</c15:sqref>
                        </c15:formulaRef>
                      </c:ext>
                    </c:extLst>
                    <c:strCache>
                      <c:ptCount val="4"/>
                      <c:pt idx="0">
                        <c:v>收入合计（万元）</c:v>
                      </c:pt>
                      <c:pt idx="1">
                        <c:v>支出合计（万元）</c:v>
                      </c:pt>
                    </c:strCache>
                  </c:strRef>
                </c:cat>
                <c:val>
                  <c:numRef>
                    <c:extLst>
                      <c:ext uri="{02D57815-91ED-43cb-92C2-25804820EDAC}">
                        <c15:formulaRef>
                          <c15:sqref>Sheet1!$D$2:$D$5</c15:sqref>
                        </c15:formulaRef>
                      </c:ext>
                    </c:extLst>
                    <c:numCache>
                      <c:formatCode>General</c:formatCode>
                      <c:ptCount val="4"/>
                    </c:numCache>
                  </c:numRef>
                </c:val>
              </c15:ser>
            </c15:filteredBarSeries>
          </c:ext>
        </c:extLst>
      </c:barChart>
      <c:catAx>
        <c:axId val="47509005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9336570"/>
        <c:crosses val="autoZero"/>
        <c:auto val="1"/>
        <c:lblAlgn val="ctr"/>
        <c:lblOffset val="100"/>
        <c:noMultiLvlLbl val="0"/>
      </c:catAx>
      <c:valAx>
        <c:axId val="17933657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509005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"财政拨款收入"</c:f>
              <c:strCache>
                <c:ptCount val="1"/>
                <c:pt idx="0">
                  <c:v>财政拨款收入</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strRef>
              <c:f>Sheet1!$A$2:$A$5</c:f>
              <c:strCache>
                <c:ptCount val="4"/>
                <c:pt idx="0">
                  <c:v>类别 1</c:v>
                </c:pt>
              </c:strCache>
            </c:strRef>
          </c:cat>
          <c:val>
            <c:numRef>
              <c:f>{1009.94}</c:f>
              <c:numCache>
                <c:formatCode>General</c:formatCode>
                <c:ptCount val="1"/>
                <c:pt idx="0">
                  <c:v>1009.94</c:v>
                </c:pt>
              </c:numCache>
            </c:numRef>
          </c:val>
        </c:ser>
        <c:ser>
          <c:idx val="1"/>
          <c:order val="1"/>
          <c:tx>
            <c:strRef>
              <c:f>"事业收入"</c:f>
              <c:strCache>
                <c:ptCount val="1"/>
                <c:pt idx="0">
                  <c:v>事业收入</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strRef>
              <c:f>Sheet1!$A$2:$A$5</c:f>
              <c:strCache>
                <c:ptCount val="4"/>
                <c:pt idx="0">
                  <c:v>类别 1</c:v>
                </c:pt>
              </c:strCache>
            </c:strRef>
          </c:cat>
          <c:val>
            <c:numRef>
              <c:f>{0}</c:f>
              <c:numCache>
                <c:formatCode>General</c:formatCode>
                <c:ptCount val="1"/>
                <c:pt idx="0">
                  <c:v>0</c:v>
                </c:pt>
              </c:numCache>
            </c:numRef>
          </c:val>
        </c:ser>
        <c:ser>
          <c:idx val="2"/>
          <c:order val="2"/>
          <c:tx>
            <c:strRef>
              <c:f>"经营收入"</c:f>
              <c:strCache>
                <c:ptCount val="1"/>
                <c:pt idx="0">
                  <c:v>经营收入</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strRef>
              <c:f>Sheet1!$A$2:$A$5</c:f>
              <c:strCache>
                <c:ptCount val="4"/>
                <c:pt idx="0">
                  <c:v>类别 1</c:v>
                </c:pt>
              </c:strCache>
            </c:strRef>
          </c:cat>
          <c:val>
            <c:numRef>
              <c:f>{0}</c:f>
              <c:numCache>
                <c:formatCode>General</c:formatCode>
                <c:ptCount val="1"/>
                <c:pt idx="0">
                  <c:v>0</c:v>
                </c:pt>
              </c:numCache>
            </c:numRef>
          </c:val>
        </c:ser>
        <c:ser>
          <c:idx val="3"/>
          <c:order val="3"/>
          <c:tx>
            <c:strRef>
              <c:f>"其他收入"</c:f>
              <c:strCache>
                <c:ptCount val="1"/>
                <c:pt idx="0">
                  <c:v>其他收入</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strRef>
              <c:f>Sheet1!$A$2:$A$5</c:f>
              <c:strCache>
                <c:ptCount val="4"/>
                <c:pt idx="0">
                  <c:v>类别 1</c:v>
                </c:pt>
              </c:strCache>
            </c:strRef>
          </c:cat>
          <c:val>
            <c:numRef>
              <c:f>{0}</c:f>
              <c:numCache>
                <c:formatCode>General</c:formatCode>
                <c:ptCount val="1"/>
                <c:pt idx="0">
                  <c:v>0</c:v>
                </c:pt>
              </c:numCache>
            </c:numRef>
          </c:val>
        </c:ser>
        <c:dLbls>
          <c:showLegendKey val="0"/>
          <c:showVal val="0"/>
          <c:showCatName val="0"/>
          <c:showSerName val="0"/>
          <c:showPercent val="0"/>
          <c:showBubbleSize val="0"/>
        </c:dLbls>
        <c:gapWidth val="100"/>
        <c:overlap val="-24"/>
        <c:axId val="918754970"/>
        <c:axId val="711883179"/>
        <c:extLst>
          <c:ext xmlns:c15="http://schemas.microsoft.com/office/drawing/2012/chart" uri="{02D57815-91ED-43cb-92C2-25804820EDAC}">
            <c15:filteredBarSeries>
              <c15:ser>
                <c:idx val="4"/>
                <c:order val="4"/>
                <c:tx>
                  <c:strRef>
                    <c:extLst>
                      <c:ext uri="{02D57815-91ED-43cb-92C2-25804820EDAC}">
                        <c15:formulaRef>
                          <c15:sqref>"年初结转和结余"</c15:sqref>
                        </c15:formulaRef>
                      </c:ext>
                    </c:extLst>
                    <c:strCache>
                      <c:ptCount val="1"/>
                      <c:pt idx="0">
                        <c:v>年初结转和结余</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strRef>
                    <c:extLst>
                      <c:ext uri="{02D57815-91ED-43cb-92C2-25804820EDAC}">
                        <c15:fullRef>
                          <c15:sqref/>
                        </c15:fullRef>
                        <c15:formulaRef>
                          <c15:sqref>Sheet1!$A$2:$A$5</c15:sqref>
                        </c15:formulaRef>
                      </c:ext>
                    </c:extLst>
                    <c:strCache>
                      <c:ptCount val="4"/>
                      <c:pt idx="0">
                        <c:v>类别 1</c:v>
                      </c:pt>
                    </c:strCache>
                  </c:strRef>
                </c:cat>
                <c:val>
                  <c:numRef>
                    <c:extLst>
                      <c:ext uri="{02D57815-91ED-43cb-92C2-25804820EDAC}">
                        <c15:formulaRef>
                          <c15:sqref>{23}</c15:sqref>
                        </c15:formulaRef>
                      </c:ext>
                    </c:extLst>
                    <c:numCache>
                      <c:formatCode>General</c:formatCode>
                      <c:ptCount val="1"/>
                      <c:pt idx="0">
                        <c:v>23</c:v>
                      </c:pt>
                    </c:numCache>
                  </c:numRef>
                </c:val>
              </c15:ser>
            </c15:filteredBarSeries>
          </c:ext>
        </c:extLst>
      </c:barChart>
      <c:catAx>
        <c:axId val="918754970"/>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1883179"/>
        <c:crosses val="autoZero"/>
        <c:auto val="1"/>
        <c:lblAlgn val="ctr"/>
        <c:lblOffset val="100"/>
        <c:noMultiLvlLbl val="0"/>
      </c:catAx>
      <c:valAx>
        <c:axId val="7118831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875497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 71.51%</a:t>
                    </a:r>
                  </a:p>
                </c:rich>
              </c:tx>
              <c:dLblPos val="inEnd"/>
              <c:showLegendKey val="0"/>
              <c:showVal val="1"/>
              <c:showCatName val="1"/>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项目支出, 29.49%</a:t>
                    </a:r>
                  </a:p>
                </c:rich>
              </c:tx>
              <c:dLblPos val="inEnd"/>
              <c:showLegendKey val="0"/>
              <c:showVal val="1"/>
              <c:showCatName val="1"/>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经营支出, 0%</a:t>
                    </a:r>
                  </a:p>
                </c:rich>
              </c:tx>
              <c:dLblPos val="inEnd"/>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pt idx="2">
                  <c:v>经营支出</c:v>
                </c:pt>
              </c:strCache>
            </c:strRef>
          </c:cat>
          <c:val>
            <c:numRef>
              <c:f>Sheet1!$B$2:$B$5</c:f>
              <c:numCache>
                <c:formatCode>0.00%</c:formatCode>
                <c:ptCount val="4"/>
                <c:pt idx="0">
                  <c:v>0.7151</c:v>
                </c:pt>
                <c:pt idx="1">
                  <c:v>0.2949</c:v>
                </c:pt>
                <c:pt idx="2" c:formatCode="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2018年</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Sheet1!$A$2:$A$5</c15:sqref>
                  </c15:fullRef>
                </c:ext>
              </c:extLst>
              <c:f>(Sheet1!$A$2,Sheet1!$A$5)</c:f>
              <c:strCache>
                <c:ptCount val="2"/>
                <c:pt idx="0">
                  <c:v>财政拨款收入（万元）</c:v>
                </c:pt>
                <c:pt idx="1">
                  <c:v>财政拨款支出（万元）</c:v>
                </c:pt>
              </c:strCache>
            </c:strRef>
          </c:cat>
          <c:val>
            <c:numRef>
              <c:extLst>
                <c:ext xmlns:c15="http://schemas.microsoft.com/office/drawing/2012/chart" uri="{02D57815-91ED-43cb-92C2-25804820EDAC}">
                  <c15:fullRef>
                    <c15:sqref>Sheet1!$B$2:$B$5</c15:sqref>
                  </c15:fullRef>
                </c:ext>
              </c:extLst>
              <c:f>(Sheet1!$B$2,Sheet1!$B$5)</c:f>
              <c:numCache>
                <c:formatCode>General</c:formatCode>
                <c:ptCount val="2"/>
                <c:pt idx="0">
                  <c:v>811.09</c:v>
                </c:pt>
                <c:pt idx="1">
                  <c:v>788.09</c:v>
                </c:pt>
              </c:numCache>
            </c:numRef>
          </c:val>
        </c:ser>
        <c:ser>
          <c:idx val="1"/>
          <c:order val="1"/>
          <c:tx>
            <c:strRef>
              <c:f>Sheet1!$C$1</c:f>
              <c:strCache>
                <c:ptCount val="1"/>
                <c:pt idx="0">
                  <c:v>2019年</c:v>
                </c:pt>
              </c:strCache>
            </c:strRef>
          </c:tx>
          <c:spPr>
            <a:solidFill>
              <a:schemeClr val="accent2"/>
            </a:solidFill>
            <a:ln>
              <a:noFill/>
            </a:ln>
            <a:effectLst/>
          </c:spPr>
          <c:invertIfNegative val="0"/>
          <c:dLbls>
            <c:delete val="1"/>
          </c:dLbls>
          <c:cat>
            <c:strRef>
              <c:extLst>
                <c:ext xmlns:c15="http://schemas.microsoft.com/office/drawing/2012/chart" uri="{02D57815-91ED-43cb-92C2-25804820EDAC}">
                  <c15:fullRef>
                    <c15:sqref>Sheet1!$A$2:$A$5</c15:sqref>
                  </c15:fullRef>
                </c:ext>
              </c:extLst>
              <c:f>(Sheet1!$A$2,Sheet1!$A$5)</c:f>
              <c:strCache>
                <c:ptCount val="2"/>
                <c:pt idx="0">
                  <c:v>财政拨款收入（万元）</c:v>
                </c:pt>
                <c:pt idx="1">
                  <c:v>财政拨款支出（万元）</c:v>
                </c:pt>
              </c:strCache>
            </c:strRef>
          </c:cat>
          <c:val>
            <c:numRef>
              <c:extLst>
                <c:ext xmlns:c15="http://schemas.microsoft.com/office/drawing/2012/chart" uri="{02D57815-91ED-43cb-92C2-25804820EDAC}">
                  <c15:fullRef>
                    <c15:sqref>Sheet1!$C$2:$C$5</c15:sqref>
                  </c15:fullRef>
                </c:ext>
              </c:extLst>
              <c:f>(Sheet1!$C$2,Sheet1!$C$5)</c:f>
              <c:numCache>
                <c:formatCode>General</c:formatCode>
                <c:ptCount val="2"/>
                <c:pt idx="0">
                  <c:v>1009.94</c:v>
                </c:pt>
                <c:pt idx="1">
                  <c:v>1021.89</c:v>
                </c:pt>
              </c:numCache>
            </c:numRef>
          </c:val>
        </c:ser>
        <c:dLbls>
          <c:showLegendKey val="0"/>
          <c:showVal val="0"/>
          <c:showCatName val="0"/>
          <c:showSerName val="0"/>
          <c:showPercent val="0"/>
          <c:showBubbleSize val="0"/>
        </c:dLbls>
        <c:gapWidth val="219"/>
        <c:overlap val="-27"/>
        <c:axId val="937981269"/>
        <c:axId val="940037854"/>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3"/>
                  </a:solidFill>
                  <a:ln>
                    <a:noFill/>
                  </a:ln>
                  <a:effectLst/>
                </c:spPr>
                <c:invertIfNegative val="0"/>
                <c:dLbls>
                  <c:delete val="1"/>
                </c:dLbls>
                <c:cat>
                  <c:strRef>
                    <c:extLst>
                      <c:ext uri="{02D57815-91ED-43cb-92C2-25804820EDAC}">
                        <c15:fullRef>
                          <c15:sqref>Sheet1!$A$2:$A$5</c15:sqref>
                        </c15:fullRef>
                        <c15:formulaRef>
                          <c15:sqref>(Sheet1!$A$2,Sheet1!$A$5)</c15:sqref>
                        </c15:formulaRef>
                      </c:ext>
                    </c:extLst>
                    <c:strCache>
                      <c:ptCount val="2"/>
                      <c:pt idx="0">
                        <c:v>财政拨款收入（万元）</c:v>
                      </c:pt>
                      <c:pt idx="1">
                        <c:v>财政拨款支出（万元）</c:v>
                      </c:pt>
                    </c:strCache>
                  </c:strRef>
                </c:cat>
                <c:val>
                  <c:numRef>
                    <c:extLst>
                      <c:ext uri="{02D57815-91ED-43cb-92C2-25804820EDAC}">
                        <c15:fullRef>
                          <c15:sqref>Sheet1!$D$2:$D$5</c15:sqref>
                        </c15:fullRef>
                        <c15:formulaRef>
                          <c15:sqref>(Sheet1!$D$2,Sheet1!$D$5)</c15:sqref>
                        </c15:formulaRef>
                      </c:ext>
                    </c:extLst>
                    <c:numCache>
                      <c:formatCode>General</c:formatCode>
                      <c:ptCount val="2"/>
                      <c:pt idx="0">
                        <c:v>2</c:v>
                      </c:pt>
                      <c:pt idx="1">
                        <c:v>5</c:v>
                      </c:pt>
                    </c:numCache>
                  </c:numRef>
                </c:val>
              </c15:ser>
            </c15:filteredBarSeries>
          </c:ext>
        </c:extLst>
      </c:barChart>
      <c:catAx>
        <c:axId val="9379812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0037854"/>
        <c:crosses val="autoZero"/>
        <c:auto val="1"/>
        <c:lblAlgn val="ctr"/>
        <c:lblOffset val="100"/>
        <c:noMultiLvlLbl val="0"/>
      </c:catAx>
      <c:valAx>
        <c:axId val="9400378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79812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Sheet1!$A$2:$A$5</c15:sqref>
                  </c15:fullRef>
                </c:ext>
              </c:extLst>
              <c:f>(Sheet1!$A$2,Sheet1!$A$5)</c:f>
              <c:strCache>
                <c:ptCount val="2"/>
                <c:pt idx="0">
                  <c:v>2018年财政拨款支出（万元）</c:v>
                </c:pt>
                <c:pt idx="1">
                  <c:v>2019年财政拨款支出（万元）</c:v>
                </c:pt>
              </c:strCache>
            </c:strRef>
          </c:cat>
          <c:val>
            <c:numRef>
              <c:extLst>
                <c:ext xmlns:c15="http://schemas.microsoft.com/office/drawing/2012/chart" uri="{02D57815-91ED-43cb-92C2-25804820EDAC}">
                  <c15:fullRef>
                    <c15:sqref>Sheet1!$B$2:$B$5</c15:sqref>
                  </c15:fullRef>
                </c:ext>
              </c:extLst>
              <c:f>(Sheet1!$B$2,Sheet1!$B$5)</c:f>
              <c:numCache>
                <c:formatCode>General</c:formatCode>
                <c:ptCount val="2"/>
                <c:pt idx="0">
                  <c:v>788.09</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extLst>
                <c:ext xmlns:c15="http://schemas.microsoft.com/office/drawing/2012/chart" uri="{02D57815-91ED-43cb-92C2-25804820EDAC}">
                  <c15:fullRef>
                    <c15:sqref>Sheet1!$A$2:$A$5</c15:sqref>
                  </c15:fullRef>
                </c:ext>
              </c:extLst>
              <c:f>(Sheet1!$A$2,Sheet1!$A$5)</c:f>
              <c:strCache>
                <c:ptCount val="2"/>
                <c:pt idx="0">
                  <c:v>2018年财政拨款支出（万元）</c:v>
                </c:pt>
                <c:pt idx="1">
                  <c:v>2019年财政拨款支出（万元）</c:v>
                </c:pt>
              </c:strCache>
            </c:strRef>
          </c:cat>
          <c:val>
            <c:numRef>
              <c:extLst>
                <c:ext xmlns:c15="http://schemas.microsoft.com/office/drawing/2012/chart" uri="{02D57815-91ED-43cb-92C2-25804820EDAC}">
                  <c15:fullRef>
                    <c15:sqref>Sheet1!$C$2:$C$5</c15:sqref>
                  </c15:fullRef>
                </c:ext>
              </c:extLst>
              <c:f>(Sheet1!$C$2,Sheet1!$C$5)</c:f>
              <c:numCache>
                <c:formatCode>General</c:formatCode>
                <c:ptCount val="2"/>
                <c:pt idx="1">
                  <c:v>1021.89</c:v>
                </c:pt>
              </c:numCache>
            </c:numRef>
          </c:val>
        </c:ser>
        <c:dLbls>
          <c:showLegendKey val="0"/>
          <c:showVal val="0"/>
          <c:showCatName val="0"/>
          <c:showSerName val="0"/>
          <c:showPercent val="0"/>
          <c:showBubbleSize val="0"/>
        </c:dLbls>
        <c:gapWidth val="219"/>
        <c:overlap val="-27"/>
        <c:axId val="937981269"/>
        <c:axId val="940037854"/>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Sheet1!$A$2:$A$5</c15:sqref>
                        </c15:fullRef>
                        <c15:formulaRef>
                          <c15:sqref>(Sheet1!$A$2,Sheet1!$A$5)</c15:sqref>
                        </c15:formulaRef>
                      </c:ext>
                    </c:extLst>
                    <c:strCache>
                      <c:ptCount val="2"/>
                      <c:pt idx="0">
                        <c:v>2018年财政拨款支出（万元）</c:v>
                      </c:pt>
                      <c:pt idx="1">
                        <c:v>2019年财政拨款支出（万元）</c:v>
                      </c:pt>
                    </c:strCache>
                  </c:strRef>
                </c:cat>
                <c:val>
                  <c:numRef>
                    <c:extLst>
                      <c:ext uri="{02D57815-91ED-43cb-92C2-25804820EDAC}">
                        <c15:fullRef>
                          <c15:sqref>Sheet1!$D$2:$D$5</c15:sqref>
                        </c15:fullRef>
                        <c15:formulaRef>
                          <c15:sqref>(Sheet1!$D$2,Sheet1!$D$5)</c15:sqref>
                        </c15:formulaRef>
                      </c:ext>
                    </c:extLst>
                    <c:numCache>
                      <c:formatCode>General</c:formatCode>
                      <c:ptCount val="2"/>
                    </c:numCache>
                  </c:numRef>
                </c:val>
              </c15:ser>
            </c15:filteredBarSeries>
          </c:ext>
        </c:extLst>
      </c:barChart>
      <c:catAx>
        <c:axId val="9379812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0037854"/>
        <c:crosses val="autoZero"/>
        <c:auto val="1"/>
        <c:lblAlgn val="ctr"/>
        <c:lblOffset val="100"/>
        <c:noMultiLvlLbl val="0"/>
      </c:catAx>
      <c:valAx>
        <c:axId val="9400378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79812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因公出国（境）费用支出（万元）</c:v>
                </c:pt>
                <c:pt idx="1">
                  <c:v>公务用车购置费用支出（万元）</c:v>
                </c:pt>
                <c:pt idx="2">
                  <c:v>公务用车运行维护费支出（万元）</c:v>
                </c:pt>
                <c:pt idx="3">
                  <c:v>公务接待费支出（万元）</c:v>
                </c:pt>
              </c:strCache>
            </c:strRef>
          </c:cat>
          <c:val>
            <c:numRef>
              <c:f>Sheet1!$B$2:$B$5</c:f>
              <c:numCache>
                <c:formatCode>General</c:formatCode>
                <c:ptCount val="4"/>
                <c:pt idx="0">
                  <c:v>0</c:v>
                </c:pt>
                <c:pt idx="1">
                  <c:v>0</c:v>
                </c:pt>
                <c:pt idx="2">
                  <c:v>14.51</c:v>
                </c:pt>
                <c:pt idx="3">
                  <c:v>0</c:v>
                </c:pt>
              </c:numCache>
            </c:numRef>
          </c:val>
        </c:ser>
        <c:dLbls>
          <c:showLegendKey val="0"/>
          <c:showVal val="0"/>
          <c:showCatName val="0"/>
          <c:showSerName val="0"/>
          <c:showPercent val="0"/>
          <c:showBubbleSize val="0"/>
        </c:dLbls>
        <c:gapWidth val="219"/>
        <c:overlap val="-27"/>
        <c:axId val="876328584"/>
        <c:axId val="220549338"/>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Sheet1!$A$2:$A$5</c15:sqref>
                        </c15:formulaRef>
                      </c:ext>
                    </c:extLst>
                    <c:strCache>
                      <c:ptCount val="4"/>
                      <c:pt idx="0">
                        <c:v>因公出国（境）费用支出（万元）</c:v>
                      </c:pt>
                      <c:pt idx="1">
                        <c:v>公务用车购置费用支出（万元）</c:v>
                      </c:pt>
                      <c:pt idx="2">
                        <c:v>公务用车运行维护费支出（万元）</c:v>
                      </c:pt>
                      <c:pt idx="3">
                        <c:v>公务接待费支出（万元）</c:v>
                      </c:pt>
                    </c:strCache>
                  </c:strRef>
                </c:cat>
                <c:val>
                  <c:numRef>
                    <c:extLst>
                      <c:ext uri="{02D57815-91ED-43cb-92C2-25804820EDAC}">
                        <c15:formulaRef>
                          <c15:sqref>Sheet1!$C$2:$C$5</c15:sqref>
                        </c15:formulaRef>
                      </c:ext>
                    </c:extLst>
                    <c:numCache>
                      <c:formatCode>General</c:formatCode>
                      <c:ptCount val="4"/>
                      <c:pt idx="0">
                        <c:v>0</c:v>
                      </c:pt>
                      <c:pt idx="1">
                        <c:v>0</c:v>
                      </c:pt>
                      <c:pt idx="2">
                        <c:v>0</c:v>
                      </c:pt>
                      <c:pt idx="3">
                        <c:v>0</c:v>
                      </c:pt>
                    </c:numCache>
                  </c:numRef>
                </c:val>
              </c15:ser>
            </c15:filteredBarSeries>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Sheet1!$A$2:$A$5</c15:sqref>
                        </c15:formulaRef>
                      </c:ext>
                    </c:extLst>
                    <c:strCache>
                      <c:ptCount val="4"/>
                      <c:pt idx="0">
                        <c:v>因公出国（境）费用支出（万元）</c:v>
                      </c:pt>
                      <c:pt idx="1">
                        <c:v>公务用车购置费用支出（万元）</c:v>
                      </c:pt>
                      <c:pt idx="2">
                        <c:v>公务用车运行维护费支出（万元）</c:v>
                      </c:pt>
                      <c:pt idx="3">
                        <c:v>公务接待费支出（万元）</c:v>
                      </c:pt>
                    </c:strCache>
                  </c:strRef>
                </c:cat>
                <c:val>
                  <c:numRef>
                    <c:extLst>
                      <c:ext uri="{02D57815-91ED-43cb-92C2-25804820EDAC}">
                        <c15:formulaRef>
                          <c15:sqref>Sheet1!$D$2:$D$5</c15:sqref>
                        </c15:formulaRef>
                      </c:ext>
                    </c:extLst>
                    <c:numCache>
                      <c:formatCode>General</c:formatCode>
                      <c:ptCount val="4"/>
                      <c:pt idx="0">
                        <c:v>0</c:v>
                      </c:pt>
                      <c:pt idx="1">
                        <c:v>0</c:v>
                      </c:pt>
                      <c:pt idx="2">
                        <c:v>0</c:v>
                      </c:pt>
                      <c:pt idx="3">
                        <c:v>0</c:v>
                      </c:pt>
                    </c:numCache>
                  </c:numRef>
                </c:val>
              </c15:ser>
            </c15:filteredBarSeries>
          </c:ext>
        </c:extLst>
      </c:barChart>
      <c:catAx>
        <c:axId val="8763285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0549338"/>
        <c:crosses val="autoZero"/>
        <c:auto val="1"/>
        <c:lblAlgn val="ctr"/>
        <c:lblOffset val="100"/>
        <c:noMultiLvlLbl val="0"/>
      </c:catAx>
      <c:valAx>
        <c:axId val="22054933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63285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Otomi</cp:lastModifiedBy>
  <cp:lastPrinted>2020-10-28T08:44:00Z</cp:lastPrinted>
  <dcterms:modified xsi:type="dcterms:W3CDTF">2023-10-26T02:05:30Z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BD8C7424FCB44FBABBBF6099B6A1CBDC_12</vt:lpwstr>
  </property>
</Properties>
</file>