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sz w:val="44"/>
          <w:szCs w:val="44"/>
          <w:lang w:eastAsia="zh-CN"/>
        </w:rPr>
      </w:pPr>
      <w:r>
        <w:rPr>
          <w:rStyle w:val="9"/>
          <w:rFonts w:hint="eastAsia" w:ascii="方正小标宋简体" w:hAnsi="方正小标宋简体" w:eastAsia="方正小标宋简体" w:cs="方正小标宋简体"/>
          <w:sz w:val="44"/>
          <w:szCs w:val="44"/>
          <w:lang w:eastAsia="zh-CN"/>
        </w:rPr>
        <w:t>阎良区公共就业和人才交流综合服务中心</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hint="eastAsia"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default" w:eastAsia="仿宋_GB2312"/>
          <w:lang w:val="en-US" w:eastAsia="zh-CN"/>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sz w:val="32"/>
          <w:szCs w:val="32"/>
        </w:rPr>
      </w:pPr>
      <w:r>
        <w:rPr>
          <w:rFonts w:hint="eastAsia" w:ascii="楷体" w:hAnsi="楷体" w:eastAsia="楷体" w:cs="楷体"/>
          <w:b/>
          <w:bCs/>
          <w:color w:val="000000"/>
          <w:kern w:val="0"/>
          <w:sz w:val="32"/>
          <w:szCs w:val="32"/>
          <w:lang w:bidi="ar"/>
        </w:rPr>
        <w:t>（一）主要职责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1.贯彻落实国家有关就业和人才工作的方针政策和法律法规，拟定全区就业和人才公共服务发展规划和年度工作计划，并负责组织实施。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2.负责全区就业、失业统计工作，就业、失业人员登记、证件办理和日常管理工作。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3.负责免费提供就业政策法规咨询、求职登记、职业指导、技能鉴定申报、职业介绍等“一站式”公共就业服务工作，组织开展职业技能培训、创业培训工作。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4.负责审核发放就业、再就业补贴，就业困难审核认定，小额担保贷款的审核、发放、回收和管理工作。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5.负责全区高校毕业生就业服务工作。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6.承办人事代理，高校毕业生和流动人才的档案接收和管理工作、流动人员社会保险代理、专业技术人员和非公经济组织人才服务工作，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7.负责给国有性质单位人才引进、评价、推荐等服务工作，搭建区域人才交流合作平台。</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cs="楷体"/>
          <w:b/>
          <w:bCs/>
          <w:color w:val="000000"/>
          <w:kern w:val="0"/>
          <w:sz w:val="32"/>
          <w:szCs w:val="32"/>
          <w:lang w:eastAsia="zh-CN" w:bidi="ar"/>
        </w:rPr>
      </w:pPr>
      <w:r>
        <w:rPr>
          <w:rFonts w:hint="eastAsia" w:ascii="仿宋_GB2312" w:hAnsi="仿宋_GB2312" w:eastAsia="仿宋_GB2312" w:cs="仿宋_GB2312"/>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西安市阎良区公共就业和人才交流综合服务中心</w:t>
            </w:r>
          </w:p>
        </w:tc>
      </w:tr>
    </w:tbl>
    <w:p>
      <w:pPr>
        <w:ind w:firstLine="640"/>
        <w:rPr>
          <w:rFonts w:ascii="仿宋_GB2312" w:hAnsi="仿宋_GB2312" w:eastAsia="仿宋_GB2312" w:cs="仿宋_GB2312"/>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截止2019年底，本部门人员编制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人，其中事业编制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人，其中事业</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bookmarkStart w:id="4" w:name="_GoBack"/>
      <w:bookmarkEnd w:id="4"/>
      <w:r>
        <w:rPr>
          <w:rFonts w:hint="eastAsia" w:eastAsia="宋体"/>
          <w:lang w:eastAsia="zh-C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134620</wp:posOffset>
            </wp:positionV>
            <wp:extent cx="5086350" cy="3810000"/>
            <wp:effectExtent l="4445" t="4445" r="14605" b="14605"/>
            <wp:wrapSquare wrapText="bothSides"/>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widowControl/>
        <w:jc w:val="center"/>
        <w:rPr>
          <w:rFonts w:hint="eastAsia" w:ascii="黑体" w:hAnsi="宋体" w:eastAsia="黑体"/>
          <w:color w:val="000000"/>
          <w:kern w:val="0"/>
          <w:sz w:val="44"/>
          <w:szCs w:val="44"/>
          <w:lang w:eastAsia="zh-CN"/>
        </w:rPr>
      </w:pPr>
    </w:p>
    <w:p>
      <w:pPr>
        <w:widowControl/>
        <w:jc w:val="center"/>
        <w:rPr>
          <w:rFonts w:hint="eastAsia" w:ascii="黑体" w:hAnsi="宋体" w:eastAsia="黑体"/>
          <w:color w:val="000000"/>
          <w:kern w:val="0"/>
          <w:sz w:val="44"/>
          <w:szCs w:val="44"/>
          <w:lang w:eastAsia="zh-CN"/>
        </w:rPr>
      </w:pPr>
    </w:p>
    <w:p>
      <w:pPr>
        <w:widowControl/>
        <w:jc w:val="center"/>
        <w:rPr>
          <w:rFonts w:hint="eastAsia" w:ascii="黑体" w:hAnsi="宋体" w:eastAsia="黑体"/>
          <w:color w:val="000000"/>
          <w:kern w:val="0"/>
          <w:sz w:val="44"/>
          <w:szCs w:val="44"/>
          <w:lang w:eastAsia="zh-CN"/>
        </w:rPr>
      </w:pPr>
    </w:p>
    <w:p>
      <w:pPr>
        <w:widowControl/>
        <w:jc w:val="center"/>
        <w:rPr>
          <w:rFonts w:hint="eastAsia" w:ascii="黑体" w:hAnsi="宋体" w:eastAsia="黑体"/>
          <w:color w:val="000000"/>
          <w:kern w:val="0"/>
          <w:sz w:val="44"/>
          <w:szCs w:val="44"/>
          <w:lang w:eastAsia="zh-CN"/>
        </w:rPr>
      </w:pPr>
    </w:p>
    <w:p>
      <w:pPr>
        <w:widowControl/>
        <w:jc w:val="center"/>
        <w:rPr>
          <w:sz w:val="44"/>
          <w:szCs w:val="44"/>
        </w:rPr>
      </w:pPr>
      <w:r>
        <w:rPr>
          <w:rFonts w:hint="eastAsia" w:ascii="黑体" w:hAnsi="宋体" w:eastAsia="黑体"/>
          <w:color w:val="000000"/>
          <w:kern w:val="0"/>
          <w:sz w:val="44"/>
          <w:szCs w:val="44"/>
          <w:lang w:eastAsia="zh-CN"/>
        </w:rPr>
        <w:t>第二</w:t>
      </w:r>
      <w:r>
        <w:rPr>
          <w:rFonts w:ascii="黑体" w:hAnsi="宋体" w:eastAsia="黑体"/>
          <w:color w:val="000000"/>
          <w:kern w:val="0"/>
          <w:sz w:val="44"/>
          <w:szCs w:val="44"/>
        </w:rPr>
        <w:t>部分2019年度部门决算表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无基金</w:t>
            </w: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1231.11</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405.54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3.67</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582.14</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1231.11</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991.35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575.04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814.80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1806.15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1806.15</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9010" w:type="dxa"/>
        <w:tblInd w:w="0" w:type="dxa"/>
        <w:tblLayout w:type="fixed"/>
        <w:tblCellMar>
          <w:top w:w="15" w:type="dxa"/>
          <w:left w:w="15" w:type="dxa"/>
          <w:bottom w:w="15" w:type="dxa"/>
          <w:right w:w="15" w:type="dxa"/>
        </w:tblCellMar>
      </w:tblPr>
      <w:tblGrid>
        <w:gridCol w:w="927"/>
        <w:gridCol w:w="2633"/>
        <w:gridCol w:w="903"/>
        <w:gridCol w:w="847"/>
        <w:gridCol w:w="533"/>
        <w:gridCol w:w="467"/>
        <w:gridCol w:w="1050"/>
        <w:gridCol w:w="450"/>
        <w:gridCol w:w="666"/>
        <w:gridCol w:w="534"/>
      </w:tblGrid>
      <w:tr>
        <w:tblPrEx>
          <w:tblCellMar>
            <w:top w:w="15" w:type="dxa"/>
            <w:left w:w="15" w:type="dxa"/>
            <w:bottom w:w="15" w:type="dxa"/>
            <w:right w:w="15" w:type="dxa"/>
          </w:tblCellMar>
        </w:tblPrEx>
        <w:trPr>
          <w:trHeight w:val="439" w:hRule="atLeast"/>
        </w:trPr>
        <w:tc>
          <w:tcPr>
            <w:tcW w:w="3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0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5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5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4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6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5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66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633"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color w:val="000000"/>
                <w:kern w:val="0"/>
                <w:sz w:val="21"/>
                <w:szCs w:val="21"/>
              </w:rPr>
            </w:pPr>
            <w:r>
              <w:rPr>
                <w:rFonts w:hint="eastAsia" w:ascii="宋体" w:hAnsi="宋体" w:eastAsia="宋体" w:cs="宋体"/>
                <w:b/>
                <w:color w:val="000000"/>
                <w:sz w:val="21"/>
                <w:szCs w:val="21"/>
              </w:rPr>
              <w:t>其</w:t>
            </w:r>
            <w:r>
              <w:rPr>
                <w:rFonts w:hint="eastAsia" w:ascii="宋体" w:hAnsi="宋体" w:eastAsia="宋体" w:cs="宋体"/>
                <w:b/>
                <w:bCs/>
                <w:color w:val="000000"/>
                <w:kern w:val="0"/>
                <w:sz w:val="21"/>
                <w:szCs w:val="21"/>
              </w:rPr>
              <w:t>中：教育</w:t>
            </w:r>
          </w:p>
          <w:p>
            <w:pPr>
              <w:widowControl/>
              <w:jc w:val="left"/>
              <w:textAlignment w:val="center"/>
              <w:rPr>
                <w:rFonts w:ascii="宋体" w:hAnsi="宋体" w:eastAsia="宋体" w:cs="宋体"/>
                <w:b/>
                <w:color w:val="000000"/>
                <w:sz w:val="21"/>
                <w:szCs w:val="21"/>
              </w:rPr>
            </w:pPr>
            <w:r>
              <w:rPr>
                <w:rFonts w:hint="eastAsia" w:ascii="宋体" w:hAnsi="宋体" w:eastAsia="宋体" w:cs="宋体"/>
                <w:b/>
                <w:bCs/>
                <w:color w:val="000000"/>
                <w:kern w:val="0"/>
                <w:sz w:val="21"/>
                <w:szCs w:val="21"/>
              </w:rPr>
              <w:t>收费</w:t>
            </w:r>
          </w:p>
        </w:tc>
        <w:tc>
          <w:tcPr>
            <w:tcW w:w="4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59" w:hRule="atLeast"/>
        </w:trPr>
        <w:tc>
          <w:tcPr>
            <w:tcW w:w="3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1231.11</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1231.11</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社会保障和就业支出</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405.53</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405.53</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20801</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人力资源和社会保障管理事务</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200.16</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200.16</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2080101</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行政运行</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151.82</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151.82</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2080106</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就业管理事务</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23.75</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23.75</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2080109</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社会保险经办机构</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24.59</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24.59</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20805</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行政事业单位离退休</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12.99</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12.99</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2080505</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机关事业单位基本养老保险缴费支出</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12.99</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12.99</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20807</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就业补助</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190.49</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190.49</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2080799</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其他就业补助支出</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190.49</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190.49</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20899</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其他社会保障和就业支出</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1.89</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1.89</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2089901</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其他社会保障和就业支出</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1.89</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1.89</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210</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卫生健康支出</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3.66</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3.66</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21011</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行政事业单位医疗</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3.66</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3.66</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2101101</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行政单位医疗</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2.90</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2.90</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2101102</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事业单位医疗</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0.76</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0.76</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农林水支出</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821.90</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821.90</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21307</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农村综合改革</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0.90</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0.90</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2130701</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对村级一事一议的补助</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0.90</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0.90</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21308</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普惠金融发展支出</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821.00</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821.00</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02"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2130804</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创业担保贷款贴息</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700.00</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700.00</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2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2130899</w:t>
            </w:r>
          </w:p>
        </w:tc>
        <w:tc>
          <w:tcPr>
            <w:tcW w:w="2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 xml:space="preserve">  其他普惠金融发展支出</w:t>
            </w:r>
          </w:p>
        </w:tc>
        <w:tc>
          <w:tcPr>
            <w:tcW w:w="9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121.00</w:t>
            </w:r>
          </w:p>
        </w:tc>
        <w:tc>
          <w:tcPr>
            <w:tcW w:w="84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sz w:val="21"/>
                <w:szCs w:val="21"/>
              </w:rPr>
              <w:t>121.00</w:t>
            </w:r>
          </w:p>
        </w:tc>
        <w:tc>
          <w:tcPr>
            <w:tcW w:w="53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66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493" w:type="dxa"/>
        <w:tblInd w:w="0" w:type="dxa"/>
        <w:tblLayout w:type="fixed"/>
        <w:tblCellMar>
          <w:top w:w="15" w:type="dxa"/>
          <w:left w:w="15" w:type="dxa"/>
          <w:bottom w:w="15" w:type="dxa"/>
          <w:right w:w="15" w:type="dxa"/>
        </w:tblCellMar>
      </w:tblPr>
      <w:tblGrid>
        <w:gridCol w:w="914"/>
        <w:gridCol w:w="83"/>
        <w:gridCol w:w="2396"/>
        <w:gridCol w:w="917"/>
        <w:gridCol w:w="800"/>
        <w:gridCol w:w="766"/>
        <w:gridCol w:w="767"/>
        <w:gridCol w:w="650"/>
        <w:gridCol w:w="1200"/>
      </w:tblGrid>
      <w:tr>
        <w:tblPrEx>
          <w:tblCellMar>
            <w:top w:w="15" w:type="dxa"/>
            <w:left w:w="15" w:type="dxa"/>
            <w:bottom w:w="15" w:type="dxa"/>
            <w:right w:w="15" w:type="dxa"/>
          </w:tblCellMar>
        </w:tblPrEx>
        <w:trPr>
          <w:trHeight w:val="372" w:hRule="atLeast"/>
        </w:trPr>
        <w:tc>
          <w:tcPr>
            <w:tcW w:w="339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7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6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39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991.35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193.07</w:t>
            </w:r>
          </w:p>
        </w:tc>
        <w:tc>
          <w:tcPr>
            <w:tcW w:w="76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798.28</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405.53</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189.40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216.13</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20801</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200.16</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176.41</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23.75</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2080101</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151.82</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151.82</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2080106</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就业管理事务</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23.75</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23.75</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2080109</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社会保险经办机构</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24.59</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24.59</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20805</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2080505</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20807</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就业补助</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190.49</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190.49</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2080799</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190.49</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190.49</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20899</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其他社会保障和就业支出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2089901</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210</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21011</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2101101</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2.90</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2101102</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0.76</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0.76</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农林水支出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582.14</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582.14</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21307</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农村综合改革</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0.90</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2130701</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0.90</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21308</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普惠金融发展支出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581.24</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581.24</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2130804</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创业担保贷款贴息</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575.04</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575.04</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r>
              <w:rPr>
                <w:rFonts w:hint="eastAsia" w:ascii="宋体" w:hAnsi="宋体" w:eastAsia="宋体" w:cs="宋体"/>
                <w:sz w:val="21"/>
                <w:szCs w:val="21"/>
              </w:rPr>
              <w:t>2130899</w:t>
            </w: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其他普惠金融发展支出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6.20</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6.20</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rPr>
            </w:pPr>
          </w:p>
        </w:tc>
        <w:tc>
          <w:tcPr>
            <w:tcW w:w="247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1231.11</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405.54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405.54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3.67</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3.67</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582.14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582.14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1231.11</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991.35</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991.35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575.04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814.80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814.80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575.04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1806.15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1806.15</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1806.15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77" w:type="dxa"/>
        <w:tblInd w:w="0" w:type="dxa"/>
        <w:tblLayout w:type="fixed"/>
        <w:tblCellMar>
          <w:top w:w="15" w:type="dxa"/>
          <w:left w:w="15" w:type="dxa"/>
          <w:bottom w:w="15" w:type="dxa"/>
          <w:right w:w="15" w:type="dxa"/>
        </w:tblCellMar>
      </w:tblPr>
      <w:tblGrid>
        <w:gridCol w:w="1170"/>
        <w:gridCol w:w="2590"/>
        <w:gridCol w:w="733"/>
        <w:gridCol w:w="783"/>
        <w:gridCol w:w="834"/>
        <w:gridCol w:w="783"/>
        <w:gridCol w:w="834"/>
        <w:gridCol w:w="1050"/>
      </w:tblGrid>
      <w:tr>
        <w:tblPrEx>
          <w:tblCellMar>
            <w:top w:w="15" w:type="dxa"/>
            <w:left w:w="15" w:type="dxa"/>
            <w:bottom w:w="15" w:type="dxa"/>
            <w:right w:w="15" w:type="dxa"/>
          </w:tblCellMar>
        </w:tblPrEx>
        <w:trPr>
          <w:trHeight w:val="377" w:hRule="atLeast"/>
        </w:trPr>
        <w:tc>
          <w:tcPr>
            <w:tcW w:w="37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7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400"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8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7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7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991.35</w:t>
            </w:r>
          </w:p>
        </w:tc>
        <w:tc>
          <w:tcPr>
            <w:tcW w:w="78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193.07</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175.81</w:t>
            </w:r>
          </w:p>
        </w:tc>
        <w:tc>
          <w:tcPr>
            <w:tcW w:w="78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17.26</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798.28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405.53</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189.40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172.14</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17.26</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216.13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20801</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200.16</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176.41</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159.15</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17.26</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2080101</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151.82</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151.82</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134.56</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17.26</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2080106</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就业管理事务</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23.75</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2080109</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社会保险经办机构</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24.59</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12.99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20807</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就业补助</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190.49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190.49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2080799</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190.49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190.49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20899</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其他社会保障和就业支出</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2089901</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1.89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0.76</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0.76</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0.76</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213</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农林水支出</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582.14</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582.14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21307</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农村综合改革</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2130701</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21308</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普惠金融发展支出</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581.24</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581.24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2130804</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创业担保贷款贴息</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575.04</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575.04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2130899</w:t>
            </w:r>
          </w:p>
        </w:tc>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其他普惠金融发展支出</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17" w:type="dxa"/>
        <w:tblInd w:w="0" w:type="dxa"/>
        <w:tblLayout w:type="fixed"/>
        <w:tblCellMar>
          <w:top w:w="15" w:type="dxa"/>
          <w:left w:w="15" w:type="dxa"/>
          <w:bottom w:w="15" w:type="dxa"/>
          <w:right w:w="15" w:type="dxa"/>
        </w:tblCellMar>
      </w:tblPr>
      <w:tblGrid>
        <w:gridCol w:w="1157"/>
        <w:gridCol w:w="2453"/>
        <w:gridCol w:w="1252"/>
        <w:gridCol w:w="1437"/>
        <w:gridCol w:w="1363"/>
        <w:gridCol w:w="1155"/>
      </w:tblGrid>
      <w:tr>
        <w:tblPrEx>
          <w:tblCellMar>
            <w:top w:w="15" w:type="dxa"/>
            <w:left w:w="15" w:type="dxa"/>
            <w:bottom w:w="15" w:type="dxa"/>
            <w:right w:w="15" w:type="dxa"/>
          </w:tblCellMar>
        </w:tblPrEx>
        <w:trPr>
          <w:trHeight w:val="434" w:hRule="atLeast"/>
        </w:trPr>
        <w:tc>
          <w:tcPr>
            <w:tcW w:w="3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2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4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6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2"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193.07</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175.81</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17.26</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175.45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175.45</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52.13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52.13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30102</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津贴补贴</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36.30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36.30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30103</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奖金</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46.28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46.28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30107</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绩效工资</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30108</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14.39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14.39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30109</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职业年金缴费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2.87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2.87</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30110</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4.70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4.70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30112</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30113</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15.19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15.19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商品和服务支出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17.25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17.26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30201</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办公费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0.71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0.71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30202</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印刷费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30205</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水费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30207</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邮电费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0.80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0.80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30211</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差旅费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4.72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4.72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30228</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工会经费</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30239</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其他交通费用</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7.18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7.18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30299</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303</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对个人和家庭的补助</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30305</w:t>
            </w:r>
          </w:p>
        </w:tc>
        <w:tc>
          <w:tcPr>
            <w:tcW w:w="24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生活补助</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0.85</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0.85</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0.25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Times New Roman"/>
          <w:color w:val="auto"/>
          <w:szCs w:val="22"/>
          <w:lang w:val="en-US" w:eastAsia="zh-CN"/>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华文仿宋" w:eastAsia="仿宋_GB2312" w:cs="华文仿宋"/>
          <w:sz w:val="32"/>
          <w:szCs w:val="32"/>
        </w:rPr>
        <w:t>2019年度本年收入合计</w:t>
      </w:r>
      <w:r>
        <w:rPr>
          <w:rFonts w:hint="eastAsia" w:ascii="仿宋_GB2312" w:hAnsi="仿宋" w:eastAsia="仿宋_GB2312"/>
          <w:sz w:val="32"/>
          <w:szCs w:val="32"/>
          <w:lang w:val="en-US" w:eastAsia="zh-CN"/>
        </w:rPr>
        <w:t>1231.11万元，</w:t>
      </w:r>
      <w:r>
        <w:rPr>
          <w:rFonts w:hint="eastAsia" w:ascii="仿宋_GB2312" w:hAnsi="仿宋" w:eastAsia="仿宋_GB2312"/>
          <w:spacing w:val="-6"/>
          <w:sz w:val="32"/>
          <w:szCs w:val="32"/>
          <w:lang w:val="en-US" w:eastAsia="zh-CN"/>
        </w:rPr>
        <w:t>较上年度增加81.34万元，</w:t>
      </w:r>
      <w:r>
        <w:rPr>
          <w:rFonts w:hint="eastAsia" w:ascii="仿宋_GB2312" w:hAnsi="仿宋" w:eastAsia="仿宋_GB2312"/>
          <w:sz w:val="32"/>
          <w:szCs w:val="32"/>
          <w:lang w:val="en-US" w:eastAsia="zh-CN"/>
        </w:rPr>
        <w:t>主要原因是国家对就业创业项目投入增加。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2019年度本年支出合计991.35万元，较上年度减少500.98万元，主要原因是其他就业补助支出及创业担保贷款贴息</w:t>
      </w:r>
      <w:r>
        <w:rPr>
          <w:rFonts w:hint="eastAsia" w:ascii="仿宋_GB2312" w:hAnsi="仿宋" w:eastAsia="仿宋_GB2312"/>
          <w:sz w:val="32"/>
          <w:szCs w:val="32"/>
          <w:lang w:eastAsia="zh-CN"/>
        </w:rPr>
        <w:t>项目支出减少</w:t>
      </w:r>
      <w:r>
        <w:rPr>
          <w:rFonts w:hint="eastAsia" w:ascii="仿宋_GB2312" w:hAnsi="仿宋" w:eastAsia="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drawing>
          <wp:anchor distT="0" distB="0" distL="114300" distR="114300" simplePos="0" relativeHeight="251660288" behindDoc="0" locked="0" layoutInCell="1" allowOverlap="1">
            <wp:simplePos x="0" y="0"/>
            <wp:positionH relativeFrom="column">
              <wp:posOffset>72390</wp:posOffset>
            </wp:positionH>
            <wp:positionV relativeFrom="paragraph">
              <wp:posOffset>247015</wp:posOffset>
            </wp:positionV>
            <wp:extent cx="5080000" cy="3810000"/>
            <wp:effectExtent l="4445" t="5080" r="20955" b="1397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2019年度收入合计1231.11万元，其中财政拨款收入1231.11万元，占100%；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drawing>
          <wp:anchor distT="0" distB="0" distL="114300" distR="114300" simplePos="0" relativeHeight="251661312" behindDoc="0" locked="0" layoutInCell="1" allowOverlap="1">
            <wp:simplePos x="0" y="0"/>
            <wp:positionH relativeFrom="column">
              <wp:posOffset>410845</wp:posOffset>
            </wp:positionH>
            <wp:positionV relativeFrom="paragraph">
              <wp:posOffset>6350</wp:posOffset>
            </wp:positionV>
            <wp:extent cx="4399915" cy="2585720"/>
            <wp:effectExtent l="4445" t="4445" r="15240" b="1968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三</w:t>
      </w:r>
      <w:r>
        <w:rPr>
          <w:rFonts w:hint="eastAsia" w:ascii="黑体" w:hAnsi="黑体" w:eastAsia="黑体"/>
          <w:color w:val="000000"/>
          <w:kern w:val="0"/>
          <w:sz w:val="32"/>
          <w:szCs w:val="32"/>
          <w:lang w:eastAsia="zh-CN" w:bidi="ar"/>
        </w:rPr>
        <w:t>、</w:t>
      </w:r>
      <w:r>
        <w:rPr>
          <w:rFonts w:hint="eastAsia" w:ascii="黑体" w:hAnsi="黑体" w:eastAsia="黑体"/>
          <w:color w:val="000000"/>
          <w:kern w:val="0"/>
          <w:sz w:val="32"/>
          <w:szCs w:val="32"/>
          <w:lang w:bidi="ar"/>
        </w:rPr>
        <w:t>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991.35</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193.07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19.48</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798.28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80.52</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62336" behindDoc="0" locked="0" layoutInCell="1" allowOverlap="1">
            <wp:simplePos x="0" y="0"/>
            <wp:positionH relativeFrom="column">
              <wp:posOffset>513715</wp:posOffset>
            </wp:positionH>
            <wp:positionV relativeFrom="paragraph">
              <wp:posOffset>18415</wp:posOffset>
            </wp:positionV>
            <wp:extent cx="4337685" cy="2893060"/>
            <wp:effectExtent l="6350" t="6350" r="18415" b="1524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eastAsia="zh-CN" w:bidi="ar"/>
        </w:rPr>
        <w:t>四</w:t>
      </w:r>
      <w:r>
        <w:rPr>
          <w:rFonts w:hint="eastAsia" w:ascii="黑体" w:hAnsi="黑体" w:eastAsia="黑体"/>
          <w:color w:val="000000"/>
          <w:kern w:val="0"/>
          <w:sz w:val="32"/>
          <w:szCs w:val="32"/>
          <w:lang w:bidi="ar"/>
        </w:rPr>
        <w:t>、财政拨款收入支出决算总体情况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lang w:eastAsia="zh-CN"/>
        </w:rPr>
        <w:t>总收入为</w:t>
      </w:r>
      <w:r>
        <w:rPr>
          <w:rFonts w:hint="eastAsia" w:ascii="仿宋_GB2312" w:hAnsi="仿宋" w:eastAsia="仿宋_GB2312"/>
          <w:sz w:val="32"/>
          <w:szCs w:val="32"/>
          <w:lang w:val="en-US" w:eastAsia="zh-CN"/>
        </w:rPr>
        <w:t>1231.11万元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上年总收入</w:t>
      </w:r>
      <w:r>
        <w:rPr>
          <w:rFonts w:hint="eastAsia" w:ascii="仿宋_GB2312" w:hAnsi="仿宋" w:eastAsia="仿宋_GB2312"/>
          <w:spacing w:val="-20"/>
          <w:sz w:val="32"/>
          <w:szCs w:val="32"/>
          <w:lang w:val="en-US" w:eastAsia="zh-CN"/>
        </w:rPr>
        <w:t>为1149.77</w:t>
      </w:r>
      <w:r>
        <w:rPr>
          <w:rFonts w:hint="eastAsia" w:ascii="仿宋_GB2312" w:hAnsi="仿宋" w:eastAsia="仿宋_GB2312"/>
          <w:sz w:val="32"/>
          <w:szCs w:val="32"/>
          <w:lang w:val="en-US" w:eastAsia="zh-CN"/>
        </w:rPr>
        <w:t>万元，</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81.34万元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主要原因为国家对就业创业项目投入增加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pacing w:val="-6"/>
          <w:sz w:val="32"/>
          <w:szCs w:val="32"/>
          <w:lang w:val="en-US" w:eastAsia="zh-CN"/>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宋体" w:eastAsia="仿宋_GB2312" w:cs="仿宋_GB2312"/>
          <w:color w:val="000000"/>
          <w:kern w:val="0"/>
          <w:sz w:val="32"/>
          <w:szCs w:val="32"/>
          <w:lang w:eastAsia="zh-CN" w:bidi="ar"/>
        </w:rPr>
        <w:t>总</w:t>
      </w:r>
      <w:r>
        <w:rPr>
          <w:rFonts w:hint="eastAsia" w:ascii="仿宋_GB2312" w:hAnsi="仿宋" w:eastAsia="仿宋_GB2312"/>
          <w:sz w:val="32"/>
          <w:szCs w:val="32"/>
        </w:rPr>
        <w:t>支出</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991.35万元，上年总支出为1492.33万元，比上年度总支出减少500.98万元，</w:t>
      </w:r>
      <w:r>
        <w:rPr>
          <w:rFonts w:hint="eastAsia" w:ascii="仿宋_GB2312" w:hAnsi="仿宋" w:eastAsia="仿宋_GB2312"/>
          <w:spacing w:val="-6"/>
          <w:sz w:val="32"/>
          <w:szCs w:val="32"/>
          <w:lang w:val="en-US" w:eastAsia="zh-CN"/>
        </w:rPr>
        <w:t>主要原因是其他就业补助支出及创业担保贷款贴息</w:t>
      </w:r>
      <w:r>
        <w:rPr>
          <w:rFonts w:hint="eastAsia" w:ascii="仿宋_GB2312" w:hAnsi="仿宋" w:eastAsia="仿宋_GB2312"/>
          <w:spacing w:val="-6"/>
          <w:sz w:val="32"/>
          <w:szCs w:val="32"/>
          <w:lang w:eastAsia="zh-CN"/>
        </w:rPr>
        <w:t>项目支出减少</w:t>
      </w:r>
      <w:r>
        <w:rPr>
          <w:rFonts w:hint="eastAsia" w:ascii="仿宋_GB2312" w:hAnsi="仿宋" w:eastAsia="仿宋_GB2312"/>
          <w:spacing w:val="-6"/>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drawing>
          <wp:anchor distT="0" distB="0" distL="114300" distR="114300" simplePos="0" relativeHeight="251663360" behindDoc="0" locked="0" layoutInCell="1" allowOverlap="1">
            <wp:simplePos x="0" y="0"/>
            <wp:positionH relativeFrom="column">
              <wp:posOffset>420370</wp:posOffset>
            </wp:positionH>
            <wp:positionV relativeFrom="paragraph">
              <wp:posOffset>6350</wp:posOffset>
            </wp:positionV>
            <wp:extent cx="4932680" cy="3832860"/>
            <wp:effectExtent l="4445" t="4445" r="15875" b="1079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sz w:val="32"/>
          <w:szCs w:val="32"/>
          <w:highlight w:val="red"/>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 w:eastAsia="仿宋_GB2312"/>
          <w:spacing w:val="-6"/>
          <w:sz w:val="32"/>
          <w:szCs w:val="32"/>
          <w:lang w:eastAsia="zh-CN"/>
        </w:rPr>
      </w:pPr>
      <w:r>
        <w:rPr>
          <w:rFonts w:ascii="楷体_GB2312" w:hAnsi="宋体" w:eastAsia="楷体_GB2312" w:cs="楷体_GB2312"/>
          <w:b/>
          <w:color w:val="000000"/>
          <w:kern w:val="0"/>
          <w:sz w:val="32"/>
          <w:szCs w:val="32"/>
          <w:lang w:bidi="ar"/>
        </w:rPr>
        <w:t>财政拨款支出决算总体情况</w:t>
      </w: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991.35</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宋体" w:eastAsia="仿宋_GB2312" w:cs="仿宋_GB2312"/>
          <w:color w:val="000000"/>
          <w:kern w:val="0"/>
          <w:sz w:val="32"/>
          <w:szCs w:val="32"/>
          <w:lang w:eastAsia="zh-CN" w:bidi="ar"/>
        </w:rPr>
        <w:t>减少</w:t>
      </w:r>
      <w:r>
        <w:rPr>
          <w:rFonts w:hint="eastAsia" w:ascii="仿宋_GB2312" w:hAnsi="宋体" w:eastAsia="仿宋_GB2312" w:cs="仿宋_GB2312"/>
          <w:color w:val="000000"/>
          <w:kern w:val="0"/>
          <w:sz w:val="32"/>
          <w:szCs w:val="32"/>
          <w:lang w:val="en-US" w:eastAsia="zh-CN" w:bidi="ar"/>
        </w:rPr>
        <w:t>500.98</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减少</w:t>
      </w:r>
      <w:r>
        <w:rPr>
          <w:rFonts w:hint="eastAsia" w:ascii="仿宋_GB2312" w:hAnsi="宋体" w:eastAsia="仿宋_GB2312" w:cs="仿宋_GB2312"/>
          <w:color w:val="000000"/>
          <w:kern w:val="0"/>
          <w:sz w:val="32"/>
          <w:szCs w:val="32"/>
          <w:lang w:val="en-US" w:eastAsia="zh-CN" w:bidi="ar"/>
        </w:rPr>
        <w:t>33</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仿宋" w:eastAsia="仿宋_GB2312"/>
          <w:spacing w:val="-6"/>
          <w:sz w:val="32"/>
          <w:szCs w:val="32"/>
          <w:lang w:val="en-US" w:eastAsia="zh-CN"/>
        </w:rPr>
        <w:t>其他就业补助支出及创业担保贷款贴息</w:t>
      </w:r>
      <w:r>
        <w:rPr>
          <w:rFonts w:hint="eastAsia" w:ascii="仿宋_GB2312" w:hAnsi="仿宋" w:eastAsia="仿宋_GB2312"/>
          <w:spacing w:val="-6"/>
          <w:sz w:val="32"/>
          <w:szCs w:val="32"/>
          <w:lang w:eastAsia="zh-CN"/>
        </w:rPr>
        <w:t>项目支出减少。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64384" behindDoc="0" locked="0" layoutInCell="1" allowOverlap="1">
            <wp:simplePos x="0" y="0"/>
            <wp:positionH relativeFrom="column">
              <wp:posOffset>248920</wp:posOffset>
            </wp:positionH>
            <wp:positionV relativeFrom="paragraph">
              <wp:posOffset>215900</wp:posOffset>
            </wp:positionV>
            <wp:extent cx="5080000" cy="3810000"/>
            <wp:effectExtent l="4445" t="4445" r="20955" b="1460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sz w:val="32"/>
          <w:szCs w:val="32"/>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152.99</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991.35万元，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991.35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1.</w:t>
      </w:r>
      <w:r>
        <w:rPr>
          <w:rFonts w:hint="eastAsia" w:ascii="仿宋_GB2312" w:hAnsi="宋体" w:eastAsia="仿宋_GB2312" w:cs="仿宋_GB2312"/>
          <w:b/>
          <w:color w:val="000000"/>
          <w:kern w:val="0"/>
          <w:sz w:val="32"/>
          <w:szCs w:val="32"/>
          <w:lang w:eastAsia="zh-CN" w:bidi="ar"/>
        </w:rPr>
        <w:t>社会保障和就业支出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人力资源和社会保障管理事务</w:t>
      </w:r>
      <w:r>
        <w:rPr>
          <w:rFonts w:ascii="仿宋_GB2312" w:hAnsi="宋体" w:eastAsia="仿宋_GB2312" w:cs="仿宋_GB2312"/>
          <w:b/>
          <w:color w:val="000000"/>
          <w:kern w:val="0"/>
          <w:sz w:val="32"/>
          <w:szCs w:val="32"/>
          <w:lang w:bidi="ar"/>
        </w:rPr>
        <w:t xml:space="preserve">（款）行政运行（项）。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Cs w:val="32"/>
          <w:lang w:eastAsia="zh-CN"/>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127.99</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151.82万元，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151.82</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2.</w:t>
      </w:r>
      <w:r>
        <w:rPr>
          <w:rFonts w:hint="eastAsia" w:ascii="仿宋_GB2312" w:hAnsi="宋体" w:eastAsia="仿宋_GB2312" w:cs="仿宋_GB2312"/>
          <w:b/>
          <w:color w:val="000000"/>
          <w:kern w:val="0"/>
          <w:sz w:val="32"/>
          <w:szCs w:val="32"/>
          <w:lang w:eastAsia="zh-CN" w:bidi="ar"/>
        </w:rPr>
        <w:t>社会保障和就业支出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人力资源和社会保障管理事务</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就业管理事务</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val="en-US" w:eastAsia="zh-CN" w:bidi="ar"/>
        </w:rPr>
        <w:t>年初预算为25万元，调整预算数为23.75万元，支出决算为23.75万元，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b/>
          <w:color w:val="000000"/>
          <w:kern w:val="0"/>
          <w:sz w:val="32"/>
          <w:szCs w:val="32"/>
          <w:lang w:val="en-US" w:eastAsia="zh-CN" w:bidi="ar"/>
        </w:rPr>
        <w:t>3.</w:t>
      </w:r>
      <w:r>
        <w:rPr>
          <w:rFonts w:hint="eastAsia" w:ascii="仿宋_GB2312" w:hAnsi="宋体" w:eastAsia="仿宋_GB2312" w:cs="仿宋_GB2312"/>
          <w:b/>
          <w:color w:val="000000"/>
          <w:kern w:val="0"/>
          <w:sz w:val="32"/>
          <w:szCs w:val="32"/>
          <w:lang w:eastAsia="zh-CN" w:bidi="ar"/>
        </w:rPr>
        <w:t>社会保障和就业支出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人力资源和社会保障管理事务</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社会保险经办机构</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jc w:val="left"/>
        <w:textAlignment w:val="auto"/>
        <w:outlineLvl w:val="9"/>
        <w:rPr>
          <w:rFonts w:ascii="仿宋_GB2312" w:hAnsi="宋体" w:eastAsia="仿宋_GB2312" w:cs="仿宋_GB2312"/>
          <w:color w:val="000000"/>
          <w:kern w:val="0"/>
          <w:szCs w:val="32"/>
        </w:rPr>
      </w:pPr>
      <w:r>
        <w:rPr>
          <w:rFonts w:hint="eastAsia" w:ascii="仿宋_GB2312" w:hAnsi="宋体" w:eastAsia="仿宋_GB2312" w:cs="仿宋_GB2312"/>
          <w:color w:val="000000"/>
          <w:kern w:val="0"/>
          <w:sz w:val="32"/>
          <w:szCs w:val="32"/>
          <w:lang w:val="en-US" w:eastAsia="zh-CN" w:bidi="ar"/>
        </w:rPr>
        <w:t>年初预算为0万元，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24.59万元，支出决算为24.59万元，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4.</w:t>
      </w:r>
      <w:r>
        <w:rPr>
          <w:rFonts w:hint="eastAsia" w:ascii="仿宋_GB2312" w:hAnsi="宋体" w:eastAsia="仿宋_GB2312" w:cs="仿宋_GB2312"/>
          <w:b/>
          <w:color w:val="000000"/>
          <w:kern w:val="0"/>
          <w:sz w:val="32"/>
          <w:szCs w:val="32"/>
          <w:lang w:eastAsia="zh-CN" w:bidi="ar"/>
        </w:rPr>
        <w:t>社会保障和就业支出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行政事业单位离退休</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机关事业单位基本养老保险缴费支出</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default" w:ascii="仿宋_GB2312" w:hAnsi="宋体" w:eastAsia="仿宋_GB2312" w:cs="仿宋_GB2312"/>
          <w:color w:val="000000"/>
          <w:kern w:val="0"/>
          <w:szCs w:val="32"/>
          <w:lang w:val="en-US" w:eastAsia="zh-CN"/>
        </w:rPr>
      </w:pPr>
      <w:r>
        <w:rPr>
          <w:rFonts w:hint="eastAsia" w:ascii="仿宋_GB2312" w:hAnsi="宋体" w:eastAsia="仿宋_GB2312" w:cs="仿宋_GB2312"/>
          <w:color w:val="000000"/>
          <w:kern w:val="0"/>
          <w:sz w:val="32"/>
          <w:szCs w:val="32"/>
          <w:lang w:val="en-US" w:eastAsia="zh-CN" w:bidi="ar"/>
        </w:rPr>
        <w:t xml:space="preserve">    年初预算为0万元，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12.99万元，支出决算为12.99万元，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5.</w:t>
      </w:r>
      <w:r>
        <w:rPr>
          <w:rFonts w:hint="eastAsia" w:ascii="仿宋_GB2312" w:hAnsi="宋体" w:eastAsia="仿宋_GB2312" w:cs="仿宋_GB2312"/>
          <w:b/>
          <w:color w:val="000000"/>
          <w:kern w:val="0"/>
          <w:sz w:val="32"/>
          <w:szCs w:val="32"/>
          <w:lang w:eastAsia="zh-CN" w:bidi="ar"/>
        </w:rPr>
        <w:t>社会保障和就业支出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就业补助</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其他就业补助支出</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jc w:val="left"/>
        <w:textAlignment w:val="auto"/>
        <w:outlineLvl w:val="9"/>
        <w:rPr>
          <w:rFonts w:hint="default" w:ascii="仿宋_GB2312" w:hAnsi="宋体" w:eastAsia="仿宋_GB2312" w:cs="仿宋_GB2312"/>
          <w:color w:val="000000"/>
          <w:kern w:val="0"/>
          <w:szCs w:val="32"/>
          <w:lang w:val="en-US" w:eastAsia="zh-CN"/>
        </w:rPr>
      </w:pPr>
      <w:r>
        <w:rPr>
          <w:rFonts w:hint="eastAsia" w:ascii="仿宋_GB2312" w:hAnsi="宋体" w:eastAsia="仿宋_GB2312" w:cs="仿宋_GB2312"/>
          <w:color w:val="000000"/>
          <w:kern w:val="0"/>
          <w:sz w:val="32"/>
          <w:szCs w:val="32"/>
          <w:lang w:val="en-US" w:eastAsia="zh-CN" w:bidi="ar"/>
        </w:rPr>
        <w:t>年初预算为0万元，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190.49万元，支出决算为190.49万元，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6.</w:t>
      </w:r>
      <w:r>
        <w:rPr>
          <w:rFonts w:hint="eastAsia" w:ascii="仿宋_GB2312" w:hAnsi="宋体" w:eastAsia="仿宋_GB2312" w:cs="仿宋_GB2312"/>
          <w:b/>
          <w:color w:val="000000"/>
          <w:kern w:val="0"/>
          <w:sz w:val="32"/>
          <w:szCs w:val="32"/>
          <w:lang w:eastAsia="zh-CN" w:bidi="ar"/>
        </w:rPr>
        <w:t>社会保障和就业支出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其他社会保障和就业支出</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其他社会保障和就业支出</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Cs w:val="32"/>
        </w:rPr>
      </w:pPr>
      <w:r>
        <w:rPr>
          <w:rFonts w:hint="eastAsia" w:ascii="仿宋_GB2312" w:hAnsi="宋体" w:eastAsia="仿宋_GB2312" w:cs="仿宋_GB2312"/>
          <w:color w:val="000000"/>
          <w:kern w:val="0"/>
          <w:sz w:val="32"/>
          <w:szCs w:val="32"/>
          <w:lang w:val="en-US" w:eastAsia="zh-CN" w:bidi="ar"/>
        </w:rPr>
        <w:t>年初预算为0万元，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1.89万元，支出决算为1.89万元，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7.</w:t>
      </w:r>
      <w:r>
        <w:rPr>
          <w:rFonts w:hint="eastAsia" w:ascii="仿宋_GB2312" w:hAnsi="宋体" w:eastAsia="仿宋_GB2312" w:cs="仿宋_GB2312"/>
          <w:b/>
          <w:color w:val="000000"/>
          <w:kern w:val="0"/>
          <w:sz w:val="32"/>
          <w:szCs w:val="32"/>
          <w:lang w:eastAsia="zh-CN" w:bidi="ar"/>
        </w:rPr>
        <w:t>卫生健康支出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行政事业单位医疗</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行政单位医疗</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widowControl/>
        <w:spacing w:line="560" w:lineRule="exact"/>
        <w:ind w:firstLine="640" w:firstLineChars="20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年初预算为0万元，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2.90万元，支出决算为2.90万元，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8.</w:t>
      </w:r>
      <w:r>
        <w:rPr>
          <w:rFonts w:hint="eastAsia" w:ascii="仿宋_GB2312" w:hAnsi="宋体" w:eastAsia="仿宋_GB2312" w:cs="仿宋_GB2312"/>
          <w:b/>
          <w:color w:val="000000"/>
          <w:kern w:val="0"/>
          <w:sz w:val="32"/>
          <w:szCs w:val="32"/>
          <w:lang w:eastAsia="zh-CN" w:bidi="ar"/>
        </w:rPr>
        <w:t>卫生健康支出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行政事业单位医疗</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事业单位医疗</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年初预算为0万元，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0.76万元，支出决算为0.76万元，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9.</w:t>
      </w:r>
      <w:r>
        <w:rPr>
          <w:rFonts w:hint="eastAsia" w:ascii="仿宋_GB2312" w:hAnsi="宋体" w:eastAsia="仿宋_GB2312" w:cs="仿宋_GB2312"/>
          <w:b/>
          <w:color w:val="000000"/>
          <w:kern w:val="0"/>
          <w:sz w:val="32"/>
          <w:szCs w:val="32"/>
          <w:lang w:eastAsia="zh-CN" w:bidi="ar"/>
        </w:rPr>
        <w:t>农林水支出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农村综合改革</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对村级一事一议的补助</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20" w:firstLineChars="1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val="en-US" w:eastAsia="zh-CN" w:bidi="ar"/>
        </w:rPr>
        <w:t xml:space="preserve"> 年初预算为0万元，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0.90万元，支出决算为0.90万元，完成年初预算的100%。</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20" w:firstLineChars="1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w:t>
      </w:r>
      <w:r>
        <w:rPr>
          <w:rFonts w:hint="eastAsia" w:ascii="仿宋_GB2312" w:hAnsi="宋体" w:eastAsia="仿宋_GB2312" w:cs="仿宋_GB2312"/>
          <w:b/>
          <w:color w:val="000000"/>
          <w:kern w:val="0"/>
          <w:sz w:val="32"/>
          <w:szCs w:val="32"/>
          <w:lang w:val="en-US" w:eastAsia="zh-CN" w:bidi="ar"/>
        </w:rPr>
        <w:t>10.</w:t>
      </w:r>
      <w:r>
        <w:rPr>
          <w:rFonts w:hint="eastAsia" w:ascii="仿宋_GB2312" w:hAnsi="宋体" w:eastAsia="仿宋_GB2312" w:cs="仿宋_GB2312"/>
          <w:b/>
          <w:color w:val="000000"/>
          <w:kern w:val="0"/>
          <w:sz w:val="32"/>
          <w:szCs w:val="32"/>
          <w:lang w:eastAsia="zh-CN" w:bidi="ar"/>
        </w:rPr>
        <w:t>农林水支出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普惠金融发展支出</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创业担保贷款贴息</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val="en-US" w:eastAsia="zh-CN" w:bidi="ar"/>
        </w:rPr>
        <w:t>年初预算为0万元，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575.04万元，支出决算为575.04万元，完成年初预算的100%</w:t>
      </w:r>
      <w:r>
        <w:rPr>
          <w:rFonts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11.</w:t>
      </w:r>
      <w:r>
        <w:rPr>
          <w:rFonts w:hint="eastAsia" w:ascii="仿宋_GB2312" w:hAnsi="宋体" w:eastAsia="仿宋_GB2312" w:cs="仿宋_GB2312"/>
          <w:b/>
          <w:color w:val="000000"/>
          <w:kern w:val="0"/>
          <w:sz w:val="32"/>
          <w:szCs w:val="32"/>
          <w:lang w:eastAsia="zh-CN" w:bidi="ar"/>
        </w:rPr>
        <w:t>农林水支出</w:t>
      </w:r>
      <w:r>
        <w:rPr>
          <w:rFonts w:ascii="仿宋_GB2312" w:hAnsi="宋体" w:eastAsia="仿宋_GB2312" w:cs="仿宋_GB2312"/>
          <w:b/>
          <w:color w:val="000000"/>
          <w:kern w:val="0"/>
          <w:sz w:val="32"/>
          <w:szCs w:val="32"/>
          <w:lang w:bidi="ar"/>
        </w:rPr>
        <w:t>（类）</w:t>
      </w:r>
      <w:r>
        <w:rPr>
          <w:rFonts w:hint="eastAsia" w:ascii="仿宋_GB2312" w:hAnsi="宋体" w:eastAsia="仿宋_GB2312" w:cs="仿宋_GB2312"/>
          <w:b/>
          <w:color w:val="000000"/>
          <w:kern w:val="0"/>
          <w:sz w:val="32"/>
          <w:szCs w:val="32"/>
          <w:lang w:eastAsia="zh-CN" w:bidi="ar"/>
        </w:rPr>
        <w:t>普惠金融发展支出</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其他普惠金融发展支出</w:t>
      </w:r>
      <w:r>
        <w:rPr>
          <w:rFonts w:ascii="仿宋_GB2312" w:hAnsi="宋体" w:eastAsia="仿宋_GB2312" w:cs="仿宋_GB2312"/>
          <w:b/>
          <w:color w:val="000000"/>
          <w:kern w:val="0"/>
          <w:sz w:val="32"/>
          <w:szCs w:val="32"/>
          <w:lang w:bidi="ar"/>
        </w:rPr>
        <w:t>（项）</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年初预算为0万元，</w:t>
      </w:r>
      <w:r>
        <w:rPr>
          <w:rFonts w:hint="eastAsia" w:ascii="仿宋_GB2312" w:hAnsi="宋体" w:eastAsia="仿宋_GB2312" w:cs="仿宋_GB2312"/>
          <w:color w:val="000000"/>
          <w:kern w:val="0"/>
          <w:sz w:val="32"/>
          <w:szCs w:val="32"/>
          <w:lang w:eastAsia="zh-CN" w:bidi="ar"/>
        </w:rPr>
        <w:t>调整预算数为</w:t>
      </w:r>
      <w:r>
        <w:rPr>
          <w:rFonts w:hint="eastAsia" w:ascii="仿宋_GB2312" w:hAnsi="宋体" w:eastAsia="仿宋_GB2312" w:cs="仿宋_GB2312"/>
          <w:color w:val="000000"/>
          <w:kern w:val="0"/>
          <w:sz w:val="32"/>
          <w:szCs w:val="32"/>
          <w:lang w:val="en-US" w:eastAsia="zh-CN" w:bidi="ar"/>
        </w:rPr>
        <w:t>6.20万元，支出决算为6.20万元，完成年初预算的100%。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193.07</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175.81</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17.26</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175.81</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52.13</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36.30万元，奖金46.28万元，绩效工资3.56万元，机关事业单位基本养老保险缴费14.39万元，职业年金缴费2.87万元，职工基本医疗保险缴费4.70，其他社会保障缴费0.03万元，住房公积金15.19万元，生活补助0.36万元。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eastAsia="仿宋_GB2312"/>
          <w:lang w:val="en-US" w:eastAsia="zh-CN"/>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17.26</w:t>
      </w:r>
      <w:r>
        <w:rPr>
          <w:rFonts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val="en-US" w:eastAsia="zh-CN" w:bidi="ar"/>
        </w:rPr>
        <w:t>0.71</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，印刷费</w:t>
      </w:r>
      <w:r>
        <w:rPr>
          <w:rFonts w:hint="eastAsia" w:ascii="仿宋_GB2312" w:hAnsi="宋体" w:eastAsia="仿宋_GB2312" w:cs="仿宋_GB2312"/>
          <w:color w:val="000000"/>
          <w:kern w:val="0"/>
          <w:sz w:val="32"/>
          <w:szCs w:val="32"/>
          <w:lang w:val="en-US" w:eastAsia="zh-CN" w:bidi="ar"/>
        </w:rPr>
        <w:t>0.09万元，水费0.36万元，邮电费0.80万元，差旅费4.72万元，工会经费3.03万元，其他交通费用7.18万元，其他商品和服务支出0.36万元。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snapToGrid w:val="0"/>
        <w:spacing w:line="520" w:lineRule="exact"/>
        <w:ind w:firstLine="640" w:firstLineChars="200"/>
        <w:rPr>
          <w:rFonts w:ascii="仿宋_GB2312" w:hAnsi="宋体" w:eastAsia="仿宋_GB2312" w:cs="仿宋_GB2312"/>
          <w:color w:val="000000"/>
          <w:kern w:val="0"/>
          <w:sz w:val="32"/>
          <w:szCs w:val="32"/>
          <w:highlight w:val="none"/>
          <w:lang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0.85</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其中公务接待费支出预算为</w:t>
      </w:r>
      <w:r>
        <w:rPr>
          <w:rFonts w:hint="eastAsia" w:ascii="仿宋_GB2312" w:hAnsi="宋体" w:eastAsia="仿宋_GB2312" w:cs="仿宋_GB2312"/>
          <w:color w:val="000000"/>
          <w:kern w:val="0"/>
          <w:sz w:val="32"/>
          <w:szCs w:val="32"/>
          <w:lang w:val="en-US" w:eastAsia="zh-CN" w:bidi="ar"/>
        </w:rPr>
        <w:t>0.85万元，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0.85</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highlight w:val="none"/>
          <w:lang w:bidi="ar"/>
        </w:rPr>
        <w:t>主要原因是</w:t>
      </w:r>
      <w:r>
        <w:rPr>
          <w:rFonts w:hint="eastAsia" w:ascii="仿宋_GB2312" w:hAnsi="宋体" w:eastAsia="仿宋_GB2312" w:cs="仿宋_GB2312"/>
          <w:color w:val="000000"/>
          <w:kern w:val="0"/>
          <w:sz w:val="32"/>
          <w:szCs w:val="32"/>
          <w:highlight w:val="none"/>
          <w:lang w:eastAsia="zh-CN" w:bidi="ar"/>
        </w:rPr>
        <w:t>未产生</w:t>
      </w:r>
      <w:r>
        <w:rPr>
          <w:rFonts w:hint="eastAsia" w:ascii="仿宋_GB2312" w:hAnsi="宋体" w:eastAsia="仿宋_GB2312" w:cs="仿宋_GB2312"/>
          <w:color w:val="000000"/>
          <w:kern w:val="0"/>
          <w:sz w:val="32"/>
          <w:szCs w:val="32"/>
          <w:highlight w:val="none"/>
          <w:lang w:bidi="ar"/>
        </w:rPr>
        <w:t>公务接待费</w:t>
      </w:r>
      <w:r>
        <w:rPr>
          <w:rFonts w:hint="eastAsia" w:ascii="仿宋_GB2312" w:hAnsi="宋体" w:eastAsia="仿宋_GB2312" w:cs="仿宋_GB2312"/>
          <w:color w:val="000000"/>
          <w:kern w:val="0"/>
          <w:sz w:val="32"/>
          <w:szCs w:val="32"/>
          <w:highlight w:val="none"/>
          <w:lang w:eastAsia="zh-CN" w:bidi="ar"/>
        </w:rPr>
        <w:t>支出</w:t>
      </w:r>
      <w:r>
        <w:rPr>
          <w:rFonts w:hint="eastAsia" w:ascii="仿宋_GB2312" w:hAnsi="宋体" w:eastAsia="仿宋_GB2312" w:cs="仿宋_GB2312"/>
          <w:color w:val="000000"/>
          <w:kern w:val="0"/>
          <w:sz w:val="32"/>
          <w:szCs w:val="32"/>
          <w:highlight w:val="none"/>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highlight w:val="yellow"/>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无变化</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无变化</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无变化</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0.85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0.85</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highlight w:val="none"/>
          <w:lang w:eastAsia="zh-CN" w:bidi="ar"/>
        </w:rPr>
        <w:t>未产生</w:t>
      </w:r>
      <w:r>
        <w:rPr>
          <w:rFonts w:hint="eastAsia" w:ascii="仿宋_GB2312" w:hAnsi="宋体" w:eastAsia="仿宋_GB2312" w:cs="仿宋_GB2312"/>
          <w:color w:val="000000"/>
          <w:kern w:val="0"/>
          <w:sz w:val="32"/>
          <w:szCs w:val="32"/>
          <w:highlight w:val="none"/>
          <w:lang w:bidi="ar"/>
        </w:rPr>
        <w:t>公务接待费</w:t>
      </w:r>
      <w:r>
        <w:rPr>
          <w:rFonts w:hint="eastAsia" w:ascii="仿宋_GB2312" w:hAnsi="宋体" w:eastAsia="仿宋_GB2312" w:cs="仿宋_GB2312"/>
          <w:color w:val="000000"/>
          <w:kern w:val="0"/>
          <w:sz w:val="32"/>
          <w:szCs w:val="32"/>
          <w:highlight w:val="none"/>
          <w:lang w:eastAsia="zh-CN" w:bidi="ar"/>
        </w:rPr>
        <w:t>支出</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val="en-US" w:eastAsia="zh-CN" w:bidi="ar"/>
        </w:rPr>
      </w:pPr>
      <w:r>
        <w:rPr>
          <w:rFonts w:hint="eastAsia" w:ascii="楷体_GB2312" w:hAnsi="宋体" w:eastAsia="楷体_GB2312" w:cs="楷体_GB2312"/>
          <w:b/>
          <w:color w:val="000000"/>
          <w:kern w:val="0"/>
          <w:sz w:val="32"/>
          <w:szCs w:val="32"/>
          <w:lang w:bidi="ar"/>
        </w:rPr>
        <w:t>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val="en-US" w:eastAsia="zh-CN" w:bidi="ar"/>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无变化</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0.25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0.25</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厉行节约原则，未产生会议费支出</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，涉及资金</w:t>
      </w:r>
      <w:r>
        <w:rPr>
          <w:rFonts w:hint="eastAsia" w:ascii="仿宋_GB2312" w:hAnsi="仿宋_GB2312" w:eastAsia="仿宋_GB2312" w:cs="仿宋_GB2312"/>
          <w:sz w:val="32"/>
          <w:szCs w:val="32"/>
          <w:lang w:val="en-US" w:eastAsia="zh-CN"/>
        </w:rPr>
        <w:t>25</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我单位无政府性基金预算项目。</w:t>
      </w:r>
    </w:p>
    <w:p>
      <w:pPr>
        <w:spacing w:line="560" w:lineRule="exact"/>
        <w:ind w:firstLine="64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整体</w:t>
      </w:r>
      <w:r>
        <w:rPr>
          <w:rFonts w:hint="eastAsia" w:ascii="仿宋_GB2312" w:hAnsi="仿宋_GB2312" w:eastAsia="仿宋_GB2312" w:cs="仿宋_GB2312"/>
          <w:sz w:val="32"/>
          <w:szCs w:val="32"/>
        </w:rPr>
        <w:t>进行了绩效自评，涉及资金</w:t>
      </w:r>
      <w:r>
        <w:rPr>
          <w:rFonts w:hint="eastAsia" w:ascii="仿宋_GB2312" w:hAnsi="仿宋_GB2312" w:eastAsia="仿宋_GB2312" w:cs="仿宋_GB2312"/>
          <w:color w:val="000000"/>
          <w:kern w:val="0"/>
          <w:sz w:val="31"/>
          <w:szCs w:val="31"/>
          <w:lang w:val="en-US" w:eastAsia="zh-CN" w:bidi="ar"/>
        </w:rPr>
        <w:t>991.35</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r>
        <w:rPr>
          <w:rFonts w:ascii="仿宋_GB2312" w:hAnsi="仿宋_GB2312" w:eastAsia="仿宋_GB2312" w:cs="仿宋_GB2312"/>
          <w:color w:val="000000"/>
          <w:kern w:val="0"/>
          <w:sz w:val="31"/>
          <w:szCs w:val="31"/>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就业事务工作经费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25</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调整预算数为</w:t>
      </w:r>
      <w:r>
        <w:rPr>
          <w:rFonts w:hint="eastAsia" w:ascii="仿宋_GB2312" w:hAnsi="仿宋_GB2312" w:eastAsia="仿宋_GB2312" w:cs="仿宋_GB2312"/>
          <w:color w:val="000000"/>
          <w:kern w:val="0"/>
          <w:sz w:val="31"/>
          <w:szCs w:val="31"/>
          <w:lang w:val="en-US" w:eastAsia="zh-CN" w:bidi="ar"/>
        </w:rPr>
        <w:t>23.75万元，</w:t>
      </w:r>
      <w:r>
        <w:rPr>
          <w:rFonts w:ascii="仿宋_GB2312" w:hAnsi="仿宋_GB2312" w:eastAsia="仿宋_GB2312" w:cs="仿宋_GB2312"/>
          <w:color w:val="000000"/>
          <w:kern w:val="0"/>
          <w:sz w:val="31"/>
          <w:szCs w:val="31"/>
          <w:lang w:bidi="ar"/>
        </w:rPr>
        <w:t xml:space="preserve">执行数 </w:t>
      </w:r>
      <w:r>
        <w:rPr>
          <w:rFonts w:hint="eastAsia" w:ascii="仿宋_GB2312" w:hAnsi="仿宋_GB2312" w:eastAsia="仿宋_GB2312" w:cs="仿宋_GB2312"/>
          <w:color w:val="000000"/>
          <w:kern w:val="0"/>
          <w:sz w:val="31"/>
          <w:szCs w:val="31"/>
          <w:lang w:val="en-US" w:eastAsia="zh-CN" w:bidi="ar"/>
        </w:rPr>
        <w:t>23.75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该项目为经常性项目，通过项目的实施，保障单位正常运转和日常工作需要</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预算编制精准度不高，</w:t>
      </w:r>
      <w:r>
        <w:rPr>
          <w:rFonts w:hint="eastAsia" w:ascii="仿宋_GB2312" w:hAnsi="仿宋_GB2312" w:eastAsia="仿宋_GB2312" w:cs="仿宋_GB2312"/>
          <w:color w:val="000000"/>
          <w:kern w:val="0"/>
          <w:sz w:val="31"/>
          <w:szCs w:val="31"/>
          <w:lang w:bidi="ar"/>
        </w:rPr>
        <w:t>在编制年度预算时</w:t>
      </w:r>
      <w:r>
        <w:rPr>
          <w:rFonts w:hint="eastAsia" w:ascii="仿宋_GB2312" w:hAnsi="仿宋_GB2312" w:eastAsia="仿宋_GB2312" w:cs="仿宋_GB2312"/>
          <w:color w:val="000000"/>
          <w:kern w:val="0"/>
          <w:sz w:val="31"/>
          <w:szCs w:val="31"/>
          <w:lang w:eastAsia="zh-CN" w:bidi="ar"/>
        </w:rPr>
        <w:t>对突发情况考虑不足</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进一步细化项目，应结合上年支出具体细节，细化年初预算制定项目，一切从实际考虑，不断提高资金使用效益</w:t>
      </w:r>
      <w:r>
        <w:rPr>
          <w:rFonts w:hint="eastAsia" w:ascii="仿宋_GB2312" w:hAnsi="仿宋_GB2312" w:eastAsia="仿宋_GB2312" w:cs="仿宋_GB2312"/>
          <w:color w:val="000000"/>
          <w:kern w:val="0"/>
          <w:sz w:val="31"/>
          <w:szCs w:val="31"/>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152.99</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调整预算数</w:t>
      </w:r>
      <w:r>
        <w:rPr>
          <w:rFonts w:hint="eastAsia" w:ascii="仿宋_GB2312" w:hAnsi="仿宋_GB2312" w:eastAsia="仿宋_GB2312" w:cs="仿宋_GB2312"/>
          <w:color w:val="000000"/>
          <w:kern w:val="0"/>
          <w:sz w:val="31"/>
          <w:szCs w:val="31"/>
          <w:lang w:val="en-US" w:eastAsia="zh-CN" w:bidi="ar"/>
        </w:rPr>
        <w:t>991.35万元，</w:t>
      </w:r>
      <w:r>
        <w:rPr>
          <w:rFonts w:ascii="仿宋_GB2312" w:hAnsi="仿宋_GB2312" w:eastAsia="仿宋_GB2312" w:cs="仿宋_GB2312"/>
          <w:color w:val="000000"/>
          <w:kern w:val="0"/>
          <w:sz w:val="31"/>
          <w:szCs w:val="31"/>
          <w:lang w:bidi="ar"/>
        </w:rPr>
        <w:t>执行数</w:t>
      </w:r>
      <w:r>
        <w:rPr>
          <w:rFonts w:hint="eastAsia" w:ascii="仿宋_GB2312" w:hAnsi="仿宋_GB2312" w:eastAsia="仿宋_GB2312" w:cs="仿宋_GB2312"/>
          <w:color w:val="000000"/>
          <w:kern w:val="0"/>
          <w:sz w:val="31"/>
          <w:szCs w:val="31"/>
          <w:lang w:val="en-US" w:eastAsia="zh-CN" w:bidi="ar"/>
        </w:rPr>
        <w:t>991.35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spacing w:after="0" w:line="560" w:lineRule="exact"/>
        <w:ind w:left="160" w:leftChars="50" w:firstLine="620" w:firstLineChars="200"/>
        <w:jc w:val="both"/>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spacing w:after="0" w:line="560" w:lineRule="exact"/>
        <w:ind w:left="160" w:leftChars="50" w:firstLine="643" w:firstLineChars="200"/>
        <w:jc w:val="both"/>
        <w:rPr>
          <w:rFonts w:ascii="楷体_GB2312" w:hAnsi="仿宋" w:eastAsia="楷体_GB2312"/>
          <w:b/>
          <w:sz w:val="32"/>
          <w:szCs w:val="32"/>
        </w:rPr>
      </w:pPr>
      <w:r>
        <w:rPr>
          <w:rFonts w:hint="eastAsia" w:ascii="楷体_GB2312" w:hAnsi="仿宋" w:eastAsia="楷体_GB2312"/>
          <w:b/>
          <w:sz w:val="32"/>
          <w:szCs w:val="32"/>
        </w:rPr>
        <w:t>（一）搭建精准职介平台，提供就业创业集成服务。</w:t>
      </w:r>
    </w:p>
    <w:p>
      <w:pPr>
        <w:spacing w:after="0" w:line="560" w:lineRule="exact"/>
        <w:ind w:left="160" w:leftChars="50" w:firstLine="640" w:firstLineChars="200"/>
        <w:jc w:val="both"/>
        <w:rPr>
          <w:rFonts w:ascii="仿宋_GB2312" w:hAnsi="仿宋" w:eastAsia="仿宋_GB2312"/>
          <w:sz w:val="32"/>
          <w:szCs w:val="32"/>
        </w:rPr>
      </w:pPr>
      <w:r>
        <w:rPr>
          <w:rFonts w:hint="eastAsia" w:ascii="仿宋_GB2312" w:hAnsi="仿宋" w:eastAsia="仿宋_GB2312"/>
          <w:sz w:val="32"/>
          <w:szCs w:val="32"/>
        </w:rPr>
        <w:t>精准掌握用工需求，全面推行“四进（进校园、进村组、进企业、进培训机构）一精准”职介供需模式，借力春风行动招聘会、校园招聘会、退役军人专场招聘会、大篷车进街入村送岗位等14场招聘会，发放各类宣传资料13000余份，239家用工单位提供岗位1293个，参加招聘会人数4940余人次，初步达成用工意向人数569人，实现城镇新增就业8473人，完成全年目标任务7710人的109.89%，失业率3.23%，控制在全市4.0%以内。</w:t>
      </w:r>
      <w:r>
        <w:rPr>
          <w:rFonts w:hint="eastAsia" w:ascii="仿宋_GB2312" w:hAnsi="仿宋" w:eastAsia="仿宋_GB2312"/>
          <w:b/>
          <w:sz w:val="32"/>
          <w:szCs w:val="32"/>
        </w:rPr>
        <w:t>同时</w:t>
      </w:r>
      <w:r>
        <w:rPr>
          <w:rFonts w:hint="eastAsia" w:ascii="仿宋_GB2312" w:hAnsi="仿宋" w:eastAsia="仿宋_GB2312"/>
          <w:sz w:val="32"/>
          <w:szCs w:val="32"/>
        </w:rPr>
        <w:t>组织50余家用工备案企业开展政策宣讲活动，提供社保补贴、企业贷款、高校毕业生就业见习基地申建等针对性、有效性服务，集成落实各项就业创业扶持政策。</w:t>
      </w:r>
    </w:p>
    <w:p>
      <w:pPr>
        <w:spacing w:after="0" w:line="560" w:lineRule="exact"/>
        <w:ind w:left="160" w:leftChars="50" w:firstLine="643" w:firstLineChars="200"/>
        <w:jc w:val="both"/>
        <w:rPr>
          <w:rFonts w:ascii="楷体_GB2312" w:hAnsi="仿宋" w:eastAsia="楷体_GB2312"/>
          <w:b/>
          <w:sz w:val="32"/>
          <w:szCs w:val="32"/>
        </w:rPr>
      </w:pPr>
      <w:r>
        <w:rPr>
          <w:rFonts w:hint="eastAsia" w:ascii="楷体_GB2312" w:hAnsi="仿宋" w:eastAsia="楷体_GB2312"/>
          <w:b/>
          <w:sz w:val="32"/>
          <w:szCs w:val="32"/>
        </w:rPr>
        <w:t>（二）创新创业扶持模式，带动更多人就业。</w:t>
      </w:r>
    </w:p>
    <w:p>
      <w:pPr>
        <w:spacing w:after="0" w:line="560" w:lineRule="exact"/>
        <w:ind w:firstLine="643" w:firstLineChars="200"/>
        <w:rPr>
          <w:rFonts w:ascii="仿宋_GB2312" w:eastAsia="仿宋_GB2312"/>
          <w:sz w:val="32"/>
          <w:szCs w:val="32"/>
        </w:rPr>
      </w:pPr>
      <w:r>
        <w:rPr>
          <w:rFonts w:hint="eastAsia" w:ascii="仿宋_GB2312" w:hAnsi="仿宋" w:eastAsia="仿宋_GB2312"/>
          <w:b/>
          <w:sz w:val="32"/>
          <w:szCs w:val="32"/>
        </w:rPr>
        <w:t>一是</w:t>
      </w:r>
      <w:r>
        <w:rPr>
          <w:rFonts w:hint="eastAsia" w:ascii="仿宋_GB2312" w:hAnsi="仿宋" w:eastAsia="仿宋_GB2312"/>
          <w:sz w:val="32"/>
          <w:szCs w:val="32"/>
        </w:rPr>
        <w:t>将创业培训理论学习与实践学习相结合，带领20名参训学员实地考察参观创业成功项目，通过案例分析、实地授课、强化培训效果，开展</w:t>
      </w:r>
      <w:r>
        <w:rPr>
          <w:rFonts w:hint="eastAsia" w:ascii="仿宋_GB2312" w:eastAsia="仿宋_GB2312"/>
          <w:sz w:val="32"/>
          <w:szCs w:val="32"/>
        </w:rPr>
        <w:t>创业担保贷款宣传月活动</w:t>
      </w:r>
      <w:r>
        <w:rPr>
          <w:rFonts w:hint="eastAsia" w:ascii="仿宋_GB2312" w:hAnsi="仿宋" w:eastAsia="仿宋_GB2312"/>
          <w:sz w:val="32"/>
          <w:szCs w:val="32"/>
        </w:rPr>
        <w:t>，辐射更多政策收益群体。</w:t>
      </w:r>
      <w:r>
        <w:rPr>
          <w:rFonts w:hint="eastAsia" w:ascii="仿宋_GB2312" w:eastAsia="仿宋_GB2312"/>
          <w:sz w:val="32"/>
          <w:szCs w:val="32"/>
        </w:rPr>
        <w:t>201</w:t>
      </w:r>
      <w:r>
        <w:rPr>
          <w:rFonts w:ascii="仿宋_GB2312" w:eastAsia="仿宋_GB2312"/>
          <w:sz w:val="32"/>
          <w:szCs w:val="32"/>
        </w:rPr>
        <w:t>9</w:t>
      </w:r>
      <w:r>
        <w:rPr>
          <w:rFonts w:hint="eastAsia" w:ascii="仿宋_GB2312" w:eastAsia="仿宋_GB2312"/>
          <w:sz w:val="32"/>
          <w:szCs w:val="32"/>
        </w:rPr>
        <w:t>年截止11月底，阎良区共发放创业担保贷款485笔5240万元，完成全年任务</w:t>
      </w:r>
      <w:r>
        <w:rPr>
          <w:rFonts w:ascii="仿宋_GB2312" w:eastAsia="仿宋_GB2312"/>
          <w:sz w:val="32"/>
          <w:szCs w:val="32"/>
        </w:rPr>
        <w:t>49</w:t>
      </w:r>
      <w:r>
        <w:rPr>
          <w:rFonts w:hint="eastAsia" w:ascii="仿宋_GB2312" w:eastAsia="仿宋_GB2312"/>
          <w:sz w:val="32"/>
          <w:szCs w:val="32"/>
        </w:rPr>
        <w:t>00万的106.94%，直接带动就业485人，间接带动就业2900余人。</w:t>
      </w:r>
      <w:r>
        <w:rPr>
          <w:rFonts w:ascii="仿宋_GB2312" w:eastAsia="仿宋_GB2312"/>
          <w:sz w:val="32"/>
          <w:szCs w:val="32"/>
        </w:rPr>
        <w:t>发放高校毕业生一次性创业补贴4笔2万元</w:t>
      </w:r>
      <w:r>
        <w:rPr>
          <w:rFonts w:hint="eastAsia" w:ascii="仿宋_GB2312" w:eastAsia="仿宋_GB2312"/>
          <w:sz w:val="32"/>
          <w:szCs w:val="32"/>
        </w:rPr>
        <w:t>，建立创业担保贷款信用村、农村股份经济合作社、农村创业工作服务站的“一村一社一站”工作模式,助力完善农村信用体系建设、推动乡村振兴，认定镇街级</w:t>
      </w:r>
      <w:r>
        <w:rPr>
          <w:rFonts w:ascii="仿宋_GB2312" w:eastAsia="仿宋_GB2312"/>
          <w:sz w:val="32"/>
          <w:szCs w:val="32"/>
        </w:rPr>
        <w:t>标准化创业中心</w:t>
      </w:r>
      <w:r>
        <w:rPr>
          <w:rFonts w:hint="eastAsia" w:ascii="仿宋_GB2312" w:eastAsia="仿宋_GB2312"/>
          <w:sz w:val="32"/>
          <w:szCs w:val="32"/>
        </w:rPr>
        <w:t>4</w:t>
      </w:r>
      <w:r>
        <w:rPr>
          <w:rFonts w:ascii="仿宋_GB2312" w:eastAsia="仿宋_GB2312"/>
          <w:sz w:val="32"/>
          <w:szCs w:val="32"/>
        </w:rPr>
        <w:t>家</w:t>
      </w:r>
      <w:r>
        <w:rPr>
          <w:rFonts w:hint="eastAsia" w:ascii="仿宋_GB2312" w:eastAsia="仿宋_GB2312"/>
          <w:sz w:val="32"/>
          <w:szCs w:val="32"/>
        </w:rPr>
        <w:t>、</w:t>
      </w:r>
      <w:r>
        <w:rPr>
          <w:rFonts w:ascii="仿宋_GB2312" w:eastAsia="仿宋_GB2312"/>
          <w:sz w:val="32"/>
          <w:szCs w:val="32"/>
        </w:rPr>
        <w:t>认定创业担保贷款信用村2家</w:t>
      </w:r>
      <w:r>
        <w:rPr>
          <w:rFonts w:hint="eastAsia" w:ascii="仿宋_GB2312" w:eastAsia="仿宋_GB2312"/>
          <w:sz w:val="32"/>
          <w:szCs w:val="32"/>
        </w:rPr>
        <w:t>，发放信用村贷款</w:t>
      </w:r>
      <w:r>
        <w:rPr>
          <w:rFonts w:hint="eastAsia" w:ascii="仿宋_GB2312" w:hAnsi="仿宋_GB2312" w:eastAsia="仿宋_GB2312" w:cs="仿宋_GB2312"/>
          <w:sz w:val="32"/>
          <w:szCs w:val="32"/>
        </w:rPr>
        <w:t>24笔240万元</w:t>
      </w:r>
      <w:r>
        <w:rPr>
          <w:rFonts w:hint="eastAsia" w:ascii="仿宋_GB2312" w:eastAsia="仿宋_GB2312"/>
          <w:sz w:val="32"/>
          <w:szCs w:val="32"/>
        </w:rPr>
        <w:t>。</w:t>
      </w:r>
      <w:r>
        <w:rPr>
          <w:rFonts w:hint="eastAsia" w:ascii="仿宋_GB2312" w:eastAsia="仿宋_GB2312"/>
          <w:b/>
          <w:sz w:val="32"/>
          <w:szCs w:val="32"/>
        </w:rPr>
        <w:t>二是</w:t>
      </w:r>
      <w:r>
        <w:rPr>
          <w:rFonts w:hint="eastAsia" w:ascii="仿宋_GB2312" w:hAnsi="仿宋_GB2312" w:eastAsia="仿宋_GB2312" w:cs="仿宋_GB2312"/>
          <w:sz w:val="32"/>
          <w:szCs w:val="32"/>
        </w:rPr>
        <w:t>联合银行主动进企业，采取线上交流解答、线下定期面谈等方式，与辖区内商业银行共享企业贷款需求信息，定期推广政策，协力解决贷款问题，助力小微企业贷款认定，提速金融机构贷款业务办理。2019年4家</w:t>
      </w:r>
      <w:r>
        <w:rPr>
          <w:rFonts w:ascii="仿宋_GB2312" w:hAnsi="仿宋_GB2312" w:eastAsia="仿宋_GB2312" w:cs="仿宋_GB2312"/>
          <w:sz w:val="32"/>
          <w:szCs w:val="32"/>
        </w:rPr>
        <w:t>小微企业贷款</w:t>
      </w:r>
      <w:r>
        <w:rPr>
          <w:rFonts w:hint="eastAsia" w:ascii="仿宋_GB2312" w:hAnsi="仿宋_GB2312" w:eastAsia="仿宋_GB2312" w:cs="仿宋_GB2312"/>
          <w:sz w:val="32"/>
          <w:szCs w:val="32"/>
        </w:rPr>
        <w:t>4笔637万元。</w:t>
      </w:r>
    </w:p>
    <w:p>
      <w:pPr>
        <w:spacing w:after="0" w:line="560" w:lineRule="exact"/>
        <w:ind w:left="160" w:leftChars="50" w:firstLine="643" w:firstLineChars="200"/>
        <w:jc w:val="both"/>
        <w:rPr>
          <w:rFonts w:ascii="楷体_GB2312" w:hAnsi="仿宋" w:eastAsia="楷体_GB2312"/>
          <w:b/>
          <w:sz w:val="32"/>
          <w:szCs w:val="32"/>
        </w:rPr>
      </w:pPr>
      <w:r>
        <w:rPr>
          <w:rFonts w:hint="eastAsia" w:ascii="楷体_GB2312" w:hAnsi="仿宋" w:eastAsia="楷体_GB2312"/>
          <w:b/>
          <w:sz w:val="32"/>
          <w:szCs w:val="32"/>
        </w:rPr>
        <w:t>（三）激发活力，做好大学生3+N就业服务。</w:t>
      </w:r>
    </w:p>
    <w:p>
      <w:pPr>
        <w:spacing w:after="0" w:line="560" w:lineRule="exact"/>
        <w:ind w:firstLine="643" w:firstLineChars="200"/>
        <w:rPr>
          <w:rFonts w:ascii="仿宋_GB2312" w:hAnsi="仿宋" w:eastAsia="仿宋_GB2312" w:cs="Times New Roman"/>
          <w:sz w:val="32"/>
          <w:szCs w:val="32"/>
        </w:rPr>
      </w:pPr>
      <w:r>
        <w:rPr>
          <w:rFonts w:hint="eastAsia" w:ascii="仿宋_GB2312" w:hAnsi="仿宋" w:eastAsia="仿宋_GB2312"/>
          <w:b/>
          <w:sz w:val="32"/>
          <w:szCs w:val="32"/>
        </w:rPr>
        <w:t>持续</w:t>
      </w:r>
      <w:r>
        <w:rPr>
          <w:rFonts w:hint="eastAsia" w:ascii="仿宋_GB2312" w:hAnsi="仿宋" w:eastAsia="仿宋_GB2312"/>
          <w:sz w:val="32"/>
          <w:szCs w:val="32"/>
        </w:rPr>
        <w:t>推动“百万大学生留西安就业创业5年行动计划”。</w:t>
      </w:r>
      <w:r>
        <w:rPr>
          <w:rFonts w:hint="eastAsia" w:ascii="仿宋_GB2312" w:hAnsi="仿宋" w:eastAsia="仿宋_GB2312"/>
          <w:b/>
          <w:sz w:val="32"/>
          <w:szCs w:val="32"/>
        </w:rPr>
        <w:t>一是激发企业纳才活力。</w:t>
      </w:r>
      <w:r>
        <w:rPr>
          <w:rFonts w:hint="eastAsia" w:ascii="仿宋_GB2312" w:hAnsi="仿宋" w:eastAsia="仿宋_GB2312"/>
          <w:sz w:val="32"/>
          <w:szCs w:val="32"/>
        </w:rPr>
        <w:t>开展入企送服务活动，打包就业见习、企业社保补贴、创业贷款等政策，在人事代理企业嘉业航空设点服务高校毕业生继续教育、职称评审等；组织区内企业驰达航空、百跃乳业、安诺乳业、嘉业航空等带岗位入陕科大、西安航空职业技术学院等区内外高校开展企业宣传、吸才纳才活动，增亮企业名片，实现求职与招聘互动双赢。</w:t>
      </w:r>
      <w:r>
        <w:rPr>
          <w:rFonts w:hint="eastAsia" w:ascii="仿宋_GB2312" w:hAnsi="仿宋" w:eastAsia="仿宋_GB2312"/>
          <w:b/>
          <w:sz w:val="32"/>
          <w:szCs w:val="32"/>
        </w:rPr>
        <w:t>二是激发就业见习基地育才活力。</w:t>
      </w:r>
      <w:r>
        <w:rPr>
          <w:rFonts w:hint="eastAsia" w:ascii="仿宋_GB2312" w:hAnsi="仿宋" w:eastAsia="仿宋_GB2312"/>
          <w:sz w:val="32"/>
          <w:szCs w:val="32"/>
        </w:rPr>
        <w:t>充分发挥现有基地接收高校毕业生就业见习能力，逐步丰富高校毕业生见习岗位，扩大见习范围、增强就业能力，组织非常网络等5家就业见习基地在嘉业航空公司举办第二批西安市高校毕业生就业见习基地授牌仪式并为嘉业航空23名档案托管人员发放职称证书，截</w:t>
      </w:r>
      <w:r>
        <w:rPr>
          <w:rFonts w:hint="eastAsia" w:ascii="仿宋_GB2312" w:hAnsi="仿宋" w:eastAsia="仿宋_GB2312"/>
          <w:sz w:val="32"/>
          <w:szCs w:val="32"/>
          <w:lang w:val="en-US" w:eastAsia="zh-CN"/>
        </w:rPr>
        <w:t>至</w:t>
      </w:r>
      <w:r>
        <w:rPr>
          <w:rFonts w:hint="eastAsia" w:ascii="仿宋_GB2312" w:hAnsi="仿宋" w:eastAsia="仿宋_GB2312"/>
          <w:sz w:val="32"/>
          <w:szCs w:val="32"/>
        </w:rPr>
        <w:t>目前全区16家见习基地共接收44名高校毕业生参加就业见习。</w:t>
      </w:r>
      <w:r>
        <w:rPr>
          <w:rFonts w:hint="eastAsia" w:ascii="仿宋_GB2312" w:hAnsi="仿宋" w:eastAsia="仿宋_GB2312"/>
          <w:b/>
          <w:color w:val="000000"/>
          <w:sz w:val="32"/>
        </w:rPr>
        <w:t>三是激发大学生主体就业活力。</w:t>
      </w:r>
      <w:r>
        <w:rPr>
          <w:rFonts w:hint="eastAsia" w:ascii="仿宋_GB2312" w:hAnsi="仿宋" w:eastAsia="仿宋_GB2312"/>
          <w:color w:val="000000"/>
          <w:sz w:val="32"/>
        </w:rPr>
        <w:t>以大学生报到备案为契机，</w:t>
      </w:r>
      <w:r>
        <w:rPr>
          <w:rFonts w:hint="eastAsia" w:ascii="仿宋_GB2312" w:hAnsi="仿宋" w:eastAsia="仿宋_GB2312"/>
          <w:sz w:val="32"/>
          <w:szCs w:val="32"/>
        </w:rPr>
        <w:t>面对面讲政策、发放纸质办事指南等途径及时宣传高校毕业生就业见习、创业补贴等就业创业政策；</w:t>
      </w:r>
      <w:r>
        <w:rPr>
          <w:rFonts w:hint="eastAsia" w:ascii="仿宋_GB2312" w:hAnsi="仿宋" w:eastAsia="仿宋_GB2312" w:cs="仿宋_GB2312"/>
          <w:sz w:val="32"/>
          <w:szCs w:val="32"/>
        </w:rPr>
        <w:t>建立毕业生信息登记库、录入信息775条，核实并登记就业状况、就业单位等信息，电话跟踪未就业毕业生就业情况，并对未就业毕业生提供就业信息及推介岗位。同时，结合未就业高校毕业生信息，在与高校毕业生相关的工作群内推送毕业生个人求职简历，不断促进高校毕业生就业。</w:t>
      </w:r>
    </w:p>
    <w:p>
      <w:pPr>
        <w:spacing w:after="0"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（四）优化服务模式，实现群众快捷办事。</w:t>
      </w:r>
    </w:p>
    <w:p>
      <w:pPr>
        <w:spacing w:after="0"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一是动态管理服务数据。</w:t>
      </w:r>
      <w:r>
        <w:rPr>
          <w:rFonts w:hint="eastAsia" w:ascii="仿宋_GB2312" w:hAnsi="仿宋" w:eastAsia="仿宋_GB2312" w:cs="仿宋_GB2312"/>
          <w:sz w:val="32"/>
          <w:szCs w:val="32"/>
        </w:rPr>
        <w:t>对《阎良区劳动力资源信息库》中37752条信息，按照就业、培训、创业意愿等进行分类、筛选及电话回访核实，实施精准施策、分类服务。</w:t>
      </w:r>
      <w:r>
        <w:rPr>
          <w:rFonts w:hint="eastAsia" w:ascii="仿宋_GB2312" w:hAnsi="仿宋" w:eastAsia="仿宋_GB2312"/>
          <w:b/>
          <w:sz w:val="32"/>
          <w:szCs w:val="32"/>
        </w:rPr>
        <w:t>二是</w:t>
      </w:r>
      <w:r>
        <w:rPr>
          <w:rFonts w:hint="eastAsia" w:ascii="仿宋_GB2312" w:hAnsi="仿宋" w:eastAsia="仿宋_GB2312" w:cs="宋体"/>
          <w:b/>
          <w:sz w:val="32"/>
          <w:szCs w:val="32"/>
        </w:rPr>
        <w:t>扎实开展技能鉴定工作</w:t>
      </w:r>
      <w:r>
        <w:rPr>
          <w:rFonts w:hint="eastAsia" w:ascii="仿宋_GB2312" w:hAnsi="仿宋" w:eastAsia="仿宋_GB2312" w:cs="宋体"/>
          <w:sz w:val="32"/>
          <w:szCs w:val="32"/>
        </w:rPr>
        <w:t>。通过线上发布技能鉴定通知，扩大鉴定工作知晓率；同时线下安排专人指导考生网上报名注册，缴费支付，打印资质审核表和准考证等，确保参加鉴定人员信息准确。截</w:t>
      </w:r>
      <w:r>
        <w:rPr>
          <w:rFonts w:hint="eastAsia" w:ascii="仿宋_GB2312" w:hAnsi="仿宋" w:eastAsia="仿宋_GB2312" w:cs="宋体"/>
          <w:sz w:val="32"/>
          <w:szCs w:val="32"/>
          <w:lang w:val="en-US" w:eastAsia="zh-CN"/>
        </w:rPr>
        <w:t>至</w:t>
      </w:r>
      <w:r>
        <w:rPr>
          <w:rFonts w:hint="eastAsia" w:ascii="仿宋_GB2312" w:hAnsi="仿宋" w:eastAsia="仿宋_GB2312" w:cs="宋体"/>
          <w:sz w:val="32"/>
          <w:szCs w:val="32"/>
        </w:rPr>
        <w:t>目前，</w:t>
      </w:r>
      <w:r>
        <w:rPr>
          <w:rFonts w:hint="eastAsia" w:ascii="仿宋_GB2312" w:hAnsi="仿宋" w:eastAsia="仿宋_GB2312"/>
          <w:sz w:val="32"/>
          <w:szCs w:val="32"/>
        </w:rPr>
        <w:t>共</w:t>
      </w:r>
      <w:r>
        <w:rPr>
          <w:rFonts w:hint="eastAsia" w:ascii="仿宋_GB2312" w:hAnsi="仿宋" w:eastAsia="仿宋_GB2312" w:cs="Times New Roman"/>
          <w:sz w:val="32"/>
          <w:szCs w:val="32"/>
        </w:rPr>
        <w:t>组织保育员、中式烹调师、月嫂（母婴护理）等各类技能鉴定10个批次、325人。</w:t>
      </w:r>
      <w:r>
        <w:rPr>
          <w:rFonts w:hint="eastAsia" w:ascii="仿宋_GB2312" w:hAnsi="仿宋" w:eastAsia="仿宋_GB2312" w:cs="宋体"/>
          <w:b/>
          <w:sz w:val="32"/>
          <w:szCs w:val="32"/>
        </w:rPr>
        <w:t>三是简化流程、实现群众办事只跑一次。</w:t>
      </w:r>
      <w:r>
        <w:rPr>
          <w:rFonts w:hint="eastAsia" w:ascii="仿宋_GB2312" w:hAnsi="仿宋" w:eastAsia="仿宋_GB2312" w:cs="宋体"/>
          <w:sz w:val="32"/>
          <w:szCs w:val="32"/>
        </w:rPr>
        <w:t>开展一厅式集中办理灵活就业人员养老、医疗保险缴费及社保补贴工作。</w:t>
      </w:r>
      <w:r>
        <w:rPr>
          <w:rFonts w:hint="eastAsia" w:ascii="仿宋_GB2312" w:hAnsi="仿宋" w:eastAsia="仿宋_GB2312"/>
          <w:sz w:val="32"/>
          <w:szCs w:val="32"/>
        </w:rPr>
        <w:t>共计</w:t>
      </w:r>
      <w:r>
        <w:rPr>
          <w:rFonts w:ascii="仿宋_GB2312" w:hAnsi="仿宋" w:eastAsia="仿宋_GB2312"/>
          <w:sz w:val="32"/>
          <w:szCs w:val="32"/>
        </w:rPr>
        <w:t>6800人</w:t>
      </w:r>
      <w:r>
        <w:rPr>
          <w:rFonts w:hint="eastAsia" w:ascii="仿宋_GB2312" w:hAnsi="仿宋" w:eastAsia="仿宋_GB2312"/>
          <w:sz w:val="32"/>
          <w:szCs w:val="32"/>
        </w:rPr>
        <w:t>缴纳养老保险</w:t>
      </w:r>
      <w:r>
        <w:rPr>
          <w:rFonts w:ascii="仿宋_GB2312" w:hAnsi="仿宋" w:eastAsia="仿宋_GB2312"/>
          <w:sz w:val="32"/>
          <w:szCs w:val="32"/>
        </w:rPr>
        <w:t>费4696</w:t>
      </w:r>
      <w:r>
        <w:rPr>
          <w:rFonts w:hint="eastAsia" w:ascii="仿宋_GB2312" w:hAnsi="仿宋" w:eastAsia="仿宋_GB2312"/>
          <w:sz w:val="32"/>
          <w:szCs w:val="32"/>
        </w:rPr>
        <w:t xml:space="preserve"> 万余元、</w:t>
      </w:r>
      <w:r>
        <w:rPr>
          <w:rFonts w:ascii="仿宋_GB2312" w:hAnsi="仿宋" w:eastAsia="仿宋_GB2312"/>
          <w:sz w:val="32"/>
          <w:szCs w:val="32"/>
        </w:rPr>
        <w:t>422人</w:t>
      </w:r>
      <w:r>
        <w:rPr>
          <w:rFonts w:hint="eastAsia" w:ascii="仿宋_GB2312" w:hAnsi="仿宋" w:eastAsia="仿宋_GB2312"/>
          <w:sz w:val="32"/>
          <w:szCs w:val="32"/>
        </w:rPr>
        <w:t>集中办理医疗保险</w:t>
      </w:r>
      <w:r>
        <w:rPr>
          <w:rFonts w:ascii="仿宋_GB2312" w:hAnsi="仿宋" w:eastAsia="仿宋_GB2312"/>
          <w:sz w:val="32"/>
          <w:szCs w:val="32"/>
        </w:rPr>
        <w:t>缴费191</w:t>
      </w:r>
      <w:r>
        <w:rPr>
          <w:rFonts w:hint="eastAsia" w:ascii="仿宋_GB2312" w:hAnsi="仿宋" w:eastAsia="仿宋_GB2312"/>
          <w:sz w:val="32"/>
          <w:szCs w:val="32"/>
        </w:rPr>
        <w:t>万余元，</w:t>
      </w:r>
      <w:r>
        <w:rPr>
          <w:rFonts w:hint="eastAsia" w:ascii="仿宋_GB2312" w:hAnsi="仿宋" w:eastAsia="仿宋_GB2312" w:cs="Times New Roman"/>
          <w:sz w:val="32"/>
          <w:szCs w:val="32"/>
        </w:rPr>
        <w:t>审核通过434人次2019年度就业困难“4050”人员、灵活就业高校毕业生社保补贴，返还资金187万余元。</w:t>
      </w:r>
    </w:p>
    <w:p>
      <w:pPr>
        <w:spacing w:after="0" w:line="560" w:lineRule="exact"/>
        <w:ind w:left="160" w:leftChars="50" w:firstLine="643" w:firstLineChars="200"/>
        <w:jc w:val="both"/>
        <w:rPr>
          <w:rFonts w:ascii="楷体_GB2312" w:hAnsi="仿宋" w:eastAsia="楷体_GB2312"/>
          <w:b/>
          <w:sz w:val="32"/>
          <w:szCs w:val="32"/>
        </w:rPr>
      </w:pPr>
      <w:r>
        <w:rPr>
          <w:rFonts w:hint="eastAsia" w:ascii="楷体_GB2312" w:hAnsi="仿宋" w:eastAsia="楷体_GB2312"/>
          <w:b/>
          <w:sz w:val="32"/>
          <w:szCs w:val="32"/>
        </w:rPr>
        <w:t>（五）着力抓好就业扶贫工作。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 w:eastAsia="仿宋_GB2312"/>
          <w:sz w:val="32"/>
          <w:szCs w:val="32"/>
        </w:rPr>
        <w:t>结合贫困劳动力培训需求调查，2019年为1</w:t>
      </w:r>
      <w:r>
        <w:rPr>
          <w:rFonts w:hint="eastAsia" w:ascii="仿宋_GB2312" w:hAnsi="仿宋" w:eastAsia="仿宋_GB2312"/>
          <w:sz w:val="32"/>
          <w:szCs w:val="32"/>
        </w:rPr>
        <w:t>4</w:t>
      </w:r>
      <w:r>
        <w:rPr>
          <w:rFonts w:ascii="仿宋_GB2312" w:hAnsi="仿宋" w:eastAsia="仿宋_GB2312"/>
          <w:sz w:val="32"/>
          <w:szCs w:val="32"/>
        </w:rPr>
        <w:t>名贫困劳动力开展中式烹调、家政服务等专业技能培训，以提升其就业能力；坚持以创业带动就业，共有3名贫困劳动力享受创业担保贷款合计28万元，通过持续跟踪经营活动，开展针对性服务，提高贫困劳动力创业成功率。目前阎良区237户有劳动能力的贫困户家庭中，有就业意愿的193户实现至少一人稳定就业。</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预算编制不够准确，预算执行进度有待加强。</w:t>
      </w:r>
    </w:p>
    <w:p>
      <w:pPr>
        <w:widowControl/>
        <w:ind w:firstLine="620" w:firstLineChars="200"/>
        <w:jc w:val="left"/>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编制预算时综合考虑各种因素，不断优化预算编制，加快预算支出进度，使预算编制更科学、资金配置更有效。</w:t>
      </w:r>
    </w:p>
    <w:p>
      <w:pPr>
        <w:widowControl/>
        <w:jc w:val="left"/>
        <w:rPr>
          <w:rFonts w:hint="eastAsia" w:ascii="仿宋_GB2312" w:hAnsi="仿宋_GB2312" w:eastAsia="仿宋_GB2312" w:cs="仿宋_GB2312"/>
          <w:color w:val="000000"/>
          <w:kern w:val="0"/>
          <w:sz w:val="31"/>
          <w:szCs w:val="31"/>
          <w:lang w:eastAsia="zh-CN" w:bidi="ar"/>
        </w:rPr>
      </w:pPr>
    </w:p>
    <w:tbl>
      <w:tblPr>
        <w:tblStyle w:val="6"/>
        <w:tblW w:w="9659" w:type="dxa"/>
        <w:tblInd w:w="0" w:type="dxa"/>
        <w:shd w:val="clear" w:color="auto" w:fill="auto"/>
        <w:tblLayout w:type="fixed"/>
        <w:tblCellMar>
          <w:top w:w="0" w:type="dxa"/>
          <w:left w:w="0" w:type="dxa"/>
          <w:bottom w:w="0" w:type="dxa"/>
          <w:right w:w="0" w:type="dxa"/>
        </w:tblCellMar>
      </w:tblPr>
      <w:tblGrid>
        <w:gridCol w:w="555"/>
        <w:gridCol w:w="542"/>
        <w:gridCol w:w="1013"/>
        <w:gridCol w:w="1923"/>
        <w:gridCol w:w="1161"/>
        <w:gridCol w:w="912"/>
        <w:gridCol w:w="1139"/>
        <w:gridCol w:w="2414"/>
      </w:tblGrid>
      <w:tr>
        <w:tblPrEx>
          <w:shd w:val="clear" w:color="auto" w:fill="auto"/>
          <w:tblCellMar>
            <w:top w:w="0" w:type="dxa"/>
            <w:left w:w="0" w:type="dxa"/>
            <w:bottom w:w="0" w:type="dxa"/>
            <w:right w:w="0" w:type="dxa"/>
          </w:tblCellMar>
        </w:tblPrEx>
        <w:trPr>
          <w:trHeight w:val="330" w:hRule="atLeast"/>
        </w:trPr>
        <w:tc>
          <w:tcPr>
            <w:tcW w:w="555"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黑体" w:hAnsi="宋体" w:eastAsia="黑体" w:cs="黑体"/>
                <w:i w:val="0"/>
                <w:color w:val="000000"/>
                <w:sz w:val="24"/>
                <w:szCs w:val="24"/>
                <w:u w:val="none"/>
              </w:rPr>
            </w:pPr>
          </w:p>
        </w:tc>
        <w:tc>
          <w:tcPr>
            <w:tcW w:w="542" w:type="dxa"/>
            <w:tcBorders>
              <w:top w:val="nil"/>
              <w:left w:val="nil"/>
              <w:bottom w:val="nil"/>
              <w:right w:val="nil"/>
            </w:tcBorders>
            <w:shd w:val="clear" w:color="auto" w:fill="auto"/>
            <w:tcMar>
              <w:top w:w="15" w:type="dxa"/>
              <w:left w:w="15" w:type="dxa"/>
              <w:right w:w="15" w:type="dxa"/>
            </w:tcMar>
            <w:vAlign w:val="center"/>
          </w:tcPr>
          <w:p>
            <w:pPr>
              <w:jc w:val="both"/>
              <w:rPr>
                <w:rFonts w:hint="eastAsia" w:ascii="黑体" w:hAnsi="宋体" w:eastAsia="黑体" w:cs="黑体"/>
                <w:i w:val="0"/>
                <w:color w:val="000000"/>
                <w:sz w:val="24"/>
                <w:szCs w:val="24"/>
                <w:u w:val="none"/>
              </w:rPr>
            </w:pPr>
          </w:p>
        </w:tc>
        <w:tc>
          <w:tcPr>
            <w:tcW w:w="1013" w:type="dxa"/>
            <w:tcBorders>
              <w:top w:val="nil"/>
              <w:left w:val="nil"/>
              <w:bottom w:val="nil"/>
              <w:right w:val="nil"/>
            </w:tcBorders>
            <w:shd w:val="clear" w:color="auto" w:fill="auto"/>
            <w:tcMar>
              <w:top w:w="15" w:type="dxa"/>
              <w:left w:w="15" w:type="dxa"/>
              <w:right w:w="15" w:type="dxa"/>
            </w:tcMar>
            <w:vAlign w:val="center"/>
          </w:tcPr>
          <w:p>
            <w:pPr>
              <w:jc w:val="both"/>
              <w:rPr>
                <w:rFonts w:hint="eastAsia" w:ascii="黑体" w:hAnsi="宋体" w:eastAsia="黑体" w:cs="黑体"/>
                <w:i w:val="0"/>
                <w:color w:val="000000"/>
                <w:sz w:val="24"/>
                <w:szCs w:val="24"/>
                <w:u w:val="none"/>
              </w:rPr>
            </w:pPr>
          </w:p>
        </w:tc>
        <w:tc>
          <w:tcPr>
            <w:tcW w:w="1923" w:type="dxa"/>
            <w:tcBorders>
              <w:top w:val="nil"/>
              <w:left w:val="nil"/>
              <w:bottom w:val="nil"/>
              <w:right w:val="nil"/>
            </w:tcBorders>
            <w:shd w:val="clear" w:color="auto" w:fill="auto"/>
            <w:tcMar>
              <w:top w:w="15" w:type="dxa"/>
              <w:left w:w="15" w:type="dxa"/>
              <w:right w:w="15" w:type="dxa"/>
            </w:tcMar>
            <w:vAlign w:val="center"/>
          </w:tcPr>
          <w:p>
            <w:pPr>
              <w:jc w:val="both"/>
              <w:rPr>
                <w:rFonts w:hint="eastAsia" w:ascii="黑体" w:hAnsi="宋体" w:eastAsia="黑体" w:cs="黑体"/>
                <w:i w:val="0"/>
                <w:color w:val="000000"/>
                <w:sz w:val="24"/>
                <w:szCs w:val="24"/>
                <w:u w:val="none"/>
              </w:rPr>
            </w:pPr>
          </w:p>
        </w:tc>
        <w:tc>
          <w:tcPr>
            <w:tcW w:w="1161"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2"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139"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2414" w:type="dxa"/>
            <w:tcBorders>
              <w:top w:val="nil"/>
              <w:left w:val="nil"/>
              <w:bottom w:val="nil"/>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r>
    </w:tbl>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r>
        <w:drawing>
          <wp:inline distT="0" distB="0" distL="114300" distR="114300">
            <wp:extent cx="5250180" cy="8028305"/>
            <wp:effectExtent l="0" t="0" r="7620" b="1079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2"/>
                    <a:stretch>
                      <a:fillRect/>
                    </a:stretch>
                  </pic:blipFill>
                  <pic:spPr>
                    <a:xfrm>
                      <a:off x="0" y="0"/>
                      <a:ext cx="5250180" cy="8028305"/>
                    </a:xfrm>
                    <a:prstGeom prst="rect">
                      <a:avLst/>
                    </a:prstGeom>
                    <a:noFill/>
                    <a:ln>
                      <a:noFill/>
                    </a:ln>
                  </pic:spPr>
                </pic:pic>
              </a:graphicData>
            </a:graphic>
          </wp:inline>
        </w:drawing>
      </w:r>
      <w:bookmarkStart w:id="0" w:name="_1662907161"/>
      <w:bookmarkEnd w:id="0"/>
      <w:bookmarkStart w:id="1" w:name="_1662907080"/>
      <w:bookmarkEnd w:id="1"/>
      <w:bookmarkStart w:id="2" w:name="_1662907596"/>
      <w:bookmarkEnd w:id="2"/>
    </w:p>
    <w:p>
      <w:pPr>
        <w:widowControl/>
        <w:jc w:val="left"/>
      </w:pPr>
      <w:bookmarkStart w:id="3" w:name="_1662907696"/>
      <w:bookmarkEnd w:id="3"/>
      <w:r>
        <w:drawing>
          <wp:anchor distT="0" distB="0" distL="114300" distR="114300" simplePos="0" relativeHeight="251666432" behindDoc="0" locked="0" layoutInCell="1" allowOverlap="1">
            <wp:simplePos x="0" y="0"/>
            <wp:positionH relativeFrom="column">
              <wp:posOffset>19050</wp:posOffset>
            </wp:positionH>
            <wp:positionV relativeFrom="paragraph">
              <wp:posOffset>-1152525</wp:posOffset>
            </wp:positionV>
            <wp:extent cx="8762365" cy="15047595"/>
            <wp:effectExtent l="0" t="0" r="635" b="1905"/>
            <wp:wrapSquare wrapText="bothSides"/>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3"/>
                    <a:stretch>
                      <a:fillRect/>
                    </a:stretch>
                  </pic:blipFill>
                  <pic:spPr>
                    <a:xfrm>
                      <a:off x="0" y="0"/>
                      <a:ext cx="8762365" cy="1504759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sectPr>
          <w:pgSz w:w="16838" w:h="11906" w:orient="landscape"/>
          <w:pgMar w:top="1803" w:right="1440" w:bottom="1803" w:left="1440" w:header="851" w:footer="992" w:gutter="0"/>
          <w:cols w:space="0" w:num="1"/>
          <w:rtlGutter w:val="0"/>
          <w:docGrid w:type="lines" w:linePitch="436" w:charSpace="0"/>
        </w:sectPr>
      </w:pPr>
      <w:r>
        <w:drawing>
          <wp:anchor distT="0" distB="0" distL="114300" distR="114300" simplePos="0" relativeHeight="251665408" behindDoc="0" locked="0" layoutInCell="1" allowOverlap="1">
            <wp:simplePos x="0" y="0"/>
            <wp:positionH relativeFrom="column">
              <wp:posOffset>-3175</wp:posOffset>
            </wp:positionH>
            <wp:positionV relativeFrom="paragraph">
              <wp:posOffset>-1033145</wp:posOffset>
            </wp:positionV>
            <wp:extent cx="8837930" cy="7434580"/>
            <wp:effectExtent l="0" t="0" r="1270" b="13970"/>
            <wp:wrapSquare wrapText="bothSides"/>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4"/>
                    <a:stretch>
                      <a:fillRect/>
                    </a:stretch>
                  </pic:blipFill>
                  <pic:spPr>
                    <a:xfrm>
                      <a:off x="0" y="0"/>
                      <a:ext cx="8837930" cy="743458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6.44</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预算调整数为</w:t>
      </w:r>
      <w:r>
        <w:rPr>
          <w:rFonts w:hint="eastAsia" w:ascii="仿宋_GB2312" w:hAnsi="宋体" w:eastAsia="仿宋_GB2312" w:cs="仿宋_GB2312"/>
          <w:color w:val="000000"/>
          <w:kern w:val="0"/>
          <w:sz w:val="32"/>
          <w:szCs w:val="32"/>
          <w:lang w:val="en-US" w:eastAsia="zh-CN" w:bidi="ar"/>
        </w:rPr>
        <w:t>17.26万元，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17.26</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4"/>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3" w:bottom="1440" w:left="1803"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CF056DED"/>
    <w:multiLevelType w:val="singleLevel"/>
    <w:tmpl w:val="CF056DED"/>
    <w:lvl w:ilvl="0" w:tentative="0">
      <w:start w:val="3"/>
      <w:numFmt w:val="chineseCounting"/>
      <w:suff w:val="nothing"/>
      <w:lvlText w:val="（%1）"/>
      <w:lvlJc w:val="left"/>
      <w:rPr>
        <w:rFonts w:hint="eastAsia"/>
      </w:rPr>
    </w:lvl>
  </w:abstractNum>
  <w:abstractNum w:abstractNumId="2">
    <w:nsid w:val="39BEA4A8"/>
    <w:multiLevelType w:val="singleLevel"/>
    <w:tmpl w:val="39BEA4A8"/>
    <w:lvl w:ilvl="0" w:tentative="0">
      <w:start w:val="4"/>
      <w:numFmt w:val="chineseCounting"/>
      <w:suff w:val="space"/>
      <w:lvlText w:val="第%1部分"/>
      <w:lvlJc w:val="left"/>
      <w:rPr>
        <w:rFonts w:hint="eastAsia"/>
      </w:rPr>
    </w:lvl>
  </w:abstractNum>
  <w:abstractNum w:abstractNumId="3">
    <w:nsid w:val="4E290741"/>
    <w:multiLevelType w:val="singleLevel"/>
    <w:tmpl w:val="4E290741"/>
    <w:lvl w:ilvl="0" w:tentative="0">
      <w:start w:val="3"/>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20E506C4"/>
    <w:rsid w:val="00035A42"/>
    <w:rsid w:val="004A7BE0"/>
    <w:rsid w:val="005638A2"/>
    <w:rsid w:val="008D04EA"/>
    <w:rsid w:val="00916A19"/>
    <w:rsid w:val="00F92C11"/>
    <w:rsid w:val="010E3361"/>
    <w:rsid w:val="04B0395E"/>
    <w:rsid w:val="04B65A28"/>
    <w:rsid w:val="05B42F55"/>
    <w:rsid w:val="068B7849"/>
    <w:rsid w:val="073569F2"/>
    <w:rsid w:val="084B2938"/>
    <w:rsid w:val="086C1E64"/>
    <w:rsid w:val="09F56D6B"/>
    <w:rsid w:val="0A062515"/>
    <w:rsid w:val="0AAE3C8B"/>
    <w:rsid w:val="0ABF3EF8"/>
    <w:rsid w:val="0B253ED3"/>
    <w:rsid w:val="0B2D2CA6"/>
    <w:rsid w:val="0B7435A6"/>
    <w:rsid w:val="0BBA609C"/>
    <w:rsid w:val="0DCF5B5A"/>
    <w:rsid w:val="0E255D95"/>
    <w:rsid w:val="0E334640"/>
    <w:rsid w:val="0E8D2E41"/>
    <w:rsid w:val="0F8B5324"/>
    <w:rsid w:val="12121DF8"/>
    <w:rsid w:val="12851188"/>
    <w:rsid w:val="12BC1B4F"/>
    <w:rsid w:val="1319208A"/>
    <w:rsid w:val="133A3F4C"/>
    <w:rsid w:val="137D3A0A"/>
    <w:rsid w:val="142D45C4"/>
    <w:rsid w:val="14807359"/>
    <w:rsid w:val="14882196"/>
    <w:rsid w:val="152D3423"/>
    <w:rsid w:val="15916C1F"/>
    <w:rsid w:val="15AD17CC"/>
    <w:rsid w:val="15E6763B"/>
    <w:rsid w:val="16E0356F"/>
    <w:rsid w:val="17461427"/>
    <w:rsid w:val="17984C7A"/>
    <w:rsid w:val="17D8629C"/>
    <w:rsid w:val="18634A0D"/>
    <w:rsid w:val="19AD07C0"/>
    <w:rsid w:val="1A4A78E0"/>
    <w:rsid w:val="1AE11D61"/>
    <w:rsid w:val="1AF22409"/>
    <w:rsid w:val="1AF950C1"/>
    <w:rsid w:val="1B460C11"/>
    <w:rsid w:val="1BCA6343"/>
    <w:rsid w:val="1C210822"/>
    <w:rsid w:val="1D600E12"/>
    <w:rsid w:val="1D8B0C78"/>
    <w:rsid w:val="1E315847"/>
    <w:rsid w:val="1ECD47F4"/>
    <w:rsid w:val="1F5666A0"/>
    <w:rsid w:val="20B96E79"/>
    <w:rsid w:val="20E506C4"/>
    <w:rsid w:val="21437B5E"/>
    <w:rsid w:val="2256467C"/>
    <w:rsid w:val="2272536B"/>
    <w:rsid w:val="241631A6"/>
    <w:rsid w:val="24A26C8E"/>
    <w:rsid w:val="256264C3"/>
    <w:rsid w:val="2660352B"/>
    <w:rsid w:val="276D7974"/>
    <w:rsid w:val="27F707EF"/>
    <w:rsid w:val="287C13F1"/>
    <w:rsid w:val="28FB2AB2"/>
    <w:rsid w:val="29203D23"/>
    <w:rsid w:val="294B699F"/>
    <w:rsid w:val="2A051ED5"/>
    <w:rsid w:val="2A2B0F28"/>
    <w:rsid w:val="2A4E4AFA"/>
    <w:rsid w:val="2A5F0AD2"/>
    <w:rsid w:val="2BEE096E"/>
    <w:rsid w:val="2C212B80"/>
    <w:rsid w:val="2C296B28"/>
    <w:rsid w:val="2C6E0C73"/>
    <w:rsid w:val="2CD26DA0"/>
    <w:rsid w:val="2CD806CA"/>
    <w:rsid w:val="2D537ECF"/>
    <w:rsid w:val="2F7475B9"/>
    <w:rsid w:val="2FBA3392"/>
    <w:rsid w:val="2FF978A6"/>
    <w:rsid w:val="30DF4759"/>
    <w:rsid w:val="350A5D93"/>
    <w:rsid w:val="35E062A1"/>
    <w:rsid w:val="35FB5346"/>
    <w:rsid w:val="361E6971"/>
    <w:rsid w:val="36506026"/>
    <w:rsid w:val="3662586D"/>
    <w:rsid w:val="3669223E"/>
    <w:rsid w:val="366C12FC"/>
    <w:rsid w:val="373848C9"/>
    <w:rsid w:val="37AD173F"/>
    <w:rsid w:val="38B27444"/>
    <w:rsid w:val="39880C14"/>
    <w:rsid w:val="3A98781A"/>
    <w:rsid w:val="3B8340B5"/>
    <w:rsid w:val="3BF51463"/>
    <w:rsid w:val="3BFC6DCC"/>
    <w:rsid w:val="3C396029"/>
    <w:rsid w:val="3C7A6DAB"/>
    <w:rsid w:val="3CBE4038"/>
    <w:rsid w:val="3D904069"/>
    <w:rsid w:val="3F3849B5"/>
    <w:rsid w:val="3FA92199"/>
    <w:rsid w:val="3FCA23EC"/>
    <w:rsid w:val="41942E54"/>
    <w:rsid w:val="41BD1654"/>
    <w:rsid w:val="424D60E4"/>
    <w:rsid w:val="42865EB2"/>
    <w:rsid w:val="42FA4769"/>
    <w:rsid w:val="4374234D"/>
    <w:rsid w:val="43BC1030"/>
    <w:rsid w:val="43CD6CA8"/>
    <w:rsid w:val="44CF0F6C"/>
    <w:rsid w:val="45043755"/>
    <w:rsid w:val="45324F39"/>
    <w:rsid w:val="453E1991"/>
    <w:rsid w:val="46937CFE"/>
    <w:rsid w:val="47076494"/>
    <w:rsid w:val="4711330D"/>
    <w:rsid w:val="47964FBE"/>
    <w:rsid w:val="48507558"/>
    <w:rsid w:val="493F24C9"/>
    <w:rsid w:val="494350B7"/>
    <w:rsid w:val="49B54148"/>
    <w:rsid w:val="4A1752A2"/>
    <w:rsid w:val="4AB022DA"/>
    <w:rsid w:val="4B18398F"/>
    <w:rsid w:val="4B4D232C"/>
    <w:rsid w:val="4C0657EF"/>
    <w:rsid w:val="4C2063CF"/>
    <w:rsid w:val="4CE04E5E"/>
    <w:rsid w:val="4CFC2B7A"/>
    <w:rsid w:val="4DE437BF"/>
    <w:rsid w:val="4DFF3909"/>
    <w:rsid w:val="4FAE741D"/>
    <w:rsid w:val="4FB2716C"/>
    <w:rsid w:val="50547AC3"/>
    <w:rsid w:val="50C46A00"/>
    <w:rsid w:val="50D64F68"/>
    <w:rsid w:val="51572956"/>
    <w:rsid w:val="51E86508"/>
    <w:rsid w:val="526D585B"/>
    <w:rsid w:val="52915A7D"/>
    <w:rsid w:val="52AC7AB3"/>
    <w:rsid w:val="538F1B31"/>
    <w:rsid w:val="54207C4C"/>
    <w:rsid w:val="544D3043"/>
    <w:rsid w:val="546421FE"/>
    <w:rsid w:val="547763D3"/>
    <w:rsid w:val="547B732D"/>
    <w:rsid w:val="54AE5AC0"/>
    <w:rsid w:val="54D66475"/>
    <w:rsid w:val="54E55491"/>
    <w:rsid w:val="55232F50"/>
    <w:rsid w:val="55454F7C"/>
    <w:rsid w:val="556208CF"/>
    <w:rsid w:val="55B8024D"/>
    <w:rsid w:val="55C463C5"/>
    <w:rsid w:val="576178AE"/>
    <w:rsid w:val="58254658"/>
    <w:rsid w:val="5897507C"/>
    <w:rsid w:val="58C56FBC"/>
    <w:rsid w:val="596D661C"/>
    <w:rsid w:val="59727E38"/>
    <w:rsid w:val="59794B07"/>
    <w:rsid w:val="5A3734B7"/>
    <w:rsid w:val="5A6C4125"/>
    <w:rsid w:val="5A701263"/>
    <w:rsid w:val="5C600560"/>
    <w:rsid w:val="5D016167"/>
    <w:rsid w:val="5D3C29C8"/>
    <w:rsid w:val="5E0C7CE1"/>
    <w:rsid w:val="5E1B27BE"/>
    <w:rsid w:val="5E225375"/>
    <w:rsid w:val="5EA71041"/>
    <w:rsid w:val="5F5027A5"/>
    <w:rsid w:val="601949AD"/>
    <w:rsid w:val="6026684E"/>
    <w:rsid w:val="60CB3E8D"/>
    <w:rsid w:val="612A43DF"/>
    <w:rsid w:val="62F26F94"/>
    <w:rsid w:val="630C3F88"/>
    <w:rsid w:val="650B4D68"/>
    <w:rsid w:val="65706DA4"/>
    <w:rsid w:val="65925F2D"/>
    <w:rsid w:val="65A63499"/>
    <w:rsid w:val="6764649A"/>
    <w:rsid w:val="67A572B5"/>
    <w:rsid w:val="67CE4703"/>
    <w:rsid w:val="67EB0739"/>
    <w:rsid w:val="694544F7"/>
    <w:rsid w:val="69A157A9"/>
    <w:rsid w:val="69FF25D8"/>
    <w:rsid w:val="6A8A1E83"/>
    <w:rsid w:val="6B3B79EC"/>
    <w:rsid w:val="6B431F78"/>
    <w:rsid w:val="6BC813CD"/>
    <w:rsid w:val="6BF84782"/>
    <w:rsid w:val="6D4160D1"/>
    <w:rsid w:val="6EAC6681"/>
    <w:rsid w:val="6EC11027"/>
    <w:rsid w:val="6F094735"/>
    <w:rsid w:val="710269D8"/>
    <w:rsid w:val="71840673"/>
    <w:rsid w:val="725426B9"/>
    <w:rsid w:val="72561C3F"/>
    <w:rsid w:val="727A055F"/>
    <w:rsid w:val="7319088D"/>
    <w:rsid w:val="73431FE5"/>
    <w:rsid w:val="73EA66F8"/>
    <w:rsid w:val="756D67C2"/>
    <w:rsid w:val="76062595"/>
    <w:rsid w:val="7663603B"/>
    <w:rsid w:val="76A37C09"/>
    <w:rsid w:val="77043D91"/>
    <w:rsid w:val="778B0394"/>
    <w:rsid w:val="79AD1DF5"/>
    <w:rsid w:val="7B6D5E4A"/>
    <w:rsid w:val="7B9214F0"/>
    <w:rsid w:val="7BBC65BE"/>
    <w:rsid w:val="7C640162"/>
    <w:rsid w:val="7C9061D5"/>
    <w:rsid w:val="7D8A1F34"/>
    <w:rsid w:val="7EED06A8"/>
    <w:rsid w:val="7F36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81"/>
    <w:basedOn w:val="8"/>
    <w:qFormat/>
    <w:uiPriority w:val="0"/>
    <w:rPr>
      <w:rFonts w:hint="eastAsia" w:ascii="宋体" w:hAnsi="宋体" w:eastAsia="宋体" w:cs="宋体"/>
      <w:color w:val="000000"/>
      <w:sz w:val="20"/>
      <w:szCs w:val="20"/>
      <w:u w:val="none"/>
    </w:rPr>
  </w:style>
  <w:style w:type="character" w:customStyle="1" w:styleId="18">
    <w:name w:val="font13"/>
    <w:basedOn w:val="8"/>
    <w:qFormat/>
    <w:uiPriority w:val="0"/>
    <w:rPr>
      <w:rFonts w:hint="eastAsia" w:ascii="宋体" w:hAnsi="宋体" w:eastAsia="宋体" w:cs="宋体"/>
      <w:color w:val="000000"/>
      <w:sz w:val="18"/>
      <w:szCs w:val="18"/>
      <w:u w:val="none"/>
    </w:rPr>
  </w:style>
  <w:style w:type="character" w:customStyle="1" w:styleId="19">
    <w:name w:val="font71"/>
    <w:basedOn w:val="8"/>
    <w:qFormat/>
    <w:uiPriority w:val="0"/>
    <w:rPr>
      <w:rFonts w:hint="eastAsia" w:ascii="宋体" w:hAnsi="宋体" w:eastAsia="宋体" w:cs="宋体"/>
      <w:color w:val="000000"/>
      <w:sz w:val="20"/>
      <w:szCs w:val="20"/>
      <w:u w:val="none"/>
    </w:rPr>
  </w:style>
  <w:style w:type="character" w:customStyle="1" w:styleId="20">
    <w:name w:val="font41"/>
    <w:basedOn w:val="8"/>
    <w:qFormat/>
    <w:uiPriority w:val="0"/>
    <w:rPr>
      <w:rFonts w:hint="eastAsia" w:ascii="黑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人员构成情况</a:t>
            </a:r>
          </a:p>
        </c:rich>
      </c:tx>
      <c:layout/>
      <c:overlay val="0"/>
      <c:spPr>
        <a:noFill/>
        <a:ln>
          <a:noFill/>
        </a:ln>
        <a:effectLst/>
      </c:spPr>
    </c:title>
    <c:autoTitleDeleted val="0"/>
    <c:plotArea>
      <c:layout>
        <c:manualLayout>
          <c:layoutTarget val="inner"/>
          <c:xMode val="edge"/>
          <c:yMode val="edge"/>
          <c:x val="0.0558801498127341"/>
          <c:y val="0.129166666666667"/>
          <c:w val="0.91665418227216"/>
          <c:h val="0.717233333333333"/>
        </c:manualLayout>
      </c:layout>
      <c:barChart>
        <c:barDir val="col"/>
        <c:grouping val="clustered"/>
        <c:varyColors val="0"/>
        <c:ser>
          <c:idx val="1"/>
          <c:order val="0"/>
          <c:tx>
            <c:strRef>
              <c:f>Sheet1!$B$1</c:f>
              <c:strCache>
                <c:ptCount val="1"/>
                <c:pt idx="0">
                  <c:v>事业人员</c:v>
                </c:pt>
              </c:strCache>
            </c:strRef>
          </c:tx>
          <c:spPr>
            <a:solidFill>
              <a:schemeClr val="accent1">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Sheet1!$A$2:$A$4</c:f>
              <c:strCache>
                <c:ptCount val="3"/>
                <c:pt idx="0">
                  <c:v>编制人数</c:v>
                </c:pt>
                <c:pt idx="1">
                  <c:v>实有人数</c:v>
                </c:pt>
                <c:pt idx="2">
                  <c:v>单位管理的离退休人员</c:v>
                </c:pt>
              </c:strCache>
            </c:strRef>
          </c:cat>
          <c:val>
            <c:numRef>
              <c:f>Sheet1!$B$2:$B$4</c:f>
              <c:numCache>
                <c:formatCode>General</c:formatCode>
                <c:ptCount val="3"/>
                <c:pt idx="0">
                  <c:v>12</c:v>
                </c:pt>
                <c:pt idx="1">
                  <c:v>12</c:v>
                </c:pt>
                <c:pt idx="2">
                  <c:v>7</c:v>
                </c:pt>
              </c:numCache>
            </c:numRef>
          </c:val>
        </c:ser>
        <c:dLbls>
          <c:showLegendKey val="0"/>
          <c:showVal val="1"/>
          <c:showCatName val="0"/>
          <c:showSerName val="0"/>
          <c:showPercent val="0"/>
          <c:showBubbleSize val="0"/>
        </c:dLbls>
        <c:gapWidth val="75"/>
        <c:overlap val="-25"/>
        <c:axId val="538894667"/>
        <c:axId val="258427259"/>
      </c:barChart>
      <c:catAx>
        <c:axId val="538894667"/>
        <c:scaling>
          <c:orientation val="minMax"/>
        </c:scaling>
        <c:delete val="0"/>
        <c:axPos val="b"/>
        <c:majorTickMark val="none"/>
        <c:minorTickMark val="none"/>
        <c:tickLblPos val="nextTo"/>
        <c:spPr>
          <a:noFill/>
          <a:ln w="9525" cap="sq" cmpd="sng" algn="ctr">
            <a:solidFill>
              <a:schemeClr val="accent3"/>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58427259"/>
        <c:crosses val="autoZero"/>
        <c:auto val="1"/>
        <c:lblAlgn val="ctr"/>
        <c:lblOffset val="100"/>
        <c:noMultiLvlLbl val="0"/>
      </c:catAx>
      <c:valAx>
        <c:axId val="258427259"/>
        <c:scaling>
          <c:orientation val="minMax"/>
        </c:scaling>
        <c:delete val="0"/>
        <c:axPos val="l"/>
        <c:majorGridlines>
          <c:spPr>
            <a:ln w="9525" cap="flat" cmpd="sng" algn="ctr">
              <a:solidFill>
                <a:schemeClr val="accent3"/>
              </a:solidFill>
              <a:round/>
            </a:ln>
            <a:effectLst/>
          </c:spPr>
        </c:majorGridlines>
        <c:numFmt formatCode="General" sourceLinked="1"/>
        <c:majorTickMark val="none"/>
        <c:minorTickMark val="none"/>
        <c:tickLblPos val="nextTo"/>
        <c:spPr>
          <a:noFill/>
          <a:ln>
            <a:solidFill>
              <a:schemeClr val="accent3"/>
            </a:solid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38894667"/>
        <c:crosses val="autoZero"/>
        <c:crossBetween val="between"/>
      </c:valAx>
      <c:spPr>
        <a:noFill/>
        <a:ln w="6350" cmpd="sng">
          <a:solidFill>
            <a:schemeClr val="accent3"/>
          </a:solidFill>
          <a:prstDash val="solid"/>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chemeClr val="bg1">
        <a:lumMod val="95000"/>
      </a:schemeClr>
    </a:solidFill>
    <a:ln w="9525" cap="flat" cmpd="sng" algn="ctr">
      <a:solidFill>
        <a:schemeClr val="bg2"/>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收入支出对比图</a:t>
            </a:r>
          </a:p>
        </c:rich>
      </c:tx>
      <c:layout/>
      <c:overlay val="0"/>
      <c:spPr>
        <a:noFill/>
        <a:ln>
          <a:noFill/>
        </a:ln>
        <a:effectLst/>
      </c:spPr>
    </c:title>
    <c:autoTitleDeleted val="0"/>
    <c:plotArea>
      <c:layout/>
      <c:lineChart>
        <c:grouping val="standard"/>
        <c:varyColors val="0"/>
        <c:ser>
          <c:idx val="0"/>
          <c:order val="0"/>
          <c:tx>
            <c:strRef>
              <c:extLst>
                <c:ext xmlns:c15="http://schemas.microsoft.com/office/drawing/2012/chart" uri="{02D57815-91ED-43cb-92C2-25804820EDAC}">
                  <c15:fullRef>
                    <c15:sqref>Sheet1!$B$1</c15:sqref>
                  </c15:fullRef>
                  <c15:levelRef>
                    <c15:sqref>Sheet1!$B$1</c15:sqref>
                  </c15:levelRef>
                </c:ext>
              </c:extLst>
              <c:f>Sheet1!$B$1</c:f>
              <c:strCache>
                <c:ptCount val="1"/>
                <c:pt idx="0">
                  <c:v>收入</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1149.77</c:v>
                </c:pt>
                <c:pt idx="1">
                  <c:v>1231.11</c:v>
                </c:pt>
              </c:numCache>
            </c:numRef>
          </c:val>
          <c:smooth val="0"/>
        </c:ser>
        <c:ser>
          <c:idx val="1"/>
          <c:order val="1"/>
          <c:tx>
            <c:strRef>
              <c:extLst>
                <c:ext xmlns:c15="http://schemas.microsoft.com/office/drawing/2012/chart" uri="{02D57815-91ED-43cb-92C2-25804820EDAC}">
                  <c15:fullRef>
                    <c15:sqref>Sheet1!$C$1</c15:sqref>
                  </c15:fullRef>
                  <c15:levelRef>
                    <c15:sqref>Sheet1!$C$1</c15:sqref>
                  </c15:levelRef>
                </c:ext>
              </c:extLst>
              <c:f>Sheet1!$C$1</c:f>
              <c:strCache>
                <c:ptCount val="1"/>
                <c:pt idx="0">
                  <c:v>支出</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Sheet1!$C$2:$C$3</c:f>
              <c:numCache>
                <c:formatCode>General</c:formatCode>
                <c:ptCount val="2"/>
                <c:pt idx="0">
                  <c:v>1492.33</c:v>
                </c:pt>
                <c:pt idx="1">
                  <c:v>991.35</c:v>
                </c:pt>
              </c:numCache>
            </c:numRef>
          </c:val>
          <c:smooth val="0"/>
        </c:ser>
        <c:dLbls>
          <c:showLegendKey val="0"/>
          <c:showVal val="1"/>
          <c:showCatName val="0"/>
          <c:showSerName val="0"/>
          <c:showPercent val="0"/>
          <c:showBubbleSize val="0"/>
        </c:dLbls>
        <c:marker val="0"/>
        <c:smooth val="0"/>
        <c:axId val="59160091"/>
        <c:axId val="35192898"/>
      </c:lineChart>
      <c:catAx>
        <c:axId val="59160091"/>
        <c:scaling>
          <c:orientation val="minMax"/>
        </c:scaling>
        <c:delete val="0"/>
        <c:axPos val="b"/>
        <c:majorTickMark val="in"/>
        <c:minorTickMark val="none"/>
        <c:tickLblPos val="nextTo"/>
        <c:spPr>
          <a:noFill/>
          <a:ln w="0" cap="flat" cmpd="sng" algn="ctr">
            <a:solidFill>
              <a:schemeClr val="tx1"/>
            </a:solidFill>
            <a:bevel/>
            <a:tailEnd type="none"/>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192898"/>
        <c:crosses val="autoZero"/>
        <c:auto val="1"/>
        <c:lblAlgn val="ctr"/>
        <c:lblOffset val="100"/>
        <c:noMultiLvlLbl val="0"/>
      </c:catAx>
      <c:valAx>
        <c:axId val="351928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mpd="sng">
            <a:solidFill>
              <a:schemeClr val="tx1"/>
            </a:solidFill>
            <a:prstDash val="solid"/>
            <a:tailEnd type="none"/>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6009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lumMod val="95000"/>
      </a:schemeClr>
    </a:solidFill>
    <a:ln w="9525" cap="flat" cmpd="sng" algn="ctr">
      <a:solidFill>
        <a:schemeClr val="accent3"/>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2019年度收入情况表</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explosion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财政拨款收入</c:v>
                </c:pt>
              </c:strCache>
            </c:strRef>
          </c:cat>
          <c:val>
            <c:numRef>
              <c:f>Sheet1!$B$2</c:f>
              <c:numCache>
                <c:formatCode>General</c:formatCode>
                <c:ptCount val="1"/>
                <c:pt idx="0">
                  <c:v>1231.1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dk1"/>
                </a:solidFill>
                <a:latin typeface="+mn-lt"/>
                <a:ea typeface="+mn-ea"/>
                <a:cs typeface="+mn-cs"/>
              </a:defRPr>
            </a:pPr>
            <a:r>
              <a:rPr>
                <a:solidFill>
                  <a:schemeClr val="dk1"/>
                </a:solidFill>
                <a:latin typeface="+mn-lt"/>
                <a:ea typeface="+mn-ea"/>
                <a:cs typeface="+mn-cs"/>
              </a:rPr>
              <a:t>   </a:t>
            </a:r>
            <a:r>
              <a:rPr lang="en-US" altLang="zh-CN">
                <a:solidFill>
                  <a:schemeClr val="dk1"/>
                </a:solidFill>
                <a:latin typeface="+mn-lt"/>
                <a:ea typeface="+mn-ea"/>
                <a:cs typeface="+mn-cs"/>
              </a:rPr>
              <a:t>2019</a:t>
            </a:r>
            <a:r>
              <a:rPr altLang="en-US">
                <a:solidFill>
                  <a:schemeClr val="dk1"/>
                </a:solidFill>
                <a:latin typeface="+mn-lt"/>
                <a:ea typeface="+mn-ea"/>
                <a:cs typeface="+mn-cs"/>
              </a:rPr>
              <a:t>年度支出情况</a:t>
            </a:r>
            <a:endParaRPr>
              <a:solidFill>
                <a:schemeClr val="dk1"/>
              </a:solidFill>
              <a:latin typeface="+mn-lt"/>
              <a:ea typeface="+mn-ea"/>
              <a:cs typeface="+mn-cs"/>
            </a:endParaRPr>
          </a:p>
        </c:rich>
      </c:tx>
      <c:layout/>
      <c:overlay val="0"/>
      <c:spPr>
        <a:noFill/>
        <a:ln>
          <a:noFill/>
        </a:ln>
        <a:effectLst/>
      </c:spPr>
    </c:title>
    <c:autoTitleDeleted val="0"/>
    <c:plotArea>
      <c:layout/>
      <c:pieChart>
        <c:varyColors val="1"/>
        <c:ser>
          <c:idx val="0"/>
          <c:order val="0"/>
          <c:tx>
            <c:strRef>
              <c:f>Sheet1!$B$1</c:f>
              <c:strCache>
                <c:ptCount val="1"/>
                <c:pt idx="0">
                  <c:v>   总支出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193.07</c:v>
                </c:pt>
                <c:pt idx="1">
                  <c:v>798.28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chart>
  <c:spPr>
    <a:solidFill>
      <a:schemeClr val="bg1">
        <a:lumMod val="95000"/>
      </a:schemeClr>
    </a:solidFill>
    <a:ln w="12700" cap="flat" cmpd="sng" algn="ctr">
      <a:solidFill>
        <a:schemeClr val="accent3"/>
      </a:solidFill>
      <a:prstDash val="solid"/>
      <a:miter lim="800000"/>
    </a:ln>
    <a:effectLst/>
    <a:sp3d>
      <a:extrusionClr>
        <a:srgbClr val="FFFFFF"/>
      </a:extrusionClr>
      <a:contourClr>
        <a:srgbClr val="FFFFFF"/>
      </a:contourClr>
    </a:sp3d>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2000" b="0" i="0" u="none" strike="noStrike" kern="1200" cap="none" spc="0" normalizeH="0" baseline="0">
                <a:solidFill>
                  <a:schemeClr val="tx1">
                    <a:lumMod val="65000"/>
                    <a:lumOff val="35000"/>
                  </a:schemeClr>
                </a:solidFill>
                <a:latin typeface="+mj-lt"/>
                <a:ea typeface="+mj-ea"/>
                <a:cs typeface="+mj-cs"/>
              </a:defRPr>
            </a:pPr>
            <a:r>
              <a:t>收入支出决算总体情况</a:t>
            </a:r>
          </a:p>
        </c:rich>
      </c:tx>
      <c:layout/>
      <c:overlay val="0"/>
      <c:spPr>
        <a:noFill/>
        <a:ln>
          <a:noFill/>
        </a:ln>
        <a:effectLst/>
      </c:spPr>
    </c:title>
    <c:autoTitleDeleted val="0"/>
    <c:plotArea>
      <c:layout>
        <c:manualLayout>
          <c:layoutTarget val="inner"/>
          <c:xMode val="edge"/>
          <c:yMode val="edge"/>
          <c:x val="0.04645"/>
          <c:y val="0.127"/>
          <c:w val="0.927925"/>
          <c:h val="0.71656666666666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Sheet1!$A$2:$A$3</c:f>
              <c:strCache>
                <c:ptCount val="2"/>
                <c:pt idx="0">
                  <c:v>2018年</c:v>
                </c:pt>
                <c:pt idx="1">
                  <c:v>2019年</c:v>
                </c:pt>
              </c:strCache>
            </c:strRef>
          </c:cat>
          <c:val>
            <c:numRef>
              <c:f>Sheet1!$B$2:$B$3</c:f>
              <c:numCache>
                <c:formatCode>General</c:formatCode>
                <c:ptCount val="2"/>
                <c:pt idx="0">
                  <c:v>1149.77</c:v>
                </c:pt>
                <c:pt idx="1">
                  <c:v>1231.11</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Sheet1!$A$2:$A$3</c:f>
              <c:strCache>
                <c:ptCount val="2"/>
                <c:pt idx="0">
                  <c:v>2018年</c:v>
                </c:pt>
                <c:pt idx="1">
                  <c:v>2019年</c:v>
                </c:pt>
              </c:strCache>
            </c:strRef>
          </c:cat>
          <c:val>
            <c:numRef>
              <c:f>Sheet1!$C$2:$C$3</c:f>
              <c:numCache>
                <c:formatCode>General</c:formatCode>
                <c:ptCount val="2"/>
                <c:pt idx="0">
                  <c:v>1492.33</c:v>
                </c:pt>
                <c:pt idx="1">
                  <c:v>991.35</c:v>
                </c:pt>
              </c:numCache>
            </c:numRef>
          </c:val>
        </c:ser>
        <c:dLbls>
          <c:showLegendKey val="0"/>
          <c:showVal val="1"/>
          <c:showCatName val="0"/>
          <c:showSerName val="0"/>
          <c:showPercent val="0"/>
          <c:showBubbleSize val="0"/>
        </c:dLbls>
        <c:gapWidth val="199"/>
        <c:overlap val="0"/>
        <c:axId val="889994935"/>
        <c:axId val="658360816"/>
      </c:barChart>
      <c:catAx>
        <c:axId val="889994935"/>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658360816"/>
        <c:crosses val="autoZero"/>
        <c:auto val="1"/>
        <c:lblAlgn val="ctr"/>
        <c:lblOffset val="100"/>
        <c:noMultiLvlLbl val="0"/>
      </c:catAx>
      <c:valAx>
        <c:axId val="658360816"/>
        <c:scaling>
          <c:orientation val="minMax"/>
        </c:scaling>
        <c:delete val="0"/>
        <c:axPos val="l"/>
        <c:majorGridlines>
          <c:spPr>
            <a:ln w="9525" cap="flat" cmpd="sng" algn="ctr">
              <a:no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9994935"/>
        <c:crosses val="autoZero"/>
        <c:crossBetween val="between"/>
      </c:valAx>
      <c:spPr>
        <a:noFill/>
        <a:ln>
          <a:noFill/>
        </a:ln>
        <a:effectLst/>
      </c:spPr>
    </c:plotArea>
    <c:legend>
      <c:legendPos val="t"/>
      <c:layout>
        <c:manualLayout>
          <c:xMode val="edge"/>
          <c:yMode val="edge"/>
          <c:x val="0.917125"/>
          <c:y val="0.132166666666667"/>
          <c:w val="0.079125"/>
          <c:h val="0.1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lumMod val="95000"/>
      </a:schemeClr>
    </a:solidFill>
    <a:ln w="9525" cap="flat" cmpd="sng" algn="ctr">
      <a:solidFill>
        <a:schemeClr val="accent3"/>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财政拨款支出决算总体情况</a:t>
            </a:r>
          </a:p>
        </c:rich>
      </c:tx>
      <c:layout/>
      <c:overlay val="0"/>
      <c:spPr>
        <a:noFill/>
        <a:ln>
          <a:noFill/>
        </a:ln>
        <a:effectLst/>
      </c:spPr>
    </c:title>
    <c:autoTitleDeleted val="0"/>
    <c:plotArea>
      <c:layout>
        <c:manualLayout>
          <c:layoutTarget val="inner"/>
          <c:xMode val="edge"/>
          <c:yMode val="edge"/>
          <c:x val="0.0427"/>
          <c:y val="0.1245"/>
          <c:w val="0.927925"/>
          <c:h val="0.716566666666667"/>
        </c:manualLayout>
      </c:layout>
      <c:barChart>
        <c:barDir val="col"/>
        <c:grouping val="clustered"/>
        <c:varyColors val="0"/>
        <c:ser>
          <c:idx val="0"/>
          <c:order val="0"/>
          <c:tx>
            <c:strRef>
              <c:f>Sheet1!$B$1</c:f>
              <c:strCache>
                <c:ptCount val="1"/>
                <c:pt idx="0">
                  <c:v>财政拨款支出</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1492.33</c:v>
                </c:pt>
                <c:pt idx="1">
                  <c:v>991.35</c:v>
                </c:pt>
              </c:numCache>
            </c:numRef>
          </c:val>
        </c:ser>
        <c:dLbls>
          <c:showLegendKey val="0"/>
          <c:showVal val="0"/>
          <c:showCatName val="0"/>
          <c:showSerName val="0"/>
          <c:showPercent val="0"/>
          <c:showBubbleSize val="0"/>
        </c:dLbls>
        <c:gapWidth val="219"/>
        <c:overlap val="-27"/>
        <c:axId val="127908747"/>
        <c:axId val="952673740"/>
      </c:barChart>
      <c:catAx>
        <c:axId val="127908747"/>
        <c:scaling>
          <c:orientation val="minMax"/>
        </c:scaling>
        <c:delete val="0"/>
        <c:axPos val="b"/>
        <c:majorTickMark val="none"/>
        <c:minorTickMark val="none"/>
        <c:tickLblPos val="nextTo"/>
        <c:spPr>
          <a:noFill/>
          <a:ln w="9525" cap="flat" cmpd="sng" algn="ctr">
            <a:solidFill>
              <a:schemeClr val="accent3"/>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673740"/>
        <c:crosses val="autoZero"/>
        <c:auto val="1"/>
        <c:lblAlgn val="ctr"/>
        <c:lblOffset val="100"/>
        <c:noMultiLvlLbl val="0"/>
      </c:catAx>
      <c:valAx>
        <c:axId val="9526737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mpd="sng">
            <a:solidFill>
              <a:schemeClr val="accent3"/>
            </a:solidFill>
            <a:prstDash val="soli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908747"/>
        <c:crosses val="autoZero"/>
        <c:crossBetween val="between"/>
      </c:valAx>
      <c:spPr>
        <a:noFill/>
        <a:ln>
          <a:noFill/>
        </a:ln>
        <a:effectLst/>
      </c:spPr>
    </c:plotArea>
    <c:legend>
      <c:legendPos val="b"/>
      <c:layout>
        <c:manualLayout>
          <c:xMode val="edge"/>
          <c:yMode val="edge"/>
          <c:x val="0.807375"/>
          <c:y val="0.1355"/>
          <c:w val="0.188875"/>
          <c:h val="0.0611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Otomi</cp:lastModifiedBy>
  <cp:lastPrinted>2020-10-23T06:30:00Z</cp:lastPrinted>
  <dcterms:modified xsi:type="dcterms:W3CDTF">2023-10-26T02:14:07Z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D5C01E873BE64345A467B87C237957F2_12</vt:lpwstr>
  </property>
</Properties>
</file>