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bookmarkStart w:id="0" w:name="G010000"/>
      <w:r>
        <w:rPr>
          <w:rFonts w:hint="eastAsia" w:ascii="黑体" w:hAnsi="黑体" w:eastAsia="黑体"/>
          <w:b/>
          <w:sz w:val="36"/>
          <w:szCs w:val="36"/>
        </w:rPr>
        <w:t>西安市阎良区人民检察院2017年度部门决算</w:t>
      </w:r>
    </w:p>
    <w:bookmarkEnd w:id="0"/>
    <w:p>
      <w:pPr>
        <w:spacing w:line="360" w:lineRule="auto"/>
        <w:jc w:val="center"/>
        <w:rPr>
          <w:rFonts w:ascii="黑体" w:hAnsi="黑体" w:eastAsia="黑体"/>
          <w:sz w:val="24"/>
        </w:rPr>
      </w:pPr>
    </w:p>
    <w:p>
      <w:pPr>
        <w:spacing w:line="360" w:lineRule="auto"/>
        <w:ind w:firstLine="602" w:firstLineChars="200"/>
        <w:rPr>
          <w:rFonts w:ascii="仿宋_GB2312" w:hAnsi="黑体" w:eastAsia="仿宋_GB2312"/>
          <w:b/>
          <w:sz w:val="30"/>
          <w:szCs w:val="30"/>
        </w:rPr>
      </w:pPr>
      <w:r>
        <w:rPr>
          <w:rFonts w:hint="eastAsia" w:ascii="仿宋_GB2312" w:hAnsi="黑体" w:eastAsia="仿宋_GB2312"/>
          <w:b/>
          <w:sz w:val="30"/>
          <w:szCs w:val="30"/>
        </w:rPr>
        <w:t>一、部门（单位）情况</w:t>
      </w:r>
    </w:p>
    <w:p>
      <w:pPr>
        <w:spacing w:line="360" w:lineRule="auto"/>
        <w:ind w:firstLine="643" w:firstLineChars="200"/>
        <w:rPr>
          <w:rFonts w:ascii="仿宋_GB2312" w:hAnsi="仿宋" w:eastAsia="仿宋_GB2312"/>
          <w:b/>
          <w:sz w:val="32"/>
          <w:szCs w:val="32"/>
        </w:rPr>
      </w:pPr>
      <w:r>
        <w:rPr>
          <w:rFonts w:hint="eastAsia" w:ascii="仿宋_GB2312" w:hAnsi="仿宋" w:eastAsia="仿宋_GB2312"/>
          <w:b/>
          <w:sz w:val="32"/>
          <w:szCs w:val="32"/>
        </w:rPr>
        <w:t>（一）基本情况</w:t>
      </w:r>
    </w:p>
    <w:p>
      <w:pPr>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1．主要职能。</w:t>
      </w:r>
    </w:p>
    <w:p>
      <w:pPr>
        <w:ind w:firstLine="600" w:firstLineChars="200"/>
        <w:rPr>
          <w:rFonts w:ascii="仿宋_GB2312" w:hAnsi="Calibri" w:eastAsia="仿宋_GB2312"/>
          <w:sz w:val="30"/>
          <w:szCs w:val="30"/>
        </w:rPr>
      </w:pPr>
      <w:r>
        <w:rPr>
          <w:rFonts w:hint="eastAsia" w:ascii="仿宋_GB2312" w:eastAsia="仿宋_GB2312"/>
          <w:sz w:val="30"/>
          <w:szCs w:val="30"/>
        </w:rPr>
        <w:t>人民检察院是国家的法律监督机关。西安市阎良区人民检察院在区委的领导下，按照管辖范围依法开展各项检察工作，履行法律监督职能:对区人民代表大会及其常务委员会负责并报告工作，接受市区人民代表大会及其常务委员会的监督，接受人民检察院的领导并对其负责。主要职责如下：</w:t>
      </w:r>
    </w:p>
    <w:p>
      <w:pPr>
        <w:ind w:firstLine="600" w:firstLineChars="200"/>
        <w:rPr>
          <w:rFonts w:ascii="仿宋_GB2312" w:eastAsia="仿宋_GB2312"/>
          <w:sz w:val="30"/>
          <w:szCs w:val="30"/>
        </w:rPr>
      </w:pPr>
      <w:r>
        <w:rPr>
          <w:rFonts w:hint="eastAsia" w:ascii="仿宋_GB2312" w:eastAsia="仿宋_GB2312"/>
          <w:sz w:val="30"/>
          <w:szCs w:val="30"/>
        </w:rPr>
        <w:t>（一）依法向区人民</w:t>
      </w:r>
      <w:r>
        <w:rPr>
          <w:rFonts w:hint="eastAsia" w:ascii="仿宋_GB2312" w:eastAsia="仿宋_GB2312"/>
          <w:sz w:val="30"/>
          <w:szCs w:val="30"/>
          <w:lang w:val="en-US" w:eastAsia="zh-CN"/>
        </w:rPr>
        <w:t>代</w:t>
      </w:r>
      <w:bookmarkStart w:id="1" w:name="_GoBack"/>
      <w:bookmarkEnd w:id="1"/>
      <w:r>
        <w:rPr>
          <w:rFonts w:hint="eastAsia" w:ascii="仿宋_GB2312" w:eastAsia="仿宋_GB2312"/>
          <w:sz w:val="30"/>
          <w:szCs w:val="30"/>
        </w:rPr>
        <w:t>表大会及其常务委员会提出议案。</w:t>
      </w:r>
    </w:p>
    <w:p>
      <w:pPr>
        <w:ind w:firstLine="600" w:firstLineChars="200"/>
        <w:rPr>
          <w:rFonts w:ascii="仿宋_GB2312" w:eastAsia="仿宋_GB2312"/>
          <w:sz w:val="30"/>
          <w:szCs w:val="30"/>
        </w:rPr>
      </w:pPr>
      <w:r>
        <w:rPr>
          <w:rFonts w:hint="eastAsia" w:ascii="仿宋_GB2312" w:eastAsia="仿宋_GB2312"/>
          <w:sz w:val="30"/>
          <w:szCs w:val="30"/>
        </w:rPr>
        <w:t>（二）根据高检院的检察方针和省、市人民检察院的工作部署，结合阎良区实际，制定有关检察工作的实施办法，部署检察工作任务并组织实施。</w:t>
      </w:r>
    </w:p>
    <w:p>
      <w:pPr>
        <w:ind w:firstLine="600" w:firstLineChars="200"/>
        <w:rPr>
          <w:rFonts w:ascii="仿宋_GB2312" w:eastAsia="仿宋_GB2312"/>
          <w:sz w:val="30"/>
          <w:szCs w:val="30"/>
        </w:rPr>
      </w:pPr>
      <w:r>
        <w:rPr>
          <w:rFonts w:hint="eastAsia" w:ascii="仿宋_GB2312" w:eastAsia="仿宋_GB2312"/>
          <w:sz w:val="30"/>
          <w:szCs w:val="30"/>
        </w:rPr>
        <w:t>（三）依法对贪污贿赂犯罪、国家机关工作人员渎职犯罪和国家机关工作人员利用职权实施的非法拘禁、刑讯逼供、报复陷害、非法搜查等侵犯公民人身权利与侵犯公民民主权利的犯罪以及认为需要区人民检察院直接受理的国家机关工作人员利用职权实施的其他重大犯罪案件进行侦查。</w:t>
      </w:r>
    </w:p>
    <w:p>
      <w:pPr>
        <w:ind w:firstLine="600" w:firstLineChars="200"/>
        <w:rPr>
          <w:rFonts w:ascii="仿宋_GB2312" w:eastAsia="仿宋_GB2312"/>
          <w:sz w:val="30"/>
          <w:szCs w:val="30"/>
        </w:rPr>
      </w:pPr>
      <w:r>
        <w:rPr>
          <w:rFonts w:hint="eastAsia" w:ascii="仿宋_GB2312" w:eastAsia="仿宋_GB2312"/>
          <w:sz w:val="30"/>
          <w:szCs w:val="30"/>
        </w:rPr>
        <w:t>（四）对刑事犯罪案件依法审查批准逮捕、决定逮捕。依法履行刑事立案监督、侦查监督。</w:t>
      </w:r>
    </w:p>
    <w:p>
      <w:pPr>
        <w:ind w:firstLine="600" w:firstLineChars="200"/>
        <w:rPr>
          <w:rFonts w:ascii="仿宋_GB2312" w:eastAsia="仿宋_GB2312"/>
          <w:sz w:val="30"/>
          <w:szCs w:val="30"/>
        </w:rPr>
      </w:pPr>
      <w:r>
        <w:rPr>
          <w:rFonts w:hint="eastAsia" w:ascii="仿宋_GB2312" w:eastAsia="仿宋_GB2312"/>
          <w:sz w:val="30"/>
          <w:szCs w:val="30"/>
        </w:rPr>
        <w:t>（五）对刑事犯罪案件依法审查提起公诉。依法履行审判监督和对刑事判决、裁定的监督职能。</w:t>
      </w:r>
    </w:p>
    <w:p>
      <w:pPr>
        <w:ind w:firstLine="600" w:firstLineChars="200"/>
        <w:rPr>
          <w:rFonts w:ascii="仿宋_GB2312" w:eastAsia="仿宋_GB2312"/>
          <w:sz w:val="30"/>
          <w:szCs w:val="30"/>
        </w:rPr>
      </w:pPr>
      <w:r>
        <w:rPr>
          <w:rFonts w:hint="eastAsia" w:ascii="仿宋_GB2312" w:eastAsia="仿宋_GB2312"/>
          <w:sz w:val="30"/>
          <w:szCs w:val="30"/>
        </w:rPr>
        <w:t>（六）依法开展对民事审判和行政诉讼活动的法律监督工作。</w:t>
      </w:r>
    </w:p>
    <w:p>
      <w:pPr>
        <w:ind w:firstLine="600" w:firstLineChars="200"/>
        <w:rPr>
          <w:rFonts w:ascii="仿宋_GB2312" w:eastAsia="仿宋_GB2312"/>
          <w:sz w:val="30"/>
          <w:szCs w:val="30"/>
        </w:rPr>
      </w:pPr>
      <w:r>
        <w:rPr>
          <w:rFonts w:hint="eastAsia" w:ascii="仿宋_GB2312" w:eastAsia="仿宋_GB2312"/>
          <w:sz w:val="30"/>
          <w:szCs w:val="30"/>
        </w:rPr>
        <w:t>（七）依法对执行机关执行刑罚的活动是否合法实行监督。</w:t>
      </w:r>
    </w:p>
    <w:p>
      <w:pPr>
        <w:ind w:firstLine="600" w:firstLineChars="200"/>
        <w:rPr>
          <w:rFonts w:ascii="仿宋_GB2312" w:eastAsia="仿宋_GB2312"/>
          <w:sz w:val="30"/>
          <w:szCs w:val="30"/>
        </w:rPr>
      </w:pPr>
      <w:r>
        <w:rPr>
          <w:rFonts w:hint="eastAsia" w:ascii="仿宋_GB2312" w:eastAsia="仿宋_GB2312"/>
          <w:sz w:val="30"/>
          <w:szCs w:val="30"/>
        </w:rPr>
        <w:t>（八）对区人民法院已经发生法律效力、确有错误的判决和裁定，依法提请抗诉。</w:t>
      </w:r>
    </w:p>
    <w:p>
      <w:pPr>
        <w:ind w:firstLine="600" w:firstLineChars="200"/>
        <w:rPr>
          <w:rFonts w:ascii="仿宋_GB2312" w:eastAsia="仿宋_GB2312"/>
          <w:sz w:val="30"/>
          <w:szCs w:val="30"/>
        </w:rPr>
      </w:pPr>
      <w:r>
        <w:rPr>
          <w:rFonts w:hint="eastAsia" w:ascii="仿宋_GB2312" w:eastAsia="仿宋_GB2312"/>
          <w:sz w:val="30"/>
          <w:szCs w:val="30"/>
        </w:rPr>
        <w:t>（九）办理刑事赔偿事项。</w:t>
      </w:r>
    </w:p>
    <w:p>
      <w:pPr>
        <w:ind w:firstLine="600" w:firstLineChars="200"/>
        <w:rPr>
          <w:rFonts w:ascii="仿宋_GB2312" w:eastAsia="仿宋_GB2312"/>
          <w:sz w:val="30"/>
          <w:szCs w:val="30"/>
        </w:rPr>
      </w:pPr>
      <w:r>
        <w:rPr>
          <w:rFonts w:hint="eastAsia" w:ascii="仿宋_GB2312" w:eastAsia="仿宋_GB2312"/>
          <w:sz w:val="30"/>
          <w:szCs w:val="30"/>
        </w:rPr>
        <w:t>（十）受理单位和个人的报案、控告、申诉、举报以及犯罪嫌疑人的自首。</w:t>
      </w:r>
    </w:p>
    <w:p>
      <w:pPr>
        <w:ind w:firstLine="600" w:firstLineChars="200"/>
        <w:rPr>
          <w:rFonts w:ascii="仿宋_GB2312" w:eastAsia="仿宋_GB2312"/>
          <w:sz w:val="30"/>
          <w:szCs w:val="30"/>
        </w:rPr>
      </w:pPr>
      <w:r>
        <w:rPr>
          <w:rFonts w:hint="eastAsia" w:ascii="仿宋_GB2312" w:eastAsia="仿宋_GB2312"/>
          <w:sz w:val="30"/>
          <w:szCs w:val="30"/>
        </w:rPr>
        <w:t>（十一）对国家机关工作人员的职务犯罪预防工作进行研究并提出职务犯罪的预防对策；负责职务犯罪预防工作的法制宣传；参与社会治安综合治理工作。</w:t>
      </w:r>
    </w:p>
    <w:p>
      <w:pPr>
        <w:ind w:firstLine="600" w:firstLineChars="200"/>
        <w:rPr>
          <w:rFonts w:ascii="仿宋_GB2312" w:eastAsia="仿宋_GB2312"/>
          <w:sz w:val="30"/>
          <w:szCs w:val="30"/>
        </w:rPr>
      </w:pPr>
      <w:r>
        <w:rPr>
          <w:rFonts w:hint="eastAsia" w:ascii="仿宋_GB2312" w:eastAsia="仿宋_GB2312"/>
          <w:sz w:val="30"/>
          <w:szCs w:val="30"/>
        </w:rPr>
        <w:t>（十二）对检察工作中具体应用法律问题进行研究，并向市人民检察院提出立法和司法解释建议。</w:t>
      </w:r>
    </w:p>
    <w:p>
      <w:pPr>
        <w:ind w:firstLine="600" w:firstLineChars="200"/>
        <w:rPr>
          <w:rFonts w:ascii="仿宋_GB2312" w:eastAsia="仿宋_GB2312"/>
          <w:sz w:val="30"/>
          <w:szCs w:val="30"/>
        </w:rPr>
      </w:pPr>
      <w:r>
        <w:rPr>
          <w:rFonts w:hint="eastAsia" w:ascii="仿宋_GB2312" w:eastAsia="仿宋_GB2312"/>
          <w:sz w:val="30"/>
          <w:szCs w:val="30"/>
        </w:rPr>
        <w:t>（十三）负责检察机关的队伍建设和思想政治工作；依法管理检察官及其他检察人员。</w:t>
      </w:r>
    </w:p>
    <w:p>
      <w:pPr>
        <w:ind w:firstLine="600" w:firstLineChars="200"/>
        <w:rPr>
          <w:rFonts w:ascii="仿宋_GB2312" w:eastAsia="仿宋_GB2312"/>
          <w:sz w:val="30"/>
          <w:szCs w:val="30"/>
        </w:rPr>
      </w:pPr>
      <w:r>
        <w:rPr>
          <w:rFonts w:hint="eastAsia" w:ascii="仿宋_GB2312" w:eastAsia="仿宋_GB2312"/>
          <w:sz w:val="30"/>
          <w:szCs w:val="30"/>
        </w:rPr>
        <w:t>（十四）组织检察干部教育培训工作。</w:t>
      </w:r>
    </w:p>
    <w:p>
      <w:pPr>
        <w:ind w:firstLine="600" w:firstLineChars="200"/>
        <w:rPr>
          <w:rFonts w:ascii="仿宋_GB2312" w:eastAsia="仿宋_GB2312"/>
          <w:sz w:val="30"/>
          <w:szCs w:val="30"/>
        </w:rPr>
      </w:pPr>
      <w:r>
        <w:rPr>
          <w:rFonts w:hint="eastAsia" w:ascii="仿宋_GB2312" w:eastAsia="仿宋_GB2312"/>
          <w:sz w:val="30"/>
          <w:szCs w:val="30"/>
        </w:rPr>
        <w:t>（十五）管理区人民检察院的财务装备工作；开展检察技术信息工作。</w:t>
      </w:r>
    </w:p>
    <w:p>
      <w:pPr>
        <w:ind w:firstLine="600" w:firstLineChars="200"/>
        <w:rPr>
          <w:rFonts w:ascii="仿宋_GB2312" w:eastAsia="仿宋_GB2312"/>
          <w:sz w:val="30"/>
          <w:szCs w:val="30"/>
        </w:rPr>
      </w:pPr>
      <w:r>
        <w:rPr>
          <w:rFonts w:hint="eastAsia" w:ascii="仿宋_GB2312" w:eastAsia="仿宋_GB2312"/>
          <w:sz w:val="30"/>
          <w:szCs w:val="30"/>
        </w:rPr>
        <w:t>（十六）负责其他应当由区人民检察院承办的事项。</w:t>
      </w:r>
    </w:p>
    <w:p>
      <w:pPr>
        <w:pStyle w:val="4"/>
        <w:shd w:val="clear" w:color="auto" w:fill="FFFFFF"/>
        <w:spacing w:before="0" w:beforeAutospacing="0" w:after="0" w:afterAutospacing="0"/>
        <w:ind w:firstLine="585"/>
        <w:rPr>
          <w:rFonts w:ascii="楷体_GB2312" w:hAnsi="楷体" w:eastAsia="楷体_GB2312"/>
          <w:b/>
          <w:color w:val="000000"/>
          <w:sz w:val="32"/>
          <w:szCs w:val="32"/>
        </w:rPr>
      </w:pPr>
      <w:r>
        <w:rPr>
          <w:rFonts w:hint="eastAsia" w:ascii="楷体_GB2312" w:hAnsi="楷体" w:eastAsia="楷体_GB2312"/>
          <w:b/>
          <w:color w:val="000000"/>
          <w:sz w:val="32"/>
          <w:szCs w:val="32"/>
        </w:rPr>
        <w:t>（二）部门决算单位构成和机构设置</w:t>
      </w:r>
    </w:p>
    <w:p>
      <w:pPr>
        <w:ind w:firstLine="640" w:firstLineChars="200"/>
        <w:rPr>
          <w:rFonts w:ascii="仿宋" w:hAnsi="仿宋" w:eastAsia="仿宋"/>
          <w:sz w:val="32"/>
          <w:szCs w:val="32"/>
        </w:rPr>
      </w:pPr>
      <w:r>
        <w:rPr>
          <w:rFonts w:hint="eastAsia" w:ascii="仿宋" w:hAnsi="仿宋" w:eastAsia="仿宋"/>
          <w:sz w:val="32"/>
          <w:szCs w:val="32"/>
        </w:rPr>
        <w:t>从决算单位构成看，本部门的决算包括部门本级决算，无所属事业单位。</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机构设置：西安市阎良区人民检察院共行政科室11个</w:t>
      </w:r>
    </w:p>
    <w:p>
      <w:pPr>
        <w:pStyle w:val="4"/>
        <w:shd w:val="clear" w:color="auto" w:fill="FFFFFF"/>
        <w:spacing w:before="0" w:beforeAutospacing="0" w:after="0" w:afterAutospacing="0"/>
        <w:ind w:firstLine="585"/>
        <w:rPr>
          <w:rStyle w:val="7"/>
          <w:rFonts w:ascii="黑体" w:hAnsi="黑体" w:eastAsia="黑体"/>
          <w:b w:val="0"/>
          <w:sz w:val="32"/>
          <w:szCs w:val="32"/>
        </w:rPr>
      </w:pPr>
      <w:r>
        <w:rPr>
          <w:rStyle w:val="7"/>
          <w:rFonts w:hint="eastAsia" w:ascii="黑体" w:hAnsi="黑体" w:eastAsia="黑体"/>
          <w:b w:val="0"/>
          <w:color w:val="000000"/>
          <w:sz w:val="32"/>
          <w:szCs w:val="32"/>
        </w:rPr>
        <w:t>二、2017年度部门决算情况说明</w:t>
      </w:r>
    </w:p>
    <w:p>
      <w:pPr>
        <w:pStyle w:val="4"/>
        <w:shd w:val="clear" w:color="auto" w:fill="FFFFFF"/>
        <w:spacing w:before="0" w:beforeAutospacing="0" w:after="0" w:afterAutospacing="0"/>
        <w:ind w:firstLine="585"/>
        <w:rPr>
          <w:rStyle w:val="7"/>
          <w:rFonts w:ascii="楷体_GB2312" w:eastAsia="楷体_GB2312"/>
          <w:color w:val="000000"/>
          <w:sz w:val="32"/>
          <w:szCs w:val="32"/>
        </w:rPr>
      </w:pPr>
      <w:r>
        <w:rPr>
          <w:rStyle w:val="7"/>
          <w:rFonts w:hint="eastAsia" w:ascii="楷体_GB2312" w:eastAsia="楷体_GB2312"/>
          <w:color w:val="000000"/>
          <w:sz w:val="32"/>
          <w:szCs w:val="32"/>
        </w:rPr>
        <w:t>（一）2017年度收入支出决算总体情况</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b/>
          <w:color w:val="000000"/>
          <w:sz w:val="32"/>
          <w:szCs w:val="32"/>
        </w:rPr>
        <w:t>1.本年度收入支出总体情况</w:t>
      </w:r>
    </w:p>
    <w:p>
      <w:pPr>
        <w:pStyle w:val="4"/>
        <w:shd w:val="clear" w:color="auto" w:fill="FFFFFF"/>
        <w:spacing w:before="0" w:beforeAutospacing="0" w:after="0" w:afterAutospacing="0"/>
        <w:rPr>
          <w:rFonts w:ascii="仿宋_GB2312" w:eastAsia="仿宋_GB2312"/>
          <w:color w:val="000000"/>
          <w:sz w:val="32"/>
          <w:szCs w:val="32"/>
        </w:rPr>
      </w:pPr>
      <w:r>
        <w:rPr>
          <w:rFonts w:hint="eastAsia" w:ascii="仿宋_GB2312" w:eastAsia="仿宋_GB2312"/>
          <w:color w:val="000000"/>
          <w:sz w:val="32"/>
          <w:szCs w:val="32"/>
        </w:rPr>
        <w:t>　　（1）2017年度本年收入合计955.51万元，较上年增加318.41万元，主要原因为增加了绩效工资、中省转移支付资金等。</w:t>
      </w:r>
    </w:p>
    <w:p>
      <w:pPr>
        <w:pStyle w:val="4"/>
        <w:shd w:val="clear" w:color="auto" w:fill="FFFFFF"/>
        <w:spacing w:before="0" w:beforeAutospacing="0" w:after="0" w:afterAutospacing="0"/>
        <w:rPr>
          <w:rFonts w:ascii="仿宋_GB2312" w:eastAsia="仿宋_GB2312"/>
          <w:color w:val="000000"/>
          <w:sz w:val="32"/>
          <w:szCs w:val="32"/>
        </w:rPr>
      </w:pPr>
      <w:r>
        <w:rPr>
          <w:rFonts w:hint="eastAsia" w:ascii="仿宋_GB2312" w:eastAsia="仿宋_GB2312"/>
          <w:color w:val="000000"/>
          <w:sz w:val="32"/>
          <w:szCs w:val="32"/>
        </w:rPr>
        <w:t>　　（2）2017年度本年支出合计943.79万元，较上年增加237.72万元，主要原因是加大中省转移支付资金支出及绩效工资等。</w:t>
      </w:r>
    </w:p>
    <w:p>
      <w:pPr>
        <w:pStyle w:val="4"/>
        <w:shd w:val="clear" w:color="auto" w:fill="FFFFFF"/>
        <w:spacing w:before="0" w:beforeAutospacing="0" w:after="0" w:afterAutospacing="0"/>
        <w:ind w:firstLine="585"/>
        <w:rPr>
          <w:rFonts w:ascii="仿宋_GB2312" w:eastAsia="仿宋_GB2312"/>
          <w:b/>
          <w:color w:val="000000"/>
          <w:sz w:val="32"/>
          <w:szCs w:val="32"/>
        </w:rPr>
      </w:pPr>
      <w:r>
        <w:rPr>
          <w:rFonts w:hint="eastAsia" w:ascii="仿宋_GB2312" w:eastAsia="仿宋_GB2312"/>
          <w:b/>
          <w:color w:val="000000"/>
          <w:sz w:val="32"/>
          <w:szCs w:val="32"/>
        </w:rPr>
        <w:t>2.本年收入构成情况</w:t>
      </w:r>
    </w:p>
    <w:p>
      <w:pPr>
        <w:pStyle w:val="4"/>
        <w:numPr>
          <w:ilvl w:val="0"/>
          <w:numId w:val="1"/>
        </w:numPr>
        <w:shd w:val="clear" w:color="auto" w:fill="FFFFFF"/>
        <w:spacing w:before="0" w:beforeAutospacing="0" w:after="0" w:afterAutospacing="0"/>
        <w:rPr>
          <w:rFonts w:ascii="仿宋_GB2312" w:eastAsia="仿宋_GB2312"/>
          <w:color w:val="000000"/>
          <w:sz w:val="32"/>
          <w:szCs w:val="32"/>
        </w:rPr>
      </w:pPr>
      <w:r>
        <w:rPr>
          <w:rFonts w:hint="eastAsia" w:ascii="仿宋_GB2312" w:eastAsia="仿宋_GB2312"/>
          <w:color w:val="000000"/>
          <w:sz w:val="32"/>
          <w:szCs w:val="32"/>
        </w:rPr>
        <w:t>2017年度本年收入合计955.51万元。其中</w:t>
      </w:r>
    </w:p>
    <w:p>
      <w:pPr>
        <w:pStyle w:val="4"/>
        <w:numPr>
          <w:ilvl w:val="0"/>
          <w:numId w:val="1"/>
        </w:numPr>
        <w:shd w:val="clear" w:color="auto" w:fill="FFFFFF"/>
        <w:spacing w:before="0" w:beforeAutospacing="0" w:after="0" w:afterAutospacing="0"/>
        <w:rPr>
          <w:rFonts w:ascii="仿宋_GB2312" w:eastAsia="仿宋_GB2312"/>
          <w:color w:val="000000"/>
          <w:sz w:val="32"/>
          <w:szCs w:val="32"/>
        </w:rPr>
      </w:pPr>
      <w:r>
        <w:rPr>
          <w:rFonts w:hint="eastAsia" w:ascii="仿宋_GB2312" w:eastAsia="仿宋_GB2312"/>
          <w:color w:val="000000"/>
          <w:sz w:val="32"/>
          <w:szCs w:val="32"/>
        </w:rPr>
        <w:t>财政拨款955.51万元。支出总计706.07万元。</w:t>
      </w:r>
    </w:p>
    <w:p>
      <w:pPr>
        <w:pStyle w:val="4"/>
        <w:shd w:val="clear" w:color="auto" w:fill="FFFFFF"/>
        <w:spacing w:before="0" w:beforeAutospacing="0" w:after="0" w:afterAutospacing="0"/>
        <w:ind w:left="585"/>
        <w:rPr>
          <w:rFonts w:ascii="仿宋_GB2312" w:eastAsia="仿宋_GB2312"/>
          <w:color w:val="000000"/>
          <w:sz w:val="32"/>
          <w:szCs w:val="32"/>
        </w:rPr>
      </w:pPr>
      <w:r>
        <w:rPr>
          <w:rFonts w:hint="eastAsia" w:ascii="仿宋_GB2312" w:eastAsia="仿宋_GB2312"/>
          <w:color w:val="000000"/>
          <w:sz w:val="32"/>
          <w:szCs w:val="32"/>
        </w:rPr>
        <w:t>3.本年支出构成情况</w:t>
      </w:r>
    </w:p>
    <w:p>
      <w:pPr>
        <w:pStyle w:val="4"/>
        <w:shd w:val="clear" w:color="auto" w:fill="FFFFFF"/>
        <w:spacing w:before="0" w:beforeAutospacing="0" w:after="0" w:afterAutospacing="0"/>
        <w:ind w:left="585"/>
        <w:rPr>
          <w:rFonts w:ascii="仿宋_GB2312" w:eastAsia="仿宋_GB2312"/>
          <w:color w:val="000000"/>
          <w:sz w:val="32"/>
          <w:szCs w:val="32"/>
        </w:rPr>
      </w:pPr>
      <w:r>
        <w:rPr>
          <w:rFonts w:hint="eastAsia" w:ascii="仿宋_GB2312" w:eastAsia="仿宋_GB2312"/>
          <w:color w:val="000000"/>
          <w:sz w:val="32"/>
          <w:szCs w:val="32"/>
        </w:rPr>
        <w:t>2017年本年支出合计943.79万元。其中</w:t>
      </w:r>
    </w:p>
    <w:p>
      <w:pPr>
        <w:pStyle w:val="4"/>
        <w:shd w:val="clear" w:color="auto" w:fill="FFFFFF"/>
        <w:spacing w:before="0" w:beforeAutospacing="0" w:after="0" w:afterAutospacing="0"/>
        <w:rPr>
          <w:rFonts w:ascii="仿宋_GB2312" w:eastAsia="仿宋_GB2312"/>
          <w:color w:val="000000"/>
          <w:sz w:val="32"/>
          <w:szCs w:val="32"/>
        </w:rPr>
      </w:pPr>
      <w:r>
        <w:rPr>
          <w:rFonts w:hint="eastAsia" w:ascii="仿宋_GB2312" w:eastAsia="仿宋_GB2312"/>
          <w:color w:val="000000"/>
          <w:sz w:val="32"/>
          <w:szCs w:val="32"/>
        </w:rPr>
        <w:t>　　（1）基本支出729.71万元，主要是为保障机构正常运转、完成日常工作任务而发生的各项支出。包括人员经费605.14万元和公用经费124.57万元。</w:t>
      </w:r>
    </w:p>
    <w:p>
      <w:pPr>
        <w:pStyle w:val="4"/>
        <w:shd w:val="clear" w:color="auto" w:fill="FFFFFF"/>
        <w:spacing w:before="0" w:beforeAutospacing="0" w:after="0" w:afterAutospacing="0"/>
        <w:ind w:firstLine="600"/>
        <w:rPr>
          <w:rFonts w:ascii="仿宋_GB2312" w:eastAsia="仿宋_GB2312"/>
          <w:color w:val="000000"/>
          <w:sz w:val="32"/>
          <w:szCs w:val="32"/>
        </w:rPr>
      </w:pPr>
      <w:r>
        <w:rPr>
          <w:rFonts w:hint="eastAsia" w:ascii="仿宋_GB2312" w:eastAsia="仿宋_GB2312"/>
          <w:color w:val="000000"/>
          <w:sz w:val="32"/>
          <w:szCs w:val="32"/>
        </w:rPr>
        <w:t>（2）项目支出214.08万元，主要是为完成特定的工作任务或事业发展目标，在基本支出之外安排的支出，包括检察一般行政管理事务58.8万元，其他检察支出155.28万元。</w:t>
      </w:r>
    </w:p>
    <w:p>
      <w:pPr>
        <w:pStyle w:val="4"/>
        <w:shd w:val="clear" w:color="auto" w:fill="FFFFFF"/>
        <w:spacing w:before="0" w:beforeAutospacing="0" w:after="0" w:afterAutospacing="0"/>
        <w:ind w:firstLine="585"/>
        <w:rPr>
          <w:rStyle w:val="7"/>
          <w:rFonts w:ascii="楷体_GB2312" w:eastAsia="楷体_GB2312"/>
          <w:b w:val="0"/>
        </w:rPr>
      </w:pPr>
      <w:r>
        <w:rPr>
          <w:rStyle w:val="7"/>
          <w:rFonts w:hint="eastAsia" w:ascii="楷体_GB2312" w:eastAsia="楷体_GB2312"/>
          <w:color w:val="000000"/>
          <w:sz w:val="32"/>
          <w:szCs w:val="32"/>
        </w:rPr>
        <w:t>（二）2017年度一般公共预算财政拨款支出决算总体情况</w:t>
      </w:r>
    </w:p>
    <w:p>
      <w:pPr>
        <w:pStyle w:val="4"/>
        <w:shd w:val="clear" w:color="auto" w:fill="FFFFFF"/>
        <w:spacing w:before="0" w:beforeAutospacing="0" w:after="0" w:afterAutospacing="0"/>
        <w:ind w:firstLine="585"/>
        <w:rPr>
          <w:rStyle w:val="7"/>
          <w:rFonts w:ascii="仿宋_GB2312" w:eastAsia="仿宋_GB2312"/>
          <w:color w:val="000000"/>
          <w:sz w:val="32"/>
          <w:szCs w:val="32"/>
        </w:rPr>
      </w:pPr>
      <w:r>
        <w:rPr>
          <w:rStyle w:val="7"/>
          <w:rFonts w:ascii="仿宋_GB2312" w:eastAsia="仿宋_GB2312"/>
          <w:color w:val="000000"/>
          <w:sz w:val="32"/>
          <w:szCs w:val="32"/>
        </w:rPr>
        <w:t>1</w:t>
      </w:r>
      <w:r>
        <w:rPr>
          <w:rStyle w:val="7"/>
          <w:rFonts w:hint="eastAsia" w:ascii="仿宋_GB2312" w:eastAsia="仿宋_GB2312"/>
          <w:color w:val="000000"/>
          <w:sz w:val="32"/>
          <w:szCs w:val="32"/>
        </w:rPr>
        <w:t>.</w:t>
      </w:r>
      <w:r>
        <w:rPr>
          <w:rStyle w:val="7"/>
          <w:rFonts w:ascii="仿宋_GB2312" w:eastAsia="仿宋_GB2312"/>
          <w:color w:val="000000"/>
          <w:sz w:val="32"/>
          <w:szCs w:val="32"/>
        </w:rPr>
        <w:t>一般公共预算财政拨款支出总体情况</w:t>
      </w:r>
    </w:p>
    <w:p>
      <w:pPr>
        <w:pStyle w:val="4"/>
        <w:shd w:val="clear" w:color="auto" w:fill="FFFFFF"/>
        <w:spacing w:before="0" w:beforeAutospacing="0" w:after="0" w:afterAutospacing="0"/>
        <w:rPr>
          <w:rFonts w:ascii="仿宋_GB2312" w:eastAsia="仿宋_GB2312"/>
          <w:color w:val="000000"/>
          <w:sz w:val="32"/>
          <w:szCs w:val="32"/>
        </w:rPr>
      </w:pPr>
      <w:r>
        <w:rPr>
          <w:rFonts w:hint="eastAsia" w:ascii="仿宋_GB2312" w:eastAsia="仿宋_GB2312"/>
          <w:color w:val="000000"/>
          <w:sz w:val="32"/>
          <w:szCs w:val="32"/>
        </w:rPr>
        <w:t>2017年度</w:t>
      </w:r>
      <w:r>
        <w:rPr>
          <w:rStyle w:val="7"/>
          <w:rFonts w:ascii="仿宋_GB2312" w:eastAsia="仿宋_GB2312"/>
          <w:b w:val="0"/>
          <w:color w:val="000000"/>
          <w:sz w:val="32"/>
          <w:szCs w:val="32"/>
        </w:rPr>
        <w:t>一般公共预算财政拨款</w:t>
      </w:r>
      <w:r>
        <w:rPr>
          <w:rFonts w:hint="eastAsia" w:ascii="仿宋_GB2312" w:eastAsia="仿宋_GB2312"/>
          <w:color w:val="000000"/>
          <w:sz w:val="32"/>
          <w:szCs w:val="32"/>
        </w:rPr>
        <w:t>支出943.79万元，其中：基本支出729.71万元，项目支出214.08万元。2017年年度</w:t>
      </w:r>
      <w:r>
        <w:rPr>
          <w:rStyle w:val="7"/>
          <w:rFonts w:ascii="仿宋_GB2312" w:eastAsia="仿宋_GB2312"/>
          <w:b w:val="0"/>
          <w:color w:val="000000"/>
          <w:sz w:val="32"/>
          <w:szCs w:val="32"/>
        </w:rPr>
        <w:t>一般公共预算财政拨款</w:t>
      </w:r>
      <w:r>
        <w:rPr>
          <w:rFonts w:hint="eastAsia" w:ascii="仿宋_GB2312" w:eastAsia="仿宋_GB2312"/>
          <w:color w:val="000000"/>
          <w:sz w:val="32"/>
          <w:szCs w:val="32"/>
        </w:rPr>
        <w:t>支出比上年增加237.72万元，主要原因是加大中省转移支付资金支出及绩效工资等。</w:t>
      </w:r>
    </w:p>
    <w:p>
      <w:pPr>
        <w:pStyle w:val="4"/>
        <w:shd w:val="clear" w:color="auto" w:fill="FFFFFF"/>
        <w:spacing w:before="0" w:beforeAutospacing="0" w:after="0" w:afterAutospacing="0"/>
        <w:ind w:firstLine="482" w:firstLineChars="150"/>
        <w:rPr>
          <w:rStyle w:val="7"/>
          <w:rFonts w:ascii="仿宋_GB2312" w:eastAsia="仿宋_GB2312"/>
          <w:color w:val="000000"/>
          <w:sz w:val="32"/>
          <w:szCs w:val="32"/>
        </w:rPr>
      </w:pPr>
      <w:r>
        <w:rPr>
          <w:rFonts w:hint="eastAsia" w:ascii="仿宋_GB2312" w:eastAsia="仿宋_GB2312"/>
          <w:b/>
          <w:color w:val="000000"/>
          <w:sz w:val="32"/>
          <w:szCs w:val="32"/>
        </w:rPr>
        <w:t>2.</w:t>
      </w:r>
      <w:r>
        <w:rPr>
          <w:rStyle w:val="7"/>
          <w:rFonts w:ascii="仿宋_GB2312" w:eastAsia="仿宋_GB2312"/>
          <w:color w:val="000000"/>
          <w:sz w:val="32"/>
          <w:szCs w:val="32"/>
        </w:rPr>
        <w:t>一般公共预算财政拨款</w:t>
      </w:r>
      <w:r>
        <w:rPr>
          <w:rFonts w:hint="eastAsia" w:ascii="仿宋_GB2312" w:eastAsia="仿宋_GB2312"/>
          <w:b/>
          <w:color w:val="000000"/>
          <w:sz w:val="32"/>
          <w:szCs w:val="32"/>
        </w:rPr>
        <w:t>支出</w:t>
      </w:r>
      <w:r>
        <w:rPr>
          <w:rStyle w:val="7"/>
          <w:rFonts w:hint="eastAsia" w:ascii="仿宋_GB2312" w:eastAsia="仿宋_GB2312"/>
          <w:color w:val="000000"/>
          <w:sz w:val="32"/>
          <w:szCs w:val="32"/>
        </w:rPr>
        <w:t>决算构成情况</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2017年度</w:t>
      </w:r>
      <w:r>
        <w:rPr>
          <w:rStyle w:val="7"/>
          <w:rFonts w:ascii="仿宋_GB2312" w:eastAsia="仿宋_GB2312"/>
          <w:b w:val="0"/>
          <w:color w:val="000000"/>
          <w:sz w:val="32"/>
          <w:szCs w:val="32"/>
        </w:rPr>
        <w:t>一般公共预算财政拨款</w:t>
      </w:r>
      <w:r>
        <w:rPr>
          <w:rFonts w:hint="eastAsia" w:ascii="仿宋_GB2312" w:eastAsia="仿宋_GB2312"/>
          <w:color w:val="000000"/>
          <w:sz w:val="32"/>
          <w:szCs w:val="32"/>
        </w:rPr>
        <w:t>支出943.79万元，按支出功能科目分，包括：</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行政运行</w:t>
      </w:r>
      <w:r>
        <w:rPr>
          <w:rFonts w:hint="eastAsia" w:ascii="仿宋_GB2312" w:eastAsia="仿宋_GB2312"/>
          <w:color w:val="000000"/>
          <w:sz w:val="32"/>
          <w:szCs w:val="32"/>
        </w:rPr>
        <w:t>729.71万元，是反映行政单位（包括实行公务员管理的事业单位）的基本运行支出。</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（2）一般行政管理事务58.8万元，主要用于检察业务的支出。</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（3））其他检察支出155.28万元，主要用于检察业务的其他支出。</w:t>
      </w:r>
    </w:p>
    <w:p>
      <w:pPr>
        <w:pStyle w:val="4"/>
        <w:shd w:val="clear" w:color="auto" w:fill="FFFFFF"/>
        <w:spacing w:before="0" w:beforeAutospacing="0" w:after="0" w:afterAutospacing="0"/>
        <w:rPr>
          <w:rFonts w:ascii="仿宋_GB2312" w:eastAsia="仿宋_GB2312"/>
          <w:b/>
          <w:color w:val="000000"/>
          <w:sz w:val="32"/>
          <w:szCs w:val="32"/>
        </w:rPr>
      </w:pPr>
      <w:r>
        <w:rPr>
          <w:rFonts w:hint="eastAsia" w:ascii="仿宋_GB2312" w:eastAsia="仿宋_GB2312"/>
          <w:b/>
          <w:color w:val="000000"/>
          <w:sz w:val="32"/>
          <w:szCs w:val="32"/>
        </w:rPr>
        <w:t>3.一般公共预算财政拨款基本支出决算情况</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2017年度一般公共预算财政拨款基本支出729.71万元，其中：人员经费605.14万元，公用经费124.57万元，用于保障机构正常运转和日常工作需要。</w:t>
      </w:r>
    </w:p>
    <w:p>
      <w:pPr>
        <w:pStyle w:val="4"/>
        <w:shd w:val="clear" w:color="auto" w:fill="FFFFFF"/>
        <w:spacing w:before="0" w:beforeAutospacing="0" w:after="0" w:afterAutospacing="0"/>
        <w:ind w:firstLine="585"/>
        <w:rPr>
          <w:rStyle w:val="7"/>
          <w:rFonts w:ascii="楷体_GB2312" w:eastAsia="楷体_GB2312"/>
          <w:color w:val="000000"/>
          <w:sz w:val="32"/>
          <w:szCs w:val="32"/>
        </w:rPr>
      </w:pPr>
      <w:r>
        <w:rPr>
          <w:rStyle w:val="7"/>
          <w:rFonts w:hint="eastAsia" w:ascii="楷体_GB2312" w:eastAsia="楷体_GB2312"/>
          <w:color w:val="000000"/>
          <w:sz w:val="32"/>
          <w:szCs w:val="32"/>
        </w:rPr>
        <w:t>（三）“三公”经费支出决算情况</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eastAsia="仿宋_GB2312"/>
          <w:color w:val="000000"/>
          <w:sz w:val="32"/>
          <w:szCs w:val="32"/>
        </w:rPr>
        <w:t> </w:t>
      </w:r>
      <w:r>
        <w:rPr>
          <w:rFonts w:hint="eastAsia" w:ascii="仿宋_GB2312" w:eastAsia="仿宋_GB2312"/>
          <w:color w:val="000000"/>
          <w:sz w:val="32"/>
          <w:szCs w:val="32"/>
        </w:rPr>
        <w:t>2017年度</w:t>
      </w:r>
      <w:r>
        <w:rPr>
          <w:rFonts w:ascii="仿宋_GB2312" w:eastAsia="仿宋_GB2312"/>
          <w:color w:val="000000"/>
          <w:sz w:val="32"/>
          <w:szCs w:val="32"/>
        </w:rPr>
        <w:t>一般公共预算</w:t>
      </w:r>
      <w:r>
        <w:rPr>
          <w:rFonts w:hint="eastAsia" w:ascii="仿宋_GB2312" w:eastAsia="仿宋_GB2312"/>
          <w:color w:val="000000"/>
          <w:sz w:val="32"/>
          <w:szCs w:val="32"/>
        </w:rPr>
        <w:t>财政拨款安排的“三公经费”支出26.37万元，较上年同比下降3.79%。其中，因公出国（境）费用0万元，公务用车购置及运行维护费24.95万元，公务接待费1.18万元。</w:t>
      </w:r>
    </w:p>
    <w:p>
      <w:pPr>
        <w:pStyle w:val="4"/>
        <w:shd w:val="clear" w:color="auto" w:fill="FFFFFF"/>
        <w:spacing w:before="0" w:beforeAutospacing="0" w:after="0" w:afterAutospacing="0"/>
        <w:ind w:firstLine="585"/>
        <w:rPr>
          <w:rFonts w:ascii="仿宋_GB2312" w:eastAsia="仿宋_GB2312"/>
          <w:b/>
          <w:color w:val="000000"/>
          <w:sz w:val="32"/>
          <w:szCs w:val="32"/>
        </w:rPr>
      </w:pPr>
      <w:r>
        <w:rPr>
          <w:rFonts w:hint="eastAsia" w:ascii="仿宋_GB2312" w:eastAsia="仿宋_GB2312"/>
          <w:b/>
          <w:color w:val="000000"/>
          <w:sz w:val="32"/>
          <w:szCs w:val="32"/>
        </w:rPr>
        <w:t>1.因公出国（境）费用支出情况</w:t>
      </w:r>
    </w:p>
    <w:p>
      <w:pPr>
        <w:pStyle w:val="4"/>
        <w:shd w:val="clear" w:color="auto" w:fill="FFFFFF"/>
        <w:spacing w:before="0" w:beforeAutospacing="0" w:after="0" w:afterAutospacing="0"/>
        <w:ind w:firstLine="600"/>
        <w:rPr>
          <w:rFonts w:ascii="仿宋_GB2312" w:eastAsia="仿宋_GB2312"/>
          <w:color w:val="000000"/>
          <w:sz w:val="32"/>
          <w:szCs w:val="32"/>
        </w:rPr>
      </w:pPr>
      <w:r>
        <w:rPr>
          <w:rFonts w:hint="eastAsia" w:ascii="仿宋_GB2312" w:eastAsia="仿宋_GB2312"/>
          <w:color w:val="000000"/>
          <w:sz w:val="32"/>
          <w:szCs w:val="32"/>
        </w:rPr>
        <w:t>2016年度我单位因公出国支出0元.与上年相同。</w:t>
      </w:r>
    </w:p>
    <w:p>
      <w:pPr>
        <w:pStyle w:val="4"/>
        <w:shd w:val="clear" w:color="auto" w:fill="FFFFFF"/>
        <w:spacing w:before="0" w:beforeAutospacing="0" w:after="0" w:afterAutospacing="0"/>
        <w:ind w:firstLine="600"/>
        <w:rPr>
          <w:rFonts w:ascii="仿宋_GB2312" w:eastAsia="仿宋_GB2312"/>
          <w:b/>
          <w:color w:val="000000"/>
          <w:sz w:val="32"/>
          <w:szCs w:val="32"/>
        </w:rPr>
      </w:pPr>
      <w:r>
        <w:rPr>
          <w:rFonts w:hint="eastAsia" w:ascii="仿宋_GB2312" w:eastAsia="仿宋_GB2312"/>
          <w:b/>
          <w:color w:val="000000"/>
          <w:sz w:val="32"/>
          <w:szCs w:val="32"/>
        </w:rPr>
        <w:t>2.公务用车购置及运行维护费用支出情况</w:t>
      </w:r>
    </w:p>
    <w:p>
      <w:pPr>
        <w:pStyle w:val="4"/>
        <w:shd w:val="clear" w:color="auto" w:fill="FFFFFF"/>
        <w:spacing w:before="0" w:beforeAutospacing="0" w:after="0" w:afterAutospacing="0"/>
        <w:ind w:firstLine="600"/>
        <w:rPr>
          <w:rFonts w:ascii="仿宋_GB2312" w:eastAsia="仿宋_GB2312"/>
          <w:color w:val="000000"/>
          <w:sz w:val="32"/>
          <w:szCs w:val="32"/>
        </w:rPr>
      </w:pPr>
      <w:r>
        <w:rPr>
          <w:rFonts w:hint="eastAsia" w:ascii="仿宋_GB2312" w:eastAsia="仿宋_GB2312"/>
          <w:color w:val="000000"/>
          <w:sz w:val="32"/>
          <w:szCs w:val="32"/>
        </w:rPr>
        <w:t>2017年公务用车运行维护支出24.95万元，较上年同比下降9.2%。主要是（严格贯彻执行八项规定，严格控制各项车辆费用等）。</w:t>
      </w:r>
      <w:r>
        <w:rPr>
          <w:rFonts w:ascii="仿宋_GB2312" w:eastAsia="仿宋_GB2312"/>
          <w:color w:val="000000"/>
          <w:sz w:val="32"/>
          <w:szCs w:val="32"/>
        </w:rPr>
        <w:t>年末公务用车保有量</w:t>
      </w:r>
      <w:r>
        <w:rPr>
          <w:rFonts w:hint="eastAsia" w:ascii="仿宋_GB2312" w:eastAsia="仿宋_GB2312"/>
          <w:color w:val="000000"/>
          <w:sz w:val="32"/>
          <w:szCs w:val="32"/>
        </w:rPr>
        <w:t>13</w:t>
      </w:r>
      <w:r>
        <w:rPr>
          <w:rFonts w:ascii="仿宋_GB2312" w:eastAsia="仿宋_GB2312"/>
          <w:color w:val="000000"/>
          <w:sz w:val="32"/>
          <w:szCs w:val="32"/>
        </w:rPr>
        <w:t>辆。</w:t>
      </w:r>
    </w:p>
    <w:p>
      <w:pPr>
        <w:pStyle w:val="4"/>
        <w:shd w:val="clear" w:color="auto" w:fill="FFFFFF"/>
        <w:spacing w:before="0" w:beforeAutospacing="0" w:after="0" w:afterAutospacing="0"/>
        <w:ind w:firstLine="600"/>
        <w:rPr>
          <w:rFonts w:ascii="仿宋_GB2312" w:eastAsia="仿宋_GB2312"/>
          <w:color w:val="000000"/>
          <w:sz w:val="32"/>
          <w:szCs w:val="32"/>
        </w:rPr>
      </w:pPr>
      <w:r>
        <w:rPr>
          <w:rFonts w:hint="eastAsia" w:ascii="仿宋_GB2312" w:eastAsia="仿宋_GB2312"/>
          <w:b/>
          <w:color w:val="000000"/>
          <w:sz w:val="32"/>
          <w:szCs w:val="32"/>
        </w:rPr>
        <w:t>3.公务接待费支出情况</w:t>
      </w:r>
    </w:p>
    <w:p>
      <w:pPr>
        <w:ind w:left="660" w:leftChars="300" w:firstLine="480" w:firstLineChars="150"/>
        <w:rPr>
          <w:rFonts w:ascii="仿宋_GB2312" w:hAnsi="仿宋" w:eastAsia="仿宋_GB2312"/>
          <w:sz w:val="30"/>
          <w:szCs w:val="30"/>
        </w:rPr>
      </w:pPr>
      <w:r>
        <w:rPr>
          <w:rFonts w:hint="eastAsia" w:ascii="仿宋_GB2312" w:eastAsia="仿宋_GB2312"/>
          <w:color w:val="000000"/>
          <w:sz w:val="32"/>
          <w:szCs w:val="32"/>
        </w:rPr>
        <w:t>公务接待费用支出1.18万元，较上年同比下降8.5%，累计接待13批次、390人。</w:t>
      </w:r>
    </w:p>
    <w:p>
      <w:pPr>
        <w:ind w:left="900" w:hanging="900" w:hangingChars="300"/>
        <w:rPr>
          <w:rStyle w:val="7"/>
          <w:rFonts w:ascii="仿宋_GB2312" w:hAnsi="仿宋" w:eastAsia="仿宋_GB2312"/>
          <w:b w:val="0"/>
          <w:bCs w:val="0"/>
          <w:sz w:val="30"/>
          <w:szCs w:val="30"/>
        </w:rPr>
      </w:pPr>
      <w:r>
        <w:rPr>
          <w:rFonts w:hint="eastAsia" w:ascii="仿宋_GB2312" w:hAnsi="仿宋" w:eastAsia="仿宋_GB2312"/>
          <w:sz w:val="30"/>
          <w:szCs w:val="30"/>
        </w:rPr>
        <w:t xml:space="preserve">    </w:t>
      </w:r>
      <w:r>
        <w:rPr>
          <w:rStyle w:val="7"/>
          <w:rFonts w:ascii="楷体_GB2312" w:eastAsia="楷体_GB2312"/>
          <w:color w:val="000000"/>
          <w:sz w:val="32"/>
          <w:szCs w:val="32"/>
        </w:rPr>
        <w:t>（</w:t>
      </w:r>
      <w:r>
        <w:rPr>
          <w:rStyle w:val="7"/>
          <w:rFonts w:hint="eastAsia" w:ascii="楷体_GB2312" w:eastAsia="楷体_GB2312"/>
          <w:color w:val="000000"/>
          <w:sz w:val="32"/>
          <w:szCs w:val="32"/>
        </w:rPr>
        <w:t>四</w:t>
      </w:r>
      <w:r>
        <w:rPr>
          <w:rStyle w:val="7"/>
          <w:rFonts w:ascii="楷体_GB2312" w:eastAsia="楷体_GB2312"/>
          <w:color w:val="000000"/>
          <w:sz w:val="32"/>
          <w:szCs w:val="32"/>
        </w:rPr>
        <w:t>）</w:t>
      </w:r>
      <w:r>
        <w:rPr>
          <w:rStyle w:val="7"/>
          <w:rFonts w:hint="eastAsia" w:ascii="楷体_GB2312" w:eastAsia="楷体_GB2312"/>
          <w:color w:val="000000"/>
          <w:sz w:val="32"/>
          <w:szCs w:val="32"/>
        </w:rPr>
        <w:t>2017年度</w:t>
      </w:r>
      <w:r>
        <w:rPr>
          <w:rStyle w:val="7"/>
          <w:rFonts w:ascii="楷体_GB2312" w:eastAsia="楷体_GB2312"/>
          <w:color w:val="000000"/>
          <w:sz w:val="32"/>
          <w:szCs w:val="32"/>
        </w:rPr>
        <w:t>政府性基金预算财政拨款</w:t>
      </w:r>
      <w:r>
        <w:rPr>
          <w:rStyle w:val="7"/>
          <w:rFonts w:hint="eastAsia" w:ascii="楷体_GB2312" w:eastAsia="楷体_GB2312"/>
          <w:color w:val="000000"/>
          <w:sz w:val="32"/>
          <w:szCs w:val="32"/>
        </w:rPr>
        <w:t>收</w:t>
      </w:r>
      <w:r>
        <w:rPr>
          <w:rStyle w:val="7"/>
          <w:rFonts w:ascii="楷体_GB2312" w:eastAsia="楷体_GB2312"/>
          <w:color w:val="000000"/>
          <w:sz w:val="32"/>
          <w:szCs w:val="32"/>
        </w:rPr>
        <w:t>支情况</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本部门2017年度无此项收支</w:t>
      </w:r>
    </w:p>
    <w:p>
      <w:pPr>
        <w:pStyle w:val="4"/>
        <w:shd w:val="clear" w:color="auto" w:fill="FFFFFF"/>
        <w:spacing w:before="0" w:beforeAutospacing="0" w:after="0" w:afterAutospacing="0"/>
        <w:ind w:firstLine="585"/>
        <w:rPr>
          <w:rStyle w:val="7"/>
          <w:rFonts w:ascii="楷体_GB2312" w:eastAsia="楷体_GB2312"/>
          <w:color w:val="000000"/>
          <w:sz w:val="32"/>
          <w:szCs w:val="32"/>
        </w:rPr>
      </w:pPr>
      <w:r>
        <w:rPr>
          <w:rStyle w:val="7"/>
          <w:rFonts w:ascii="楷体_GB2312" w:eastAsia="楷体_GB2312"/>
          <w:color w:val="000000"/>
          <w:sz w:val="32"/>
          <w:szCs w:val="32"/>
        </w:rPr>
        <w:t>（</w:t>
      </w:r>
      <w:r>
        <w:rPr>
          <w:rStyle w:val="7"/>
          <w:rFonts w:hint="eastAsia" w:ascii="楷体_GB2312" w:eastAsia="楷体_GB2312"/>
          <w:color w:val="000000"/>
          <w:sz w:val="32"/>
          <w:szCs w:val="32"/>
        </w:rPr>
        <w:t>五</w:t>
      </w:r>
      <w:r>
        <w:rPr>
          <w:rStyle w:val="7"/>
          <w:rFonts w:ascii="楷体_GB2312" w:eastAsia="楷体_GB2312"/>
          <w:color w:val="000000"/>
          <w:sz w:val="32"/>
          <w:szCs w:val="32"/>
        </w:rPr>
        <w:t>）</w:t>
      </w:r>
      <w:r>
        <w:rPr>
          <w:rStyle w:val="7"/>
          <w:rFonts w:hint="eastAsia" w:ascii="楷体_GB2312" w:eastAsia="楷体_GB2312"/>
          <w:color w:val="000000"/>
          <w:sz w:val="32"/>
          <w:szCs w:val="32"/>
        </w:rPr>
        <w:t>2017国有资产经营财政拨款收支情况</w:t>
      </w:r>
    </w:p>
    <w:p>
      <w:pPr>
        <w:pStyle w:val="4"/>
        <w:shd w:val="clear" w:color="auto" w:fill="FFFFFF"/>
        <w:spacing w:before="0" w:beforeAutospacing="0" w:after="0" w:afterAutospacing="0"/>
        <w:ind w:firstLine="585"/>
        <w:rPr>
          <w:rFonts w:ascii="仿宋_GB2312" w:eastAsia="仿宋_GB2312"/>
          <w:color w:val="000000"/>
          <w:sz w:val="32"/>
          <w:szCs w:val="32"/>
        </w:rPr>
      </w:pPr>
      <w:r>
        <w:rPr>
          <w:rFonts w:hint="eastAsia" w:ascii="仿宋_GB2312" w:eastAsia="仿宋_GB2312"/>
          <w:color w:val="000000"/>
          <w:sz w:val="32"/>
          <w:szCs w:val="32"/>
        </w:rPr>
        <w:t>本部门2017年度无此项收支</w:t>
      </w:r>
    </w:p>
    <w:p>
      <w:pPr>
        <w:pStyle w:val="4"/>
        <w:shd w:val="clear" w:color="auto" w:fill="FFFFFF"/>
        <w:spacing w:before="0" w:beforeAutospacing="0" w:after="0" w:afterAutospacing="0"/>
        <w:ind w:firstLine="585"/>
        <w:rPr>
          <w:rStyle w:val="7"/>
          <w:rFonts w:ascii="楷体_GB2312" w:eastAsia="楷体_GB2312"/>
          <w:color w:val="000000"/>
          <w:sz w:val="32"/>
          <w:szCs w:val="32"/>
        </w:rPr>
      </w:pPr>
      <w:r>
        <w:rPr>
          <w:rStyle w:val="7"/>
          <w:rFonts w:hint="eastAsia" w:ascii="楷体_GB2312" w:eastAsia="楷体_GB2312"/>
          <w:color w:val="000000"/>
          <w:sz w:val="32"/>
          <w:szCs w:val="32"/>
        </w:rPr>
        <w:t>（六）2017年度部门绩效管理情况说明</w:t>
      </w:r>
    </w:p>
    <w:p>
      <w:pPr>
        <w:shd w:val="clear" w:color="auto" w:fill="FFFFFF"/>
        <w:spacing w:line="480" w:lineRule="auto"/>
        <w:ind w:right="84" w:firstLine="640" w:firstLineChars="200"/>
        <w:rPr>
          <w:rFonts w:ascii="仿宋" w:hAnsi="仿宋" w:eastAsia="仿宋"/>
          <w:sz w:val="32"/>
          <w:szCs w:val="32"/>
        </w:rPr>
      </w:pPr>
      <w:r>
        <w:rPr>
          <w:rFonts w:hint="eastAsia" w:ascii="仿宋" w:hAnsi="仿宋" w:eastAsia="仿宋"/>
          <w:sz w:val="32"/>
          <w:szCs w:val="32"/>
        </w:rPr>
        <w:t>2017年本部门未开展绩效自评</w:t>
      </w:r>
    </w:p>
    <w:p>
      <w:pPr>
        <w:shd w:val="clear" w:color="auto" w:fill="FFFFFF"/>
        <w:spacing w:line="480" w:lineRule="auto"/>
        <w:ind w:right="84" w:firstLine="643" w:firstLineChars="200"/>
        <w:rPr>
          <w:rStyle w:val="7"/>
          <w:rFonts w:ascii="楷体_GB2312" w:eastAsia="楷体_GB2312"/>
          <w:color w:val="000000"/>
          <w:sz w:val="32"/>
          <w:szCs w:val="32"/>
        </w:rPr>
      </w:pPr>
      <w:r>
        <w:rPr>
          <w:rStyle w:val="7"/>
          <w:rFonts w:hint="eastAsia" w:ascii="楷体_GB2312" w:eastAsia="楷体_GB2312"/>
          <w:color w:val="000000"/>
          <w:sz w:val="32"/>
          <w:szCs w:val="32"/>
        </w:rPr>
        <w:t>（七）2017年度其他重要事项情况说明</w:t>
      </w:r>
    </w:p>
    <w:p>
      <w:pPr>
        <w:pStyle w:val="4"/>
        <w:shd w:val="clear" w:color="auto" w:fill="FFFFFF"/>
        <w:spacing w:before="0" w:beforeAutospacing="0" w:after="0" w:afterAutospacing="0"/>
        <w:ind w:firstLine="640" w:firstLineChars="200"/>
        <w:rPr>
          <w:rStyle w:val="7"/>
          <w:rFonts w:ascii="仿宋" w:hAnsi="仿宋" w:eastAsia="仿宋"/>
          <w:b w:val="0"/>
          <w:color w:val="000000"/>
          <w:sz w:val="32"/>
          <w:szCs w:val="32"/>
        </w:rPr>
      </w:pPr>
      <w:r>
        <w:rPr>
          <w:rStyle w:val="7"/>
          <w:rFonts w:hint="eastAsia" w:ascii="仿宋" w:hAnsi="仿宋" w:eastAsia="仿宋"/>
          <w:b w:val="0"/>
          <w:color w:val="000000"/>
          <w:sz w:val="32"/>
          <w:szCs w:val="32"/>
        </w:rPr>
        <w:t>1.机关运行经费支出情况</w:t>
      </w:r>
    </w:p>
    <w:p>
      <w:pPr>
        <w:pStyle w:val="4"/>
        <w:shd w:val="clear" w:color="auto" w:fill="FFFFFF"/>
        <w:spacing w:before="0" w:beforeAutospacing="0" w:after="0" w:afterAutospacing="0"/>
        <w:ind w:firstLine="640" w:firstLineChars="200"/>
        <w:rPr>
          <w:rStyle w:val="7"/>
          <w:rFonts w:ascii="仿宋" w:hAnsi="仿宋" w:eastAsia="仿宋"/>
          <w:b w:val="0"/>
          <w:color w:val="000000"/>
          <w:sz w:val="32"/>
          <w:szCs w:val="32"/>
        </w:rPr>
      </w:pPr>
      <w:r>
        <w:rPr>
          <w:rStyle w:val="7"/>
          <w:rFonts w:hint="eastAsia" w:ascii="仿宋" w:hAnsi="仿宋" w:eastAsia="仿宋"/>
          <w:b w:val="0"/>
          <w:color w:val="000000"/>
          <w:sz w:val="32"/>
          <w:szCs w:val="32"/>
        </w:rPr>
        <w:t xml:space="preserve">   2017年度本部门机关运行经费支出56.61万元，用于维持机关日常运转所必须的公用支出。2017年度机关运行经费支出比2016年度减少49.45万元，主要原因为2017年度保障费用中列支办案办公费</w:t>
      </w:r>
    </w:p>
    <w:p>
      <w:pPr>
        <w:pStyle w:val="4"/>
        <w:shd w:val="clear" w:color="auto" w:fill="FFFFFF"/>
        <w:spacing w:before="0" w:beforeAutospacing="0" w:after="0" w:afterAutospacing="0"/>
        <w:ind w:firstLine="640" w:firstLineChars="200"/>
        <w:rPr>
          <w:rStyle w:val="7"/>
          <w:rFonts w:ascii="仿宋" w:hAnsi="仿宋" w:eastAsia="仿宋"/>
          <w:b w:val="0"/>
          <w:color w:val="000000"/>
          <w:sz w:val="32"/>
          <w:szCs w:val="32"/>
        </w:rPr>
      </w:pPr>
      <w:r>
        <w:rPr>
          <w:rStyle w:val="7"/>
          <w:rFonts w:hint="eastAsia" w:ascii="仿宋" w:hAnsi="仿宋" w:eastAsia="仿宋"/>
          <w:b w:val="0"/>
          <w:color w:val="000000"/>
          <w:sz w:val="32"/>
          <w:szCs w:val="32"/>
        </w:rPr>
        <w:t>2.</w:t>
      </w:r>
      <w:r>
        <w:rPr>
          <w:rStyle w:val="7"/>
          <w:rFonts w:ascii="仿宋" w:hAnsi="仿宋" w:eastAsia="仿宋"/>
          <w:b w:val="0"/>
          <w:color w:val="000000"/>
          <w:sz w:val="32"/>
          <w:szCs w:val="32"/>
        </w:rPr>
        <w:t>政府采购支出情况</w:t>
      </w:r>
    </w:p>
    <w:p>
      <w:pPr>
        <w:pStyle w:val="4"/>
        <w:shd w:val="clear" w:color="auto" w:fill="FFFFFF"/>
        <w:spacing w:before="0" w:beforeAutospacing="0" w:after="0" w:afterAutospacing="0"/>
        <w:ind w:firstLine="585"/>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7</w:t>
      </w:r>
      <w:r>
        <w:rPr>
          <w:rFonts w:ascii="仿宋_GB2312" w:eastAsia="仿宋_GB2312"/>
          <w:color w:val="000000"/>
          <w:sz w:val="32"/>
          <w:szCs w:val="32"/>
        </w:rPr>
        <w:t>年</w:t>
      </w:r>
      <w:r>
        <w:rPr>
          <w:rFonts w:hint="eastAsia" w:ascii="仿宋_GB2312" w:eastAsia="仿宋_GB2312"/>
          <w:color w:val="000000"/>
          <w:sz w:val="32"/>
          <w:szCs w:val="32"/>
        </w:rPr>
        <w:t>度</w:t>
      </w:r>
      <w:r>
        <w:rPr>
          <w:rFonts w:ascii="仿宋_GB2312" w:eastAsia="仿宋_GB2312"/>
          <w:color w:val="000000"/>
          <w:sz w:val="32"/>
          <w:szCs w:val="32"/>
        </w:rPr>
        <w:t>政府采购支出</w:t>
      </w:r>
      <w:r>
        <w:rPr>
          <w:rFonts w:hint="eastAsia" w:ascii="仿宋_GB2312" w:eastAsia="仿宋_GB2312"/>
          <w:color w:val="000000"/>
          <w:sz w:val="32"/>
          <w:szCs w:val="32"/>
        </w:rPr>
        <w:t>60</w:t>
      </w:r>
      <w:r>
        <w:rPr>
          <w:rFonts w:ascii="仿宋_GB2312" w:eastAsia="仿宋_GB2312"/>
          <w:color w:val="000000"/>
          <w:sz w:val="32"/>
          <w:szCs w:val="32"/>
        </w:rPr>
        <w:t>万元，其中货物采购</w:t>
      </w:r>
      <w:r>
        <w:rPr>
          <w:rFonts w:hint="eastAsia" w:ascii="仿宋_GB2312" w:eastAsia="仿宋_GB2312"/>
          <w:color w:val="000000"/>
          <w:sz w:val="32"/>
          <w:szCs w:val="32"/>
        </w:rPr>
        <w:t>60</w:t>
      </w:r>
      <w:r>
        <w:rPr>
          <w:rFonts w:ascii="仿宋_GB2312" w:eastAsia="仿宋_GB2312"/>
          <w:color w:val="000000"/>
          <w:sz w:val="32"/>
          <w:szCs w:val="32"/>
        </w:rPr>
        <w:t>万元。</w:t>
      </w:r>
    </w:p>
    <w:p>
      <w:pPr>
        <w:pStyle w:val="4"/>
        <w:shd w:val="clear" w:color="auto" w:fill="FFFFFF"/>
        <w:spacing w:before="0" w:beforeAutospacing="0" w:after="0" w:afterAutospacing="0"/>
        <w:ind w:firstLine="585"/>
        <w:rPr>
          <w:rStyle w:val="7"/>
          <w:rFonts w:ascii="仿宋" w:hAnsi="仿宋" w:eastAsia="仿宋"/>
          <w:b w:val="0"/>
          <w:color w:val="000000"/>
          <w:sz w:val="32"/>
          <w:szCs w:val="32"/>
        </w:rPr>
      </w:pPr>
      <w:r>
        <w:rPr>
          <w:rStyle w:val="7"/>
          <w:rFonts w:hint="eastAsia" w:ascii="仿宋" w:hAnsi="仿宋" w:eastAsia="仿宋"/>
          <w:b w:val="0"/>
          <w:color w:val="000000"/>
          <w:sz w:val="32"/>
          <w:szCs w:val="32"/>
        </w:rPr>
        <w:t>3.国有资产占有情况</w:t>
      </w:r>
    </w:p>
    <w:p>
      <w:pPr>
        <w:pStyle w:val="4"/>
        <w:shd w:val="clear" w:color="auto" w:fill="FFFFFF"/>
        <w:spacing w:before="0" w:beforeAutospacing="0" w:after="0" w:afterAutospacing="0"/>
        <w:ind w:firstLine="640" w:firstLineChars="200"/>
        <w:rPr>
          <w:rStyle w:val="7"/>
          <w:rFonts w:ascii="仿宋" w:hAnsi="仿宋" w:eastAsia="仿宋"/>
          <w:b w:val="0"/>
          <w:color w:val="000000"/>
          <w:sz w:val="32"/>
          <w:szCs w:val="32"/>
        </w:rPr>
      </w:pPr>
      <w:r>
        <w:rPr>
          <w:rStyle w:val="7"/>
          <w:rFonts w:hint="eastAsia" w:ascii="仿宋" w:hAnsi="仿宋" w:eastAsia="仿宋"/>
          <w:b w:val="0"/>
          <w:color w:val="000000"/>
          <w:sz w:val="32"/>
          <w:szCs w:val="32"/>
        </w:rPr>
        <w:t>截止2017年12月31日，本部门共有车辆13辆，其中一般执法执勤用车5辆，特种专业技术用车8辆。</w:t>
      </w:r>
    </w:p>
    <w:p>
      <w:pPr>
        <w:shd w:val="clear" w:color="auto" w:fill="FFFFFF"/>
        <w:spacing w:line="480" w:lineRule="auto"/>
        <w:ind w:right="-58" w:firstLine="643" w:firstLineChars="200"/>
        <w:rPr>
          <w:rFonts w:ascii="黑体" w:hAnsi="黑体" w:eastAsia="黑体"/>
          <w:sz w:val="32"/>
          <w:szCs w:val="32"/>
        </w:rPr>
      </w:pPr>
      <w:r>
        <w:rPr>
          <w:rStyle w:val="7"/>
          <w:rFonts w:hint="eastAsia" w:ascii="楷体_GB2312" w:eastAsia="楷体_GB2312"/>
          <w:color w:val="000000"/>
          <w:sz w:val="32"/>
          <w:szCs w:val="32"/>
        </w:rPr>
        <w:t>（八）专业名词解释</w:t>
      </w:r>
    </w:p>
    <w:p>
      <w:pPr>
        <w:shd w:val="clear" w:color="auto" w:fill="FFFFFF"/>
        <w:spacing w:line="480" w:lineRule="auto"/>
        <w:ind w:right="-58" w:firstLine="640" w:firstLineChars="200"/>
        <w:rPr>
          <w:rStyle w:val="7"/>
          <w:rFonts w:ascii="仿宋" w:hAnsi="仿宋" w:eastAsia="仿宋" w:cs="宋体"/>
          <w:b w:val="0"/>
          <w:color w:val="000000"/>
          <w:sz w:val="32"/>
          <w:szCs w:val="32"/>
        </w:rPr>
      </w:pPr>
      <w:r>
        <w:rPr>
          <w:rStyle w:val="7"/>
          <w:rFonts w:hint="eastAsia" w:ascii="仿宋" w:hAnsi="仿宋" w:eastAsia="仿宋" w:cs="宋体"/>
          <w:b w:val="0"/>
          <w:color w:val="000000"/>
          <w:sz w:val="32"/>
          <w:szCs w:val="32"/>
        </w:rPr>
        <w:t>1、基本支出：指为保障机构正常运转、完成日常工作任务而发生的各项支出。</w:t>
      </w:r>
    </w:p>
    <w:p>
      <w:pPr>
        <w:shd w:val="clear" w:color="auto" w:fill="FFFFFF"/>
        <w:spacing w:line="480" w:lineRule="auto"/>
        <w:ind w:right="-58" w:firstLine="640" w:firstLineChars="200"/>
        <w:rPr>
          <w:rStyle w:val="7"/>
          <w:rFonts w:ascii="仿宋" w:hAnsi="仿宋" w:eastAsia="仿宋" w:cs="宋体"/>
          <w:b w:val="0"/>
          <w:color w:val="000000"/>
          <w:sz w:val="32"/>
          <w:szCs w:val="32"/>
        </w:rPr>
      </w:pPr>
      <w:r>
        <w:rPr>
          <w:rStyle w:val="7"/>
          <w:rFonts w:hint="eastAsia" w:ascii="仿宋" w:hAnsi="仿宋" w:eastAsia="仿宋" w:cs="宋体"/>
          <w:b w:val="0"/>
          <w:color w:val="000000"/>
          <w:sz w:val="32"/>
          <w:szCs w:val="32"/>
        </w:rPr>
        <w:t>2、项目支出：指单位为完成特定的行政工作任务或事业发展目标所发生的各项支出。</w:t>
      </w:r>
    </w:p>
    <w:p>
      <w:pPr>
        <w:shd w:val="clear" w:color="auto" w:fill="FFFFFF"/>
        <w:spacing w:line="480" w:lineRule="auto"/>
        <w:ind w:right="-58" w:firstLine="640" w:firstLineChars="200"/>
        <w:rPr>
          <w:rStyle w:val="7"/>
          <w:rFonts w:ascii="仿宋" w:hAnsi="仿宋" w:eastAsia="仿宋" w:cs="宋体"/>
          <w:b w:val="0"/>
          <w:color w:val="000000"/>
          <w:sz w:val="32"/>
          <w:szCs w:val="32"/>
        </w:rPr>
      </w:pPr>
      <w:r>
        <w:rPr>
          <w:rStyle w:val="7"/>
          <w:rFonts w:hint="eastAsia" w:ascii="仿宋" w:hAnsi="仿宋" w:eastAsia="仿宋" w:cs="宋体"/>
          <w:b w:val="0"/>
          <w:color w:val="000000"/>
          <w:sz w:val="32"/>
          <w:szCs w:val="32"/>
        </w:rPr>
        <w:t>3、“三公”经费：指部门使用一般公共预算财政拨款安排的因公出国（境）、公务用车购置及运行费和公务接待费支出。</w:t>
      </w:r>
    </w:p>
    <w:p>
      <w:pPr>
        <w:pStyle w:val="4"/>
        <w:shd w:val="clear" w:color="auto" w:fill="FFFFFF"/>
        <w:spacing w:before="0" w:beforeAutospacing="0" w:after="0" w:afterAutospacing="0"/>
        <w:ind w:firstLine="640" w:firstLineChars="200"/>
        <w:rPr>
          <w:rStyle w:val="7"/>
          <w:rFonts w:ascii="仿宋" w:hAnsi="仿宋" w:eastAsia="仿宋"/>
          <w:b w:val="0"/>
          <w:color w:val="000000"/>
          <w:sz w:val="32"/>
          <w:szCs w:val="32"/>
        </w:rPr>
      </w:pPr>
      <w:r>
        <w:rPr>
          <w:rStyle w:val="7"/>
          <w:rFonts w:hint="eastAsia" w:ascii="仿宋" w:hAnsi="仿宋" w:eastAsia="仿宋"/>
          <w:b w:val="0"/>
          <w:color w:val="000000"/>
          <w:sz w:val="32"/>
          <w:szCs w:val="32"/>
        </w:rPr>
        <w:t>4、机关运行经费：指行政单位和参照公务员法管理的事业单位使用一般公共预算财政拨款安排的日常公用经费支出。</w:t>
      </w:r>
    </w:p>
    <w:p>
      <w:pPr>
        <w:pStyle w:val="4"/>
        <w:shd w:val="clear" w:color="auto" w:fill="FFFFFF"/>
        <w:spacing w:before="0" w:beforeAutospacing="0" w:after="0" w:afterAutospacing="0"/>
        <w:ind w:firstLine="585"/>
        <w:rPr>
          <w:rFonts w:ascii="仿宋_GB2312" w:hAnsi="仿宋_GB2312" w:eastAsia="仿宋_GB2312"/>
        </w:rPr>
      </w:pPr>
      <w:r>
        <w:rPr>
          <w:rStyle w:val="7"/>
          <w:rFonts w:hint="eastAsia" w:ascii="黑体" w:hAnsi="黑体" w:eastAsia="黑体"/>
          <w:b w:val="0"/>
          <w:color w:val="000000"/>
          <w:sz w:val="32"/>
          <w:szCs w:val="32"/>
        </w:rPr>
        <w:t>三、</w:t>
      </w:r>
      <w:r>
        <w:rPr>
          <w:rStyle w:val="7"/>
          <w:rFonts w:ascii="黑体" w:hAnsi="黑体" w:eastAsia="黑体"/>
          <w:b w:val="0"/>
          <w:color w:val="000000"/>
          <w:sz w:val="32"/>
          <w:szCs w:val="32"/>
        </w:rPr>
        <w:t>2016年度部门决算附表</w:t>
      </w:r>
    </w:p>
    <w:p>
      <w:pPr>
        <w:ind w:firstLine="570"/>
        <w:rPr>
          <w:rFonts w:ascii="仿宋_GB2312" w:hAnsi="仿宋_GB2312" w:eastAsia="仿宋_GB2312"/>
          <w:sz w:val="28"/>
          <w:szCs w:val="28"/>
        </w:rPr>
      </w:pPr>
      <w:r>
        <w:rPr>
          <w:rFonts w:hint="eastAsia" w:ascii="仿宋_GB2312" w:hAnsi="仿宋_GB2312" w:eastAsia="仿宋_GB2312"/>
          <w:sz w:val="28"/>
          <w:szCs w:val="28"/>
        </w:rPr>
        <w:t>1．批复01表-部门决算收入支出决总表</w:t>
      </w:r>
    </w:p>
    <w:p>
      <w:pPr>
        <w:ind w:firstLine="570"/>
        <w:rPr>
          <w:rFonts w:ascii="仿宋_GB2312" w:hAnsi="仿宋_GB2312" w:eastAsia="仿宋_GB2312"/>
          <w:sz w:val="28"/>
          <w:szCs w:val="28"/>
        </w:rPr>
      </w:pPr>
      <w:r>
        <w:rPr>
          <w:rFonts w:hint="eastAsia" w:ascii="仿宋_GB2312" w:hAnsi="仿宋_GB2312" w:eastAsia="仿宋_GB2312"/>
          <w:sz w:val="28"/>
          <w:szCs w:val="28"/>
        </w:rPr>
        <w:t>2．批复02表-部门决算收入总表</w:t>
      </w:r>
    </w:p>
    <w:p>
      <w:pPr>
        <w:ind w:firstLine="570"/>
        <w:rPr>
          <w:rFonts w:ascii="仿宋_GB2312" w:hAnsi="仿宋_GB2312" w:eastAsia="仿宋_GB2312"/>
          <w:sz w:val="28"/>
          <w:szCs w:val="28"/>
        </w:rPr>
      </w:pPr>
      <w:r>
        <w:rPr>
          <w:rFonts w:hint="eastAsia" w:ascii="仿宋_GB2312" w:hAnsi="仿宋_GB2312" w:eastAsia="仿宋_GB2312"/>
          <w:sz w:val="28"/>
          <w:szCs w:val="28"/>
        </w:rPr>
        <w:t>3．批复03表-部门决算支出总表</w:t>
      </w:r>
    </w:p>
    <w:p>
      <w:pPr>
        <w:ind w:firstLine="570"/>
        <w:rPr>
          <w:rFonts w:ascii="仿宋_GB2312" w:hAnsi="仿宋_GB2312" w:eastAsia="仿宋_GB2312"/>
          <w:sz w:val="28"/>
          <w:szCs w:val="28"/>
        </w:rPr>
      </w:pPr>
      <w:r>
        <w:rPr>
          <w:rFonts w:hint="eastAsia" w:ascii="仿宋_GB2312" w:hAnsi="仿宋_GB2312" w:eastAsia="仿宋_GB2312"/>
          <w:sz w:val="28"/>
          <w:szCs w:val="28"/>
        </w:rPr>
        <w:t>4．批复04表-部门财政拨款收入支出总表</w:t>
      </w:r>
    </w:p>
    <w:p>
      <w:pPr>
        <w:ind w:firstLine="570"/>
        <w:rPr>
          <w:rFonts w:ascii="仿宋_GB2312" w:hAnsi="仿宋_GB2312" w:eastAsia="仿宋_GB2312"/>
          <w:sz w:val="28"/>
          <w:szCs w:val="28"/>
        </w:rPr>
      </w:pPr>
      <w:r>
        <w:rPr>
          <w:rFonts w:hint="eastAsia" w:ascii="仿宋_GB2312" w:hAnsi="仿宋_GB2312" w:eastAsia="仿宋_GB2312"/>
          <w:sz w:val="28"/>
          <w:szCs w:val="28"/>
        </w:rPr>
        <w:t>5．批复05表-部门决算一般公共预算财政拨款支出明细表</w:t>
      </w:r>
    </w:p>
    <w:p>
      <w:pPr>
        <w:ind w:firstLine="570"/>
        <w:rPr>
          <w:rFonts w:ascii="仿宋_GB2312" w:hAnsi="仿宋_GB2312" w:eastAsia="仿宋_GB2312"/>
          <w:sz w:val="28"/>
          <w:szCs w:val="28"/>
        </w:rPr>
      </w:pPr>
      <w:r>
        <w:rPr>
          <w:rFonts w:hint="eastAsia" w:ascii="仿宋_GB2312" w:hAnsi="仿宋_GB2312" w:eastAsia="仿宋_GB2312"/>
          <w:sz w:val="28"/>
          <w:szCs w:val="28"/>
        </w:rPr>
        <w:t>6．批复06表-部门决算一般公共预算财政拨款基本支出表</w:t>
      </w:r>
    </w:p>
    <w:p>
      <w:pPr>
        <w:ind w:firstLine="570"/>
        <w:rPr>
          <w:rFonts w:ascii="仿宋_GB2312" w:hAnsi="仿宋_GB2312" w:eastAsia="仿宋_GB2312"/>
          <w:sz w:val="28"/>
          <w:szCs w:val="28"/>
        </w:rPr>
      </w:pPr>
      <w:r>
        <w:rPr>
          <w:rFonts w:hint="eastAsia" w:ascii="仿宋_GB2312" w:hAnsi="仿宋_GB2312" w:eastAsia="仿宋_GB2312"/>
          <w:sz w:val="28"/>
          <w:szCs w:val="28"/>
        </w:rPr>
        <w:t>7．批复07表-部门决算一般公共预算财政拨款</w:t>
      </w:r>
      <w:r>
        <w:rPr>
          <w:rFonts w:ascii="仿宋_GB2312" w:hAnsi="仿宋_GB2312" w:eastAsia="仿宋_GB2312"/>
          <w:sz w:val="28"/>
          <w:szCs w:val="28"/>
        </w:rPr>
        <w:t>“</w:t>
      </w:r>
      <w:r>
        <w:rPr>
          <w:rFonts w:hint="eastAsia" w:ascii="仿宋_GB2312" w:hAnsi="仿宋_GB2312" w:eastAsia="仿宋_GB2312"/>
          <w:sz w:val="28"/>
          <w:szCs w:val="28"/>
        </w:rPr>
        <w:t>三公</w:t>
      </w:r>
      <w:r>
        <w:rPr>
          <w:rFonts w:ascii="仿宋_GB2312" w:hAnsi="仿宋_GB2312" w:eastAsia="仿宋_GB2312"/>
          <w:sz w:val="28"/>
          <w:szCs w:val="28"/>
        </w:rPr>
        <w:t>”</w:t>
      </w:r>
      <w:r>
        <w:rPr>
          <w:rFonts w:hint="eastAsia" w:ascii="仿宋_GB2312" w:hAnsi="仿宋_GB2312" w:eastAsia="仿宋_GB2312"/>
          <w:sz w:val="28"/>
          <w:szCs w:val="28"/>
        </w:rPr>
        <w:t>经费支出表</w:t>
      </w:r>
    </w:p>
    <w:p>
      <w:pPr>
        <w:ind w:firstLine="570"/>
        <w:rPr>
          <w:rFonts w:ascii="仿宋_GB2312" w:hAnsi="仿宋_GB2312" w:eastAsia="仿宋_GB2312"/>
          <w:sz w:val="28"/>
          <w:szCs w:val="28"/>
        </w:rPr>
      </w:pPr>
      <w:r>
        <w:rPr>
          <w:rFonts w:hint="eastAsia" w:ascii="仿宋_GB2312" w:hAnsi="仿宋_GB2312" w:eastAsia="仿宋_GB2312"/>
          <w:sz w:val="28"/>
          <w:szCs w:val="28"/>
        </w:rPr>
        <w:t>8．批复08表-部门决算政府性基金收入支出表</w:t>
      </w:r>
    </w:p>
    <w:p>
      <w:pPr>
        <w:ind w:firstLine="570"/>
        <w:rPr>
          <w:rFonts w:eastAsia="Times New Roman"/>
          <w:sz w:val="28"/>
          <w:szCs w:val="28"/>
        </w:rPr>
      </w:pPr>
      <w:r>
        <w:rPr>
          <w:rFonts w:hint="eastAsia" w:ascii="仿宋_GB2312" w:hAnsi="仿宋_GB2312" w:eastAsia="仿宋_GB2312"/>
          <w:sz w:val="28"/>
          <w:szCs w:val="28"/>
        </w:rPr>
        <w:t>9．批复09表-部门决算政府采购决算表</w:t>
      </w:r>
    </w:p>
    <w:p>
      <w:pPr>
        <w:spacing w:line="576" w:lineRule="exact"/>
        <w:ind w:right="189" w:rightChars="86" w:firstLine="220" w:firstLineChars="100"/>
        <w:rPr>
          <w:rFonts w:ascii="仿宋_GB2312" w:eastAsia="仿宋_GB2312"/>
          <w:szCs w:val="32"/>
        </w:rPr>
      </w:pPr>
    </w:p>
    <w:p>
      <w:pPr>
        <w:spacing w:line="360" w:lineRule="auto"/>
        <w:ind w:firstLine="600" w:firstLineChars="200"/>
        <w:rPr>
          <w:rFonts w:ascii="仿宋_GB2312" w:hAnsi="仿宋" w:eastAsia="仿宋_GB2312"/>
          <w:sz w:val="30"/>
          <w:szCs w:val="30"/>
        </w:rPr>
      </w:pP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15121"/>
    <w:multiLevelType w:val="multilevel"/>
    <w:tmpl w:val="3A115121"/>
    <w:lvl w:ilvl="0" w:tentative="0">
      <w:start w:val="0"/>
      <w:numFmt w:val="decimal"/>
      <w:lvlText w:val="%1"/>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TM3NmI3ZTE1ZTYyNTljN2NjOTVmNGFiZmYyMDkyMWEifQ=="/>
  </w:docVars>
  <w:rsids>
    <w:rsidRoot w:val="00D31D50"/>
    <w:rsid w:val="00084DE7"/>
    <w:rsid w:val="001705C2"/>
    <w:rsid w:val="00323B43"/>
    <w:rsid w:val="003D37D8"/>
    <w:rsid w:val="00426133"/>
    <w:rsid w:val="004358AB"/>
    <w:rsid w:val="00531E44"/>
    <w:rsid w:val="00797860"/>
    <w:rsid w:val="00812E3C"/>
    <w:rsid w:val="008B7726"/>
    <w:rsid w:val="00A26873"/>
    <w:rsid w:val="00AD0B57"/>
    <w:rsid w:val="00B0578B"/>
    <w:rsid w:val="00BE55F2"/>
    <w:rsid w:val="00BE73E0"/>
    <w:rsid w:val="00CF3E61"/>
    <w:rsid w:val="00D31D50"/>
    <w:rsid w:val="00EB68DC"/>
    <w:rsid w:val="00ED7B19"/>
    <w:rsid w:val="0B67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rFonts w:ascii="Tahoma" w:hAnsi="Tahoma"/>
      <w:sz w:val="18"/>
      <w:szCs w:val="18"/>
    </w:rPr>
  </w:style>
  <w:style w:type="character" w:customStyle="1" w:styleId="9">
    <w:name w:val="页脚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428</Words>
  <Characters>2440</Characters>
  <Lines>20</Lines>
  <Paragraphs>5</Paragraphs>
  <TotalTime>2</TotalTime>
  <ScaleCrop>false</ScaleCrop>
  <LinksUpToDate>false</LinksUpToDate>
  <CharactersWithSpaces>2863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zhouqin</cp:lastModifiedBy>
  <dcterms:modified xsi:type="dcterms:W3CDTF">2024-01-17T02:39:10Z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BB4D040006F240A0B58C1915773B2EAA_12</vt:lpwstr>
  </property>
</Properties>
</file>