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center"/>
        <w:rPr>
          <w:rStyle w:val="8"/>
          <w:rFonts w:ascii="方正小标宋简体" w:hAnsi="方正小标宋简体" w:eastAsia="方正小标宋简体" w:cs="方正小标宋简体"/>
          <w:b w:val="0"/>
          <w:bCs w:val="0"/>
          <w:sz w:val="44"/>
          <w:szCs w:val="44"/>
        </w:rPr>
      </w:pPr>
      <w:r>
        <w:rPr>
          <w:rStyle w:val="8"/>
          <w:rFonts w:hint="eastAsia" w:ascii="方正小标宋简体" w:hAnsi="方正小标宋简体" w:eastAsia="方正小标宋简体" w:cs="方正小标宋简体"/>
          <w:b w:val="0"/>
          <w:sz w:val="44"/>
          <w:szCs w:val="44"/>
        </w:rPr>
        <w:t>阎良区信访局</w:t>
      </w:r>
    </w:p>
    <w:p>
      <w:pPr>
        <w:pStyle w:val="5"/>
        <w:shd w:val="clear" w:color="auto" w:fill="FFFFFF"/>
        <w:spacing w:before="0" w:beforeAutospacing="0" w:after="0" w:afterAutospacing="0" w:line="520" w:lineRule="exact"/>
        <w:jc w:val="center"/>
        <w:rPr>
          <w:rStyle w:val="8"/>
          <w:rFonts w:ascii="方正小标宋简体" w:hAnsi="方正小标宋简体" w:eastAsia="方正小标宋简体" w:cs="方正小标宋简体"/>
          <w:b w:val="0"/>
          <w:bCs w:val="0"/>
          <w:color w:val="000000"/>
          <w:sz w:val="44"/>
          <w:szCs w:val="44"/>
        </w:rPr>
      </w:pPr>
      <w:r>
        <w:rPr>
          <w:rStyle w:val="8"/>
          <w:rFonts w:hint="eastAsia" w:ascii="方正小标宋简体" w:hAnsi="方正小标宋简体" w:eastAsia="方正小标宋简体" w:cs="方正小标宋简体"/>
          <w:b w:val="0"/>
          <w:color w:val="000000"/>
          <w:sz w:val="44"/>
          <w:szCs w:val="44"/>
        </w:rPr>
        <w:t>2018年度部门决算说明</w:t>
      </w:r>
    </w:p>
    <w:p>
      <w:pPr>
        <w:pStyle w:val="5"/>
        <w:shd w:val="clear" w:color="auto" w:fill="FFFFFF"/>
        <w:spacing w:before="0" w:beforeAutospacing="0" w:after="0" w:afterAutospacing="0" w:line="560" w:lineRule="exact"/>
        <w:ind w:firstLine="880" w:firstLineChars="200"/>
        <w:rPr>
          <w:rStyle w:val="8"/>
          <w:rFonts w:ascii="方正小标宋简体" w:hAnsi="方正小标宋简体" w:eastAsia="方正小标宋简体" w:cs="方正小标宋简体"/>
          <w:b w:val="0"/>
          <w:color w:val="000000"/>
          <w:sz w:val="44"/>
          <w:szCs w:val="44"/>
        </w:rPr>
      </w:pPr>
    </w:p>
    <w:p>
      <w:pPr>
        <w:pStyle w:val="5"/>
        <w:shd w:val="clear" w:color="auto" w:fill="FFFFFF"/>
        <w:spacing w:before="0" w:beforeAutospacing="0" w:after="0" w:afterAutospacing="0" w:line="560" w:lineRule="exact"/>
        <w:ind w:firstLine="643" w:firstLineChars="200"/>
        <w:rPr>
          <w:rFonts w:ascii="黑体" w:hAnsi="黑体" w:eastAsia="黑体" w:cs="黑体"/>
          <w:color w:val="000000"/>
          <w:sz w:val="32"/>
          <w:szCs w:val="32"/>
        </w:rPr>
      </w:pPr>
      <w:r>
        <w:rPr>
          <w:rStyle w:val="8"/>
          <w:rFonts w:hint="eastAsia" w:ascii="黑体" w:hAnsi="黑体" w:eastAsia="黑体" w:cs="黑体"/>
          <w:color w:val="000000"/>
          <w:sz w:val="32"/>
          <w:szCs w:val="32"/>
        </w:rPr>
        <w:t>一、</w:t>
      </w:r>
      <w:r>
        <w:rPr>
          <w:rFonts w:hint="eastAsia" w:ascii="黑体" w:hAnsi="黑体" w:eastAsia="黑体" w:cs="黑体"/>
          <w:color w:val="000000"/>
          <w:sz w:val="32"/>
          <w:szCs w:val="32"/>
        </w:rPr>
        <w:t>部门主要职责</w:t>
      </w:r>
    </w:p>
    <w:p>
      <w:pPr>
        <w:spacing w:line="560" w:lineRule="exact"/>
        <w:ind w:firstLine="640" w:firstLineChars="200"/>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1</w:t>
      </w:r>
      <w:r>
        <w:rPr>
          <w:rFonts w:ascii="仿宋_GB2312" w:hAnsi="华文仿宋" w:eastAsia="仿宋_GB2312" w:cs="华文仿宋"/>
          <w:kern w:val="0"/>
          <w:sz w:val="32"/>
          <w:szCs w:val="32"/>
        </w:rPr>
        <w:t xml:space="preserve">. </w:t>
      </w:r>
      <w:r>
        <w:rPr>
          <w:rFonts w:hint="eastAsia" w:ascii="仿宋_GB2312" w:hAnsi="华文仿宋" w:eastAsia="仿宋_GB2312" w:cs="华文仿宋"/>
          <w:kern w:val="0"/>
          <w:sz w:val="32"/>
          <w:szCs w:val="32"/>
        </w:rPr>
        <w:t>贯彻执行信访工作法律法规及方针政策。</w:t>
      </w:r>
    </w:p>
    <w:p>
      <w:pPr>
        <w:spacing w:line="560" w:lineRule="exact"/>
        <w:ind w:firstLine="640" w:firstLineChars="200"/>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2．负责处理公民、法人和其他组织通过信访渠道给区委、区政府及领导同志和区级信访部门的来信、来电、来访和网上投诉；督促检查依法逐级走访的落实。</w:t>
      </w:r>
    </w:p>
    <w:p>
      <w:pPr>
        <w:spacing w:line="560" w:lineRule="exact"/>
        <w:ind w:firstLine="640" w:firstLineChars="200"/>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3．负责向区委、区政府反映群众在信访活动中提出的重要建议、意见和问题，综合研判信访信息，开展调查研究，提出制定完善有关政策的意见和建议。</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4．负责上级信访机关和区级领导批示信访事项的立案、交办、督办工作，督促检查重要信访事项的处理和落实；配合做好信访复查、复核工作。</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5．综合协调处理“三跨”（跨地区、跨部门、跨行业）、“三分离”（人、事、户分离）和重大疑难信访事项。</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6．负责我区赴省到市进京上访群众的劝返工作；负责驻区单位有关信访问题的属地管理工作。</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7．健全完善信访问题排查化解制度并组织实施；完善信访信息汇集分析研判机制，分析评估信访风险。</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8．负责全区信访工作的宣传和信息发布，对群众进行宣传解释和思想疏导，提供相关法律、法规和政策咨询服务。</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9．综合协调和指导全区信访工作，总结推广信访工作经验，提出改进和加强信访工作的意见建议。</w:t>
      </w:r>
    </w:p>
    <w:p>
      <w:pPr>
        <w:spacing w:line="560" w:lineRule="exact"/>
        <w:ind w:firstLine="640" w:firstLineChars="200"/>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10．负责全区信访工作年度目标责任制考核工作，对违反信访工作纪律的行为提出处理建议。</w:t>
      </w:r>
    </w:p>
    <w:p>
      <w:pPr>
        <w:spacing w:line="560" w:lineRule="exact"/>
        <w:rPr>
          <w:rFonts w:ascii="仿宋_GB2312" w:hAnsi="华文仿宋" w:eastAsia="仿宋_GB2312" w:cs="华文仿宋"/>
          <w:kern w:val="0"/>
          <w:sz w:val="32"/>
          <w:szCs w:val="32"/>
        </w:rPr>
      </w:pPr>
      <w:r>
        <w:rPr>
          <w:rFonts w:hint="eastAsia" w:ascii="仿宋_GB2312" w:hAnsi="华文仿宋" w:eastAsia="仿宋_GB2312" w:cs="华文仿宋"/>
          <w:kern w:val="0"/>
          <w:sz w:val="32"/>
          <w:szCs w:val="32"/>
        </w:rPr>
        <w:t xml:space="preserve">    11．承办区委、区政府交办的其他事项。</w:t>
      </w:r>
    </w:p>
    <w:p>
      <w:pPr>
        <w:pStyle w:val="5"/>
        <w:shd w:val="clear" w:color="auto" w:fill="FFFFFF"/>
        <w:spacing w:before="0" w:beforeAutospacing="0" w:after="0" w:afterAutospacing="0" w:line="560" w:lineRule="exact"/>
        <w:ind w:firstLine="585"/>
        <w:rPr>
          <w:rFonts w:ascii="仿宋_GB2312" w:hAnsi="华文仿宋" w:eastAsia="仿宋_GB2312" w:cs="华文仿宋"/>
          <w:sz w:val="32"/>
          <w:szCs w:val="32"/>
        </w:rPr>
      </w:pPr>
      <w:r>
        <w:rPr>
          <w:rFonts w:hint="eastAsia" w:ascii="仿宋_GB2312" w:hAnsi="华文仿宋" w:eastAsia="仿宋_GB2312" w:cs="华文仿宋"/>
          <w:sz w:val="32"/>
          <w:szCs w:val="32"/>
        </w:rPr>
        <w:t>根据区委区政府机构改革方案，本部门2019年工作职责增加了“负责派驻区信访接待中心机构和人员的管理、服务和日常考核工作。”内容，增加了内设机构，设置了综合指导科和信访督办科2个内设机构。</w:t>
      </w:r>
    </w:p>
    <w:p>
      <w:pPr>
        <w:pStyle w:val="5"/>
        <w:shd w:val="clear" w:color="auto" w:fill="FFFFFF"/>
        <w:spacing w:before="0" w:beforeAutospacing="0" w:after="0" w:afterAutospacing="0" w:line="560" w:lineRule="exact"/>
        <w:ind w:firstLine="640" w:firstLineChars="200"/>
        <w:rPr>
          <w:rStyle w:val="8"/>
          <w:rFonts w:ascii="黑体" w:hAnsi="黑体" w:eastAsia="黑体" w:cs="黑体"/>
          <w:b w:val="0"/>
          <w:bCs w:val="0"/>
          <w:color w:val="000000"/>
          <w:sz w:val="32"/>
          <w:szCs w:val="32"/>
        </w:rPr>
      </w:pPr>
      <w:r>
        <w:rPr>
          <w:rStyle w:val="8"/>
          <w:rFonts w:hint="eastAsia" w:ascii="黑体" w:hAnsi="黑体" w:eastAsia="黑体" w:cs="黑体"/>
          <w:b w:val="0"/>
          <w:color w:val="000000"/>
          <w:sz w:val="32"/>
          <w:szCs w:val="32"/>
        </w:rPr>
        <w:t>二、部门决算单位构成</w:t>
      </w:r>
    </w:p>
    <w:p>
      <w:pPr>
        <w:spacing w:line="560" w:lineRule="exact"/>
        <w:ind w:firstLine="640" w:firstLineChars="200"/>
        <w:rPr>
          <w:rFonts w:ascii="仿宋_GB2312" w:hAnsi="宋体" w:eastAsia="仿宋_GB2312" w:cs="宋体"/>
          <w:color w:val="000000"/>
          <w:sz w:val="32"/>
          <w:szCs w:val="32"/>
        </w:rPr>
      </w:pPr>
      <w:r>
        <w:rPr>
          <w:rFonts w:hint="eastAsia" w:ascii="仿宋_GB2312" w:hAnsi="华文仿宋" w:eastAsia="仿宋_GB2312" w:cs="华文仿宋"/>
          <w:sz w:val="32"/>
          <w:szCs w:val="32"/>
        </w:rPr>
        <w:t>阎良区信访局部门决算单位1个，无行政科室；无参照公务员管理事业单位；无独立核算的财政补助事业单位。</w:t>
      </w:r>
    </w:p>
    <w:p>
      <w:pPr>
        <w:spacing w:line="560" w:lineRule="exact"/>
        <w:ind w:firstLine="640" w:firstLineChars="200"/>
        <w:rPr>
          <w:rFonts w:ascii="黑体" w:hAnsi="黑体" w:eastAsia="黑体" w:cs="华文仿宋"/>
          <w:sz w:val="32"/>
          <w:szCs w:val="32"/>
        </w:rPr>
      </w:pPr>
      <w:r>
        <w:rPr>
          <w:rFonts w:hint="eastAsia" w:ascii="黑体" w:hAnsi="黑体" w:eastAsia="黑体" w:cs="黑体"/>
          <w:sz w:val="32"/>
          <w:szCs w:val="32"/>
        </w:rPr>
        <w:t>三、部门人员情况说明</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截止2018年底，本部门人员编制10人，其中行政编制4人、事业编制6人；实有人员14人，其中行政6人、事业8人。单位管理的离退休人员0人。</w:t>
      </w:r>
    </w:p>
    <w:p>
      <w:r>
        <w:drawing>
          <wp:inline distT="0" distB="0" distL="0" distR="0">
            <wp:extent cx="5274310" cy="259080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四、2018年度部门工作完成情况</w:t>
      </w:r>
    </w:p>
    <w:p>
      <w:pPr>
        <w:spacing w:line="540" w:lineRule="exact"/>
        <w:ind w:firstLine="645"/>
        <w:rPr>
          <w:rFonts w:ascii="仿宋_GB2312" w:eastAsia="仿宋_GB2312"/>
          <w:sz w:val="32"/>
          <w:szCs w:val="32"/>
        </w:rPr>
      </w:pPr>
      <w:r>
        <w:rPr>
          <w:rFonts w:hint="eastAsia" w:ascii="楷体_GB2312" w:eastAsia="楷体_GB2312"/>
          <w:b/>
          <w:sz w:val="32"/>
          <w:szCs w:val="32"/>
        </w:rPr>
        <w:t>1.来信来访工作有序推进。</w:t>
      </w:r>
      <w:r>
        <w:rPr>
          <w:rFonts w:hint="eastAsia" w:ascii="仿宋_GB2312" w:hAnsi="仿宋" w:eastAsia="仿宋_GB2312" w:cs="仿宋"/>
          <w:sz w:val="32"/>
          <w:szCs w:val="32"/>
        </w:rPr>
        <w:t>我区共受理各类来访、信件及网投385 件，其中网上投诉327件次，中省市转交51件次、区级平台276件次，已办结360 件，25件正在办理。</w:t>
      </w:r>
      <w:r>
        <w:rPr>
          <w:rFonts w:hint="eastAsia" w:ascii="仿宋_GB2312" w:eastAsia="仿宋_GB2312"/>
          <w:sz w:val="32"/>
          <w:szCs w:val="32"/>
        </w:rPr>
        <w:t>共接待群众来访149件次1133人次，其中接待集体访72件次1006人次，接待个访77件次127人次。</w:t>
      </w:r>
    </w:p>
    <w:p>
      <w:pPr>
        <w:spacing w:line="540" w:lineRule="exact"/>
        <w:ind w:firstLine="645"/>
        <w:rPr>
          <w:rFonts w:ascii="仿宋_GB2312" w:eastAsia="仿宋_GB2312"/>
          <w:b/>
          <w:sz w:val="32"/>
          <w:szCs w:val="32"/>
        </w:rPr>
      </w:pPr>
      <w:r>
        <w:rPr>
          <w:rFonts w:hint="eastAsia" w:ascii="楷体_GB2312" w:eastAsia="楷体_GB2312"/>
          <w:b/>
          <w:sz w:val="32"/>
          <w:szCs w:val="32"/>
        </w:rPr>
        <w:t>2. 市考指标完成情况良好。</w:t>
      </w:r>
      <w:r>
        <w:rPr>
          <w:rFonts w:hint="eastAsia" w:ascii="仿宋_GB2312" w:eastAsia="仿宋_GB2312"/>
          <w:sz w:val="32"/>
          <w:szCs w:val="32"/>
        </w:rPr>
        <w:t>2018年市上下达我区的信访工作市考指标是：进京非访、赴省集体访访人次各比上年度下降10%以上，网上信访事项及时受理率、按期办结率和群众满意率都在96%以上，参评率在40%以上。控制性指标是：进京非访4人次，到省集体访70人次。</w:t>
      </w:r>
      <w:r>
        <w:rPr>
          <w:rFonts w:hint="eastAsia" w:ascii="仿宋_GB2312" w:eastAsia="仿宋_GB2312"/>
          <w:b/>
          <w:sz w:val="32"/>
          <w:szCs w:val="32"/>
        </w:rPr>
        <w:t>截</w:t>
      </w:r>
      <w:r>
        <w:rPr>
          <w:rFonts w:hint="eastAsia" w:ascii="仿宋_GB2312" w:eastAsia="仿宋_GB2312"/>
          <w:b/>
          <w:sz w:val="32"/>
          <w:szCs w:val="32"/>
          <w:lang w:val="en-US" w:eastAsia="zh-CN"/>
        </w:rPr>
        <w:t>至</w:t>
      </w:r>
      <w:bookmarkStart w:id="0" w:name="_GoBack"/>
      <w:bookmarkEnd w:id="0"/>
      <w:r>
        <w:rPr>
          <w:rFonts w:hint="eastAsia" w:ascii="仿宋_GB2312" w:eastAsia="仿宋_GB2312"/>
          <w:b/>
          <w:sz w:val="32"/>
          <w:szCs w:val="32"/>
        </w:rPr>
        <w:t>目前，我区未发生进京非访，未发生赴省到市集体访，越级上访数量全市最少。市上交办信访事项及时受理率99%，按期办结率97%，群众满意率98%，参评率77%。全面完成市上指标考核任务。预计12月份，我区将进一步加大工作力度，全面完成全年考核任务。</w:t>
      </w:r>
    </w:p>
    <w:p>
      <w:pPr>
        <w:spacing w:line="540" w:lineRule="exact"/>
        <w:ind w:firstLine="643" w:firstLineChars="200"/>
        <w:rPr>
          <w:rFonts w:ascii="仿宋_GB2312" w:eastAsia="仿宋_GB2312"/>
          <w:color w:val="000000"/>
          <w:sz w:val="32"/>
          <w:szCs w:val="32"/>
        </w:rPr>
      </w:pPr>
      <w:r>
        <w:rPr>
          <w:rFonts w:hint="eastAsia" w:ascii="楷体_GB2312" w:eastAsia="楷体_GB2312"/>
          <w:b/>
          <w:sz w:val="32"/>
          <w:szCs w:val="32"/>
        </w:rPr>
        <w:t>3.</w:t>
      </w:r>
      <w:r>
        <w:rPr>
          <w:rFonts w:hint="eastAsia" w:ascii="楷体_GB2312" w:eastAsia="楷体_GB2312"/>
          <w:b/>
          <w:color w:val="000000"/>
          <w:sz w:val="32"/>
          <w:szCs w:val="32"/>
        </w:rPr>
        <w:t xml:space="preserve"> 共性职能工作全面推进。</w:t>
      </w:r>
      <w:r>
        <w:rPr>
          <w:rFonts w:hint="eastAsia" w:ascii="仿宋_GB2312" w:eastAsia="仿宋_GB2312"/>
          <w:color w:val="000000"/>
          <w:sz w:val="32"/>
          <w:szCs w:val="32"/>
        </w:rPr>
        <w:t>党建工作进一步加强，党员活动室全面建成。开展了大调研等一系列活动。定期召开党员活动日。加强学习，强化培训，领导班子和干部素质进一步提升。以干部实绩档案为载体，加强干部的日常管理。党风廉政建设和精神文明建设得到加强。完善了信访接待窗口管理制度。改革工作全力推进，区上下达的四项改革任务全面完成。每月坚持深入企业进行调研。路长制和行政效能革命取得很大进展。</w:t>
      </w:r>
    </w:p>
    <w:p>
      <w:pPr>
        <w:spacing w:line="540" w:lineRule="exact"/>
        <w:ind w:firstLine="640" w:firstLineChars="200"/>
        <w:rPr>
          <w:rFonts w:ascii="仿宋_GB2312" w:hAnsi="华文仿宋" w:eastAsia="仿宋_GB2312" w:cs="华文仿宋"/>
          <w:sz w:val="32"/>
          <w:szCs w:val="32"/>
        </w:rPr>
      </w:pPr>
      <w:r>
        <w:rPr>
          <w:rFonts w:hint="eastAsia" w:ascii="黑体" w:hAnsi="黑体" w:eastAsia="黑体" w:cs="黑体"/>
          <w:sz w:val="32"/>
          <w:szCs w:val="32"/>
        </w:rPr>
        <w:t>五、部门决算收支情况说明</w:t>
      </w:r>
    </w:p>
    <w:p>
      <w:pPr>
        <w:spacing w:line="540" w:lineRule="exact"/>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（一）2018年度收入支出总体情况说明。</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1.本年度收入支出总体情况。</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（1）2018年度本年收入合计371.96万元，较上年增加(减少) 79.70万元，主要原因是人员增加和目标责任奖提高标准。</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（2）2018年度本年支出合计371.96万元，比上年增加(减少) 79.70万元，主要原因是人员增加和目标责任奖提高标准。    </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2.本年收入构成情况。</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2018年本年收入合计371.96万元。其中:</w:t>
      </w:r>
    </w:p>
    <w:p>
      <w:pPr>
        <w:pStyle w:val="5"/>
        <w:shd w:val="clear" w:color="auto" w:fill="FFFFFF"/>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财政拨款371.96万元，占总收入的100%，包括一般公共预算财政拨款371.96万元、政府性基金预算财政拨款0万元。</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3.本年支出构成情况。</w:t>
      </w:r>
    </w:p>
    <w:p>
      <w:pPr>
        <w:pStyle w:val="5"/>
        <w:spacing w:before="0" w:beforeAutospacing="0" w:after="0" w:afterAutospacing="0" w:line="54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t>2018年本年支出合计371.96万元。其中:</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（1）基本支出190.86万元，占总支出的51.31%，是为保障机构正常运转、完成日常工作任务而发生的各项支出，包括人员经费175.02万元和公用经费15.84万元。</w:t>
      </w:r>
    </w:p>
    <w:p>
      <w:pPr>
        <w:pStyle w:val="5"/>
        <w:spacing w:before="0" w:beforeAutospacing="0" w:after="0" w:afterAutospacing="0"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（2）项目支出181.10万元，占总支出的48.69%，是为完成特定的工作任务或事业发展目标，在基本支出之外发生的支出。主要包括信访事务项目181.10万元。</w:t>
      </w:r>
    </w:p>
    <w:p>
      <w:r>
        <w:drawing>
          <wp:inline distT="0" distB="0" distL="0" distR="0">
            <wp:extent cx="5274310" cy="275272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spacing w:before="0" w:beforeAutospacing="0" w:after="0" w:afterAutospacing="0" w:line="560" w:lineRule="exact"/>
        <w:ind w:firstLine="482" w:firstLineChars="150"/>
        <w:rPr>
          <w:rFonts w:ascii="仿宋_GB2312" w:hAnsi="华文仿宋" w:eastAsia="仿宋_GB2312" w:cs="华文仿宋"/>
          <w:b/>
          <w:sz w:val="32"/>
          <w:szCs w:val="32"/>
        </w:rPr>
      </w:pPr>
      <w:r>
        <w:rPr>
          <w:rFonts w:hint="eastAsia" w:ascii="仿宋_GB2312" w:hAnsi="楷体_GB2312" w:eastAsia="仿宋_GB2312" w:cs="楷体_GB2312"/>
          <w:b/>
          <w:sz w:val="32"/>
          <w:szCs w:val="32"/>
        </w:rPr>
        <w:t>（二）2018年度财政拨款收入支出总体情况说明。</w:t>
      </w:r>
    </w:p>
    <w:p>
      <w:pPr>
        <w:pStyle w:val="5"/>
        <w:numPr>
          <w:ilvl w:val="0"/>
          <w:numId w:val="1"/>
        </w:numPr>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5"/>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hint="eastAsia" w:ascii="仿宋_GB2312" w:hAnsi="华文仿宋" w:eastAsia="仿宋_GB2312" w:cs="华文仿宋"/>
          <w:sz w:val="32"/>
          <w:szCs w:val="32"/>
        </w:rPr>
        <w:t>2018年财政拨款收入371.96万元，比上年增加79.7万元，主要原因是人员增加和目标责任奖提高标准。</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2.一般公共预算财政拨款支出情况。</w:t>
      </w:r>
    </w:p>
    <w:p>
      <w:pPr>
        <w:pStyle w:val="5"/>
        <w:spacing w:before="0" w:beforeAutospacing="0" w:after="0" w:afterAutospacing="0" w:line="560" w:lineRule="exact"/>
        <w:rPr>
          <w:rFonts w:ascii="仿宋_GB2312" w:hAnsi="华文仿宋" w:eastAsia="仿宋_GB2312" w:cs="华文仿宋"/>
          <w:sz w:val="32"/>
          <w:szCs w:val="32"/>
        </w:rPr>
      </w:pPr>
      <w:r>
        <w:rPr>
          <w:rFonts w:hint="eastAsia" w:ascii="仿宋_GB2312" w:hAnsi="华文仿宋" w:eastAsia="仿宋_GB2312" w:cs="华文仿宋"/>
          <w:sz w:val="32"/>
          <w:szCs w:val="32"/>
        </w:rPr>
        <w:t xml:space="preserve">    2018年度一般公共预算财政拨款支出371.96万元，按支出功能科目分，包括:</w:t>
      </w:r>
    </w:p>
    <w:p>
      <w:pPr>
        <w:ind w:firstLine="640" w:firstLineChars="200"/>
        <w:rPr>
          <w:rFonts w:ascii="仿宋_GB2312" w:eastAsia="仿宋_GB2312"/>
          <w:sz w:val="32"/>
          <w:szCs w:val="32"/>
        </w:rPr>
      </w:pPr>
      <w:r>
        <w:rPr>
          <w:rFonts w:hint="eastAsia" w:ascii="仿宋_GB2312" w:eastAsia="仿宋_GB2312"/>
          <w:sz w:val="32"/>
          <w:szCs w:val="32"/>
        </w:rPr>
        <w:t>一般公共服务支出</w:t>
      </w:r>
      <w:r>
        <w:rPr>
          <w:rFonts w:hint="eastAsia" w:ascii="仿宋_GB2312" w:hAnsi="华文仿宋" w:eastAsia="仿宋_GB2312" w:cs="华文仿宋"/>
          <w:sz w:val="32"/>
          <w:szCs w:val="32"/>
        </w:rPr>
        <w:t>371.96</w:t>
      </w:r>
      <w:r>
        <w:rPr>
          <w:rFonts w:hint="eastAsia" w:ascii="仿宋_GB2312" w:eastAsia="仿宋_GB2312"/>
          <w:sz w:val="32"/>
          <w:szCs w:val="32"/>
        </w:rPr>
        <w:t>万元。其中：行政运行</w:t>
      </w:r>
      <w:r>
        <w:rPr>
          <w:rFonts w:hint="eastAsia" w:ascii="仿宋_GB2312" w:hAnsi="华文仿宋" w:eastAsia="仿宋_GB2312" w:cs="华文仿宋"/>
          <w:sz w:val="32"/>
          <w:szCs w:val="32"/>
        </w:rPr>
        <w:t>147.67</w:t>
      </w:r>
      <w:r>
        <w:rPr>
          <w:rFonts w:hint="eastAsia" w:ascii="仿宋_GB2312" w:eastAsia="仿宋_GB2312"/>
          <w:sz w:val="32"/>
          <w:szCs w:val="32"/>
        </w:rPr>
        <w:t>万元，主要反映行政人员工资和日常运转费用，信访事务177.58万元，主要反映全国、省、市两会及长期驻京人员劝返费用、信访接待中心房屋租赁费，事业运行43.19万元，主要反映事业人员工资支出，其他政府办公厅（室）及相关机构事务支出3.52万元，主要反映接访临聘人员工资支出。</w:t>
      </w:r>
    </w:p>
    <w:p>
      <w:pPr>
        <w:jc w:val="center"/>
        <w:rPr>
          <w:rFonts w:ascii="仿宋_GB2312" w:eastAsia="仿宋_GB2312"/>
          <w:sz w:val="32"/>
          <w:szCs w:val="32"/>
        </w:rPr>
      </w:pPr>
      <w:r>
        <w:rPr>
          <w:rFonts w:ascii="仿宋_GB2312" w:eastAsia="仿宋_GB2312"/>
          <w:sz w:val="32"/>
          <w:szCs w:val="32"/>
        </w:rPr>
        <w:drawing>
          <wp:inline distT="0" distB="0" distL="0" distR="0">
            <wp:extent cx="4981575" cy="2295525"/>
            <wp:effectExtent l="19050" t="0" r="9525" b="0"/>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3.一般公共预算财政拨款基本支出决算情况。</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2018年度一般公共预算财政拨款基本支出190.86万元，其中：人员经费175.02万元，公用经费15.84万元，用于保障机构正常运转和日常工作需要。</w:t>
      </w:r>
    </w:p>
    <w:p>
      <w:pPr>
        <w:pStyle w:val="5"/>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hint="eastAsia" w:ascii="仿宋_GB2312" w:hAnsi="华文仿宋" w:eastAsia="仿宋_GB2312" w:cs="华文仿宋"/>
          <w:sz w:val="32"/>
          <w:szCs w:val="32"/>
        </w:rPr>
        <w:t>4. 阎良区信访局</w:t>
      </w:r>
      <w:r>
        <w:rPr>
          <w:rFonts w:hint="eastAsia" w:ascii="仿宋_GB2312" w:hAnsi="华文仿宋" w:eastAsia="仿宋_GB2312" w:cs="华文仿宋"/>
          <w:color w:val="000000"/>
          <w:sz w:val="32"/>
          <w:szCs w:val="32"/>
        </w:rPr>
        <w:t>无政府性基金决算收支，并已公开空表。</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5.</w:t>
      </w:r>
      <w:r>
        <w:rPr>
          <w:rFonts w:ascii="仿宋_GB2312" w:hAnsi="华文仿宋" w:eastAsia="仿宋_GB2312" w:cs="华文仿宋"/>
          <w:sz w:val="32"/>
          <w:szCs w:val="32"/>
        </w:rPr>
        <w:t xml:space="preserve"> </w:t>
      </w:r>
      <w:r>
        <w:rPr>
          <w:rFonts w:hint="eastAsia" w:ascii="仿宋_GB2312" w:hAnsi="华文仿宋" w:eastAsia="仿宋_GB2312" w:cs="华文仿宋"/>
          <w:sz w:val="32"/>
          <w:szCs w:val="32"/>
        </w:rPr>
        <w:t>阎良区信访局无国有资本经营决算拨款收支。</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6. 阎良区信访局2018年无政府采购支出。</w:t>
      </w:r>
    </w:p>
    <w:p>
      <w:pPr>
        <w:spacing w:line="560" w:lineRule="exact"/>
        <w:ind w:firstLine="643" w:firstLineChars="200"/>
        <w:rPr>
          <w:rFonts w:ascii="仿宋_GB2312" w:hAnsi="楷体_GB2312" w:eastAsia="仿宋_GB2312" w:cs="楷体_GB2312"/>
          <w:b/>
          <w:sz w:val="32"/>
          <w:szCs w:val="32"/>
        </w:rPr>
      </w:pPr>
      <w:r>
        <w:rPr>
          <w:rFonts w:hint="eastAsia" w:ascii="仿宋_GB2312" w:hAnsi="楷体_GB2312" w:eastAsia="仿宋_GB2312" w:cs="楷体_GB2312"/>
          <w:b/>
          <w:sz w:val="32"/>
          <w:szCs w:val="32"/>
        </w:rPr>
        <w:t xml:space="preserve"> (三)2018年“三公”经费、培训费及会议费支出情况。</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1.“三公”经费财政拨款支出总体情况说明。</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2018年未发生“三公”经费支出。</w:t>
      </w:r>
    </w:p>
    <w:p>
      <w:pPr>
        <w:pStyle w:val="5"/>
        <w:spacing w:before="0" w:beforeAutospacing="0" w:after="0" w:afterAutospacing="0" w:line="56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color w:val="000000"/>
          <w:sz w:val="32"/>
          <w:szCs w:val="32"/>
        </w:rPr>
        <w:t>2.</w:t>
      </w:r>
      <w:r>
        <w:rPr>
          <w:rFonts w:hint="eastAsia" w:ascii="仿宋_GB2312" w:hAnsi="楷体_GB2312" w:eastAsia="仿宋_GB2312" w:cs="楷体_GB2312"/>
          <w:sz w:val="32"/>
          <w:szCs w:val="32"/>
        </w:rPr>
        <w:t>培训费支出决算情况。</w:t>
      </w:r>
    </w:p>
    <w:p>
      <w:pPr>
        <w:pStyle w:val="5"/>
        <w:shd w:val="clear" w:color="auto" w:fill="FFFFFF"/>
        <w:spacing w:before="0" w:beforeAutospacing="0" w:after="0" w:afterAutospacing="0" w:line="560" w:lineRule="exact"/>
        <w:ind w:firstLine="600"/>
        <w:rPr>
          <w:rFonts w:ascii="仿宋_GB2312" w:hAnsi="华文仿宋" w:eastAsia="仿宋_GB2312" w:cs="华文仿宋"/>
          <w:color w:val="000000"/>
          <w:sz w:val="32"/>
          <w:szCs w:val="32"/>
        </w:rPr>
      </w:pPr>
      <w:r>
        <w:rPr>
          <w:rFonts w:hint="eastAsia" w:ascii="仿宋_GB2312" w:hAnsi="华文仿宋" w:eastAsia="仿宋_GB2312" w:cs="华文仿宋"/>
          <w:sz w:val="32"/>
          <w:szCs w:val="32"/>
        </w:rPr>
        <w:t>培训费支出0.45万元，主要是参加省信访业务和公务员法培训支出，较2017年增加0.22万元，增长95.65%，</w:t>
      </w:r>
      <w:r>
        <w:rPr>
          <w:rFonts w:hint="eastAsia" w:ascii="仿宋_GB2312" w:hAnsi="华文仿宋" w:eastAsia="仿宋_GB2312" w:cs="华文仿宋"/>
          <w:color w:val="000000"/>
          <w:sz w:val="32"/>
          <w:szCs w:val="32"/>
        </w:rPr>
        <w:t>原因培训天数增加。</w:t>
      </w:r>
    </w:p>
    <w:p>
      <w:pPr>
        <w:pStyle w:val="5"/>
        <w:spacing w:before="0" w:beforeAutospacing="0" w:after="0" w:afterAutospacing="0" w:line="560" w:lineRule="exact"/>
        <w:ind w:firstLine="640" w:firstLineChars="200"/>
        <w:rPr>
          <w:rFonts w:ascii="仿宋_GB2312" w:hAnsi="楷体_GB2312" w:eastAsia="仿宋_GB2312" w:cs="楷体_GB2312"/>
          <w:b/>
          <w:bCs/>
          <w:sz w:val="32"/>
          <w:szCs w:val="32"/>
        </w:rPr>
      </w:pPr>
      <w:r>
        <w:rPr>
          <w:rFonts w:hint="eastAsia" w:ascii="仿宋_GB2312" w:hAnsi="楷体_GB2312" w:eastAsia="仿宋_GB2312" w:cs="楷体_GB2312"/>
          <w:sz w:val="32"/>
          <w:szCs w:val="32"/>
        </w:rPr>
        <w:t>3.会议费支出决算情况。</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2018年未发生</w:t>
      </w:r>
      <w:r>
        <w:rPr>
          <w:rFonts w:hint="eastAsia" w:ascii="仿宋_GB2312" w:hAnsi="楷体_GB2312" w:eastAsia="仿宋_GB2312" w:cs="楷体_GB2312"/>
          <w:sz w:val="32"/>
          <w:szCs w:val="32"/>
        </w:rPr>
        <w:t>会议费</w:t>
      </w:r>
      <w:r>
        <w:rPr>
          <w:rFonts w:hint="eastAsia" w:ascii="仿宋_GB2312" w:hAnsi="华文仿宋" w:eastAsia="仿宋_GB2312" w:cs="华文仿宋"/>
          <w:sz w:val="32"/>
          <w:szCs w:val="32"/>
        </w:rPr>
        <w:t>支出。</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(四)决算收支与预算收支对比情况。</w:t>
      </w:r>
    </w:p>
    <w:p>
      <w:pPr>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1.2018年年初财政预算数收入189.75万元，年终决算收入为371.96万元，较年初预算数增加了96%，主要原因是机构改革人员编制增加和目标奖标准提升，同时中央扫黑除恶专项斗争等信访维稳保障任务大量增加，成本增大，收入追加较多。其中基本收入年初预算为129.75万元，年末决算收入为190.85万元，增加了47%；主要原因是机构改革人员编制增加和目标奖发放标准提升；项目年初预算收入60万元，年末决算收入181.10万元，增加了202%；同时中央扫黑除恶专项斗争等信访维稳保障任务大量增加，项目经费追加增多。</w:t>
      </w:r>
    </w:p>
    <w:p>
      <w:pPr>
        <w:jc w:val="center"/>
        <w:rPr>
          <w:rFonts w:ascii="仿宋_GB2312" w:hAnsi="华文仿宋" w:eastAsia="仿宋_GB2312" w:cs="华文仿宋"/>
          <w:sz w:val="32"/>
          <w:szCs w:val="32"/>
        </w:rPr>
      </w:pPr>
      <w:r>
        <w:rPr>
          <w:rFonts w:ascii="仿宋_GB2312" w:hAnsi="华文仿宋" w:eastAsia="仿宋_GB2312" w:cs="华文仿宋"/>
          <w:sz w:val="32"/>
          <w:szCs w:val="32"/>
        </w:rPr>
        <w:drawing>
          <wp:inline distT="0" distB="0" distL="0" distR="0">
            <wp:extent cx="4981575" cy="2295525"/>
            <wp:effectExtent l="19050" t="0" r="9525" b="0"/>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2.2018年年初财政预算数支出189.75万元，年终决算支出为371.96万元，较年初预算支出增加了96%。</w:t>
      </w:r>
    </w:p>
    <w:p>
      <w:pPr>
        <w:spacing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基本支出年初预算为129.75万元，年末决算支出为190.85万元，增加了47%；人员经费年初预算支出114.67万元，年末决算支出175.01万元，增加53%；日常公用经费年初预算支出15.09万元，年末决算支出15.84万元，增加了5 %；主要原因是主要原因是机构改革人员编制增加和目标奖发放标准提升；</w:t>
      </w:r>
    </w:p>
    <w:p>
      <w:pPr>
        <w:spacing w:line="54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（2）.项目年初预算支出60万元，年末决算支出181.10万元，增加了202%；同时中央扫黑除恶专项斗争等信访维稳保障任务大量增加，项目经费追加增多。</w:t>
      </w:r>
    </w:p>
    <w:p>
      <w:pPr>
        <w:spacing w:line="480" w:lineRule="auto"/>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drawing>
          <wp:inline distT="0" distB="0" distL="0" distR="0">
            <wp:extent cx="4981575" cy="2295525"/>
            <wp:effectExtent l="19050" t="0" r="9525" b="0"/>
            <wp:docPr id="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480" w:lineRule="auto"/>
        <w:ind w:firstLine="640" w:firstLineChars="200"/>
        <w:rPr>
          <w:rFonts w:ascii="黑体" w:hAnsi="黑体" w:eastAsia="黑体" w:cs="黑体"/>
          <w:sz w:val="32"/>
          <w:szCs w:val="32"/>
        </w:rPr>
      </w:pPr>
      <w:r>
        <w:rPr>
          <w:rFonts w:hint="eastAsia" w:ascii="黑体" w:hAnsi="黑体" w:eastAsia="黑体" w:cs="黑体"/>
          <w:sz w:val="32"/>
          <w:szCs w:val="32"/>
        </w:rPr>
        <w:t>六、2018年度部门绩效管理情况说明</w:t>
      </w:r>
    </w:p>
    <w:p>
      <w:pPr>
        <w:spacing w:line="480" w:lineRule="auto"/>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根据预算绩效管理要求，阎良区信访局组织对2018年度一般公共预算项目支出全面开展绩效自评，其中，一级项目2个，共涉及资金181.10万元，占一般公共预算项目支出总额的48.69%。</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2018年区信访局部门整体支出绩效评价的98分，结果为优。</w:t>
      </w:r>
    </w:p>
    <w:p>
      <w:pPr>
        <w:spacing w:line="480" w:lineRule="auto"/>
        <w:ind w:firstLine="640" w:firstLineChars="200"/>
        <w:jc w:val="center"/>
        <w:rPr>
          <w:rFonts w:ascii="黑体" w:hAnsi="黑体" w:eastAsia="黑体"/>
          <w:sz w:val="32"/>
          <w:szCs w:val="32"/>
        </w:rPr>
      </w:pPr>
      <w:r>
        <w:rPr>
          <w:rFonts w:hint="eastAsia" w:ascii="黑体" w:hAnsi="黑体" w:eastAsia="黑体"/>
          <w:sz w:val="32"/>
          <w:szCs w:val="32"/>
        </w:rPr>
        <w:t>部门整体评价得分表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2"/>
        <w:gridCol w:w="2410"/>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2559" w:type="pct"/>
          </w:tcPr>
          <w:p>
            <w:pPr>
              <w:spacing w:line="480" w:lineRule="auto"/>
              <w:ind w:firstLine="960" w:firstLineChars="300"/>
              <w:rPr>
                <w:rFonts w:ascii="仿宋_GB2312" w:eastAsia="仿宋_GB2312"/>
                <w:sz w:val="32"/>
                <w:szCs w:val="32"/>
              </w:rPr>
            </w:pPr>
            <w:r>
              <w:rPr>
                <w:rFonts w:hint="eastAsia" w:ascii="仿宋_GB2312" w:eastAsia="仿宋_GB2312"/>
                <w:sz w:val="32"/>
                <w:szCs w:val="32"/>
              </w:rPr>
              <w:t>项   目（效果类）</w:t>
            </w:r>
          </w:p>
        </w:tc>
        <w:tc>
          <w:tcPr>
            <w:tcW w:w="1414" w:type="pct"/>
          </w:tcPr>
          <w:p>
            <w:pPr>
              <w:spacing w:line="480" w:lineRule="auto"/>
              <w:jc w:val="center"/>
              <w:rPr>
                <w:rFonts w:ascii="仿宋_GB2312" w:eastAsia="仿宋_GB2312"/>
                <w:sz w:val="32"/>
                <w:szCs w:val="32"/>
              </w:rPr>
            </w:pPr>
            <w:r>
              <w:rPr>
                <w:rFonts w:hint="eastAsia" w:ascii="仿宋_GB2312" w:eastAsia="仿宋_GB2312"/>
                <w:sz w:val="32"/>
                <w:szCs w:val="32"/>
              </w:rPr>
              <w:t>标准分值</w:t>
            </w:r>
          </w:p>
        </w:tc>
        <w:tc>
          <w:tcPr>
            <w:tcW w:w="1027" w:type="pct"/>
          </w:tcPr>
          <w:p>
            <w:pPr>
              <w:spacing w:line="480" w:lineRule="auto"/>
              <w:rPr>
                <w:rFonts w:ascii="仿宋_GB2312" w:eastAsia="仿宋_GB2312"/>
                <w:sz w:val="32"/>
                <w:szCs w:val="32"/>
              </w:rPr>
            </w:pPr>
            <w:r>
              <w:rPr>
                <w:rFonts w:hint="eastAsia" w:ascii="仿宋_GB2312" w:eastAsia="仿宋_GB2312"/>
                <w:sz w:val="32"/>
                <w:szCs w:val="32"/>
              </w:rPr>
              <w:t>项目得分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559" w:type="pct"/>
          </w:tcPr>
          <w:p>
            <w:pPr>
              <w:spacing w:line="480" w:lineRule="auto"/>
              <w:ind w:firstLine="640" w:firstLineChars="200"/>
              <w:rPr>
                <w:rFonts w:ascii="仿宋_GB2312" w:eastAsia="仿宋_GB2312"/>
                <w:sz w:val="32"/>
                <w:szCs w:val="32"/>
              </w:rPr>
            </w:pPr>
            <w:r>
              <w:rPr>
                <w:rFonts w:hint="eastAsia" w:ascii="仿宋_GB2312" w:eastAsia="仿宋_GB2312"/>
                <w:sz w:val="32"/>
                <w:szCs w:val="32"/>
              </w:rPr>
              <w:t>信访业务费</w:t>
            </w:r>
          </w:p>
        </w:tc>
        <w:tc>
          <w:tcPr>
            <w:tcW w:w="1414" w:type="pct"/>
            <w:vAlign w:val="center"/>
          </w:tcPr>
          <w:p>
            <w:pPr>
              <w:spacing w:line="480" w:lineRule="auto"/>
              <w:ind w:firstLine="640" w:firstLineChars="200"/>
              <w:jc w:val="center"/>
              <w:rPr>
                <w:rFonts w:ascii="仿宋_GB2312" w:eastAsia="仿宋_GB2312"/>
                <w:sz w:val="32"/>
                <w:szCs w:val="32"/>
              </w:rPr>
            </w:pPr>
            <w:r>
              <w:rPr>
                <w:rFonts w:hint="eastAsia" w:ascii="仿宋_GB2312" w:eastAsia="仿宋_GB2312"/>
                <w:sz w:val="32"/>
                <w:szCs w:val="32"/>
              </w:rPr>
              <w:t>50</w:t>
            </w:r>
          </w:p>
        </w:tc>
        <w:tc>
          <w:tcPr>
            <w:tcW w:w="1027" w:type="pct"/>
            <w:vAlign w:val="center"/>
          </w:tcPr>
          <w:p>
            <w:pPr>
              <w:spacing w:line="480" w:lineRule="auto"/>
              <w:ind w:firstLine="640" w:firstLineChars="200"/>
              <w:rPr>
                <w:rFonts w:ascii="仿宋_GB2312" w:eastAsia="仿宋_GB2312"/>
                <w:sz w:val="32"/>
                <w:szCs w:val="32"/>
              </w:rPr>
            </w:pPr>
            <w:r>
              <w:rPr>
                <w:rFonts w:hint="eastAsia" w:ascii="仿宋_GB2312" w:eastAsia="仿宋_GB2312"/>
                <w:sz w:val="32"/>
                <w:szCs w:val="32"/>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59" w:type="pct"/>
          </w:tcPr>
          <w:p>
            <w:pPr>
              <w:spacing w:line="480" w:lineRule="auto"/>
              <w:ind w:firstLine="640" w:firstLineChars="200"/>
              <w:rPr>
                <w:rFonts w:ascii="仿宋_GB2312" w:eastAsia="仿宋_GB2312"/>
                <w:sz w:val="32"/>
                <w:szCs w:val="32"/>
              </w:rPr>
            </w:pPr>
            <w:r>
              <w:rPr>
                <w:rFonts w:hint="eastAsia" w:ascii="仿宋_GB2312" w:eastAsia="仿宋_GB2312"/>
                <w:sz w:val="32"/>
                <w:szCs w:val="32"/>
              </w:rPr>
              <w:t>全国、省、市“三级两会”驻会经费及长期驻京劝返经费</w:t>
            </w:r>
          </w:p>
        </w:tc>
        <w:tc>
          <w:tcPr>
            <w:tcW w:w="1414" w:type="pct"/>
            <w:vAlign w:val="center"/>
          </w:tcPr>
          <w:p>
            <w:pPr>
              <w:spacing w:line="480" w:lineRule="auto"/>
              <w:ind w:firstLine="640" w:firstLineChars="200"/>
              <w:jc w:val="center"/>
              <w:rPr>
                <w:rFonts w:ascii="仿宋_GB2312" w:eastAsia="仿宋_GB2312"/>
                <w:sz w:val="32"/>
                <w:szCs w:val="32"/>
              </w:rPr>
            </w:pPr>
            <w:r>
              <w:rPr>
                <w:rFonts w:hint="eastAsia" w:ascii="仿宋_GB2312" w:eastAsia="仿宋_GB2312"/>
                <w:sz w:val="32"/>
                <w:szCs w:val="32"/>
              </w:rPr>
              <w:t>50</w:t>
            </w:r>
          </w:p>
        </w:tc>
        <w:tc>
          <w:tcPr>
            <w:tcW w:w="1027" w:type="pct"/>
            <w:vAlign w:val="center"/>
          </w:tcPr>
          <w:p>
            <w:pPr>
              <w:spacing w:line="480" w:lineRule="auto"/>
              <w:ind w:firstLine="640" w:firstLineChars="200"/>
              <w:rPr>
                <w:rFonts w:ascii="仿宋_GB2312" w:eastAsia="仿宋_GB2312"/>
                <w:sz w:val="32"/>
                <w:szCs w:val="32"/>
              </w:rPr>
            </w:pPr>
            <w:r>
              <w:rPr>
                <w:rFonts w:hint="eastAsia" w:ascii="仿宋_GB2312" w:eastAsia="仿宋_GB2312"/>
                <w:sz w:val="32"/>
                <w:szCs w:val="32"/>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59" w:type="pct"/>
          </w:tcPr>
          <w:p>
            <w:pPr>
              <w:spacing w:line="480" w:lineRule="auto"/>
              <w:ind w:firstLine="640" w:firstLineChars="200"/>
              <w:rPr>
                <w:rFonts w:ascii="仿宋_GB2312" w:eastAsia="仿宋_GB2312"/>
                <w:sz w:val="32"/>
                <w:szCs w:val="32"/>
              </w:rPr>
            </w:pPr>
            <w:r>
              <w:rPr>
                <w:rFonts w:hint="eastAsia" w:ascii="仿宋_GB2312" w:eastAsia="仿宋_GB2312"/>
                <w:sz w:val="32"/>
                <w:szCs w:val="32"/>
              </w:rPr>
              <w:t>合计</w:t>
            </w:r>
          </w:p>
        </w:tc>
        <w:tc>
          <w:tcPr>
            <w:tcW w:w="1414" w:type="pct"/>
            <w:vAlign w:val="center"/>
          </w:tcPr>
          <w:p>
            <w:pPr>
              <w:spacing w:line="480" w:lineRule="auto"/>
              <w:ind w:firstLine="640" w:firstLineChars="200"/>
              <w:jc w:val="center"/>
              <w:rPr>
                <w:rFonts w:ascii="仿宋_GB2312" w:eastAsia="仿宋_GB2312"/>
                <w:sz w:val="32"/>
                <w:szCs w:val="32"/>
              </w:rPr>
            </w:pPr>
            <w:r>
              <w:rPr>
                <w:rFonts w:hint="eastAsia" w:ascii="仿宋_GB2312" w:eastAsia="仿宋_GB2312"/>
                <w:sz w:val="32"/>
                <w:szCs w:val="32"/>
              </w:rPr>
              <w:t>100</w:t>
            </w:r>
          </w:p>
        </w:tc>
        <w:tc>
          <w:tcPr>
            <w:tcW w:w="1027" w:type="pct"/>
            <w:vAlign w:val="center"/>
          </w:tcPr>
          <w:p>
            <w:pPr>
              <w:spacing w:line="480" w:lineRule="auto"/>
              <w:ind w:firstLine="640" w:firstLineChars="200"/>
              <w:rPr>
                <w:rFonts w:ascii="仿宋_GB2312" w:eastAsia="仿宋_GB2312"/>
                <w:sz w:val="32"/>
                <w:szCs w:val="32"/>
              </w:rPr>
            </w:pPr>
            <w:r>
              <w:rPr>
                <w:rFonts w:hint="eastAsia" w:ascii="仿宋_GB2312" w:eastAsia="仿宋_GB2312"/>
                <w:sz w:val="32"/>
                <w:szCs w:val="32"/>
              </w:rPr>
              <w:t>99</w:t>
            </w:r>
          </w:p>
        </w:tc>
      </w:tr>
    </w:tbl>
    <w:p>
      <w:pPr>
        <w:spacing w:line="480" w:lineRule="auto"/>
        <w:ind w:firstLine="640" w:firstLineChars="200"/>
        <w:rPr>
          <w:rFonts w:ascii="黑体" w:hAnsi="黑体" w:eastAsia="黑体" w:cs="黑体"/>
          <w:sz w:val="32"/>
          <w:szCs w:val="32"/>
        </w:rPr>
      </w:pPr>
      <w:r>
        <w:rPr>
          <w:rFonts w:hint="eastAsia" w:ascii="黑体" w:hAnsi="黑体" w:eastAsia="黑体" w:cs="黑体"/>
          <w:sz w:val="32"/>
          <w:szCs w:val="32"/>
        </w:rPr>
        <w:t>七、2018年其他重要事项情况说明</w:t>
      </w:r>
    </w:p>
    <w:p>
      <w:pPr>
        <w:pStyle w:val="5"/>
        <w:spacing w:before="0" w:beforeAutospacing="0" w:after="0" w:afterAutospacing="0" w:line="480" w:lineRule="auto"/>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（一）机关运行经费支出情况。</w:t>
      </w:r>
    </w:p>
    <w:p>
      <w:pPr>
        <w:pStyle w:val="5"/>
        <w:spacing w:before="0" w:beforeAutospacing="0" w:after="0" w:afterAutospacing="0" w:line="480" w:lineRule="auto"/>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2018年本部门机关运行经费支出15.84万元，用于维持机关日常运转所必需的公用支出。2018年机关运行经费支出比2017年同口径减少4.91万元，下降23.66%，主要原因是节约开支。</w:t>
      </w:r>
    </w:p>
    <w:p>
      <w:pPr>
        <w:spacing w:line="480" w:lineRule="auto"/>
        <w:ind w:firstLine="643" w:firstLineChars="200"/>
        <w:rPr>
          <w:rFonts w:ascii="仿宋_GB2312" w:hAnsi="楷体_GB2312" w:eastAsia="仿宋_GB2312" w:cs="楷体_GB2312"/>
          <w:b/>
          <w:bCs/>
          <w:sz w:val="32"/>
          <w:szCs w:val="32"/>
        </w:rPr>
      </w:pPr>
      <w:r>
        <w:rPr>
          <w:rFonts w:hint="eastAsia" w:ascii="仿宋_GB2312" w:hAnsi="楷体_GB2312" w:eastAsia="仿宋_GB2312" w:cs="楷体_GB2312"/>
          <w:b/>
          <w:bCs/>
          <w:sz w:val="32"/>
          <w:szCs w:val="32"/>
        </w:rPr>
        <w:t>（二）国有资产占用及购置情况说明</w:t>
      </w:r>
    </w:p>
    <w:p>
      <w:pPr>
        <w:spacing w:line="480" w:lineRule="auto"/>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截至2018年末，本部门无车辆。</w:t>
      </w:r>
    </w:p>
    <w:p>
      <w:pPr>
        <w:spacing w:line="480" w:lineRule="auto"/>
        <w:ind w:firstLine="640" w:firstLineChars="200"/>
        <w:rPr>
          <w:rFonts w:ascii="黑体" w:hAnsi="黑体" w:eastAsia="黑体" w:cs="黑体"/>
          <w:sz w:val="32"/>
          <w:szCs w:val="32"/>
        </w:rPr>
      </w:pPr>
      <w:r>
        <w:rPr>
          <w:rFonts w:hint="eastAsia" w:ascii="黑体" w:hAnsi="黑体" w:eastAsia="黑体" w:cs="黑体"/>
          <w:sz w:val="32"/>
          <w:szCs w:val="32"/>
        </w:rPr>
        <w:t>八、专业名词解释</w:t>
      </w:r>
    </w:p>
    <w:p>
      <w:pPr>
        <w:spacing w:line="480" w:lineRule="auto"/>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1．基本支出：指为保障机构正常运转、完成日常工作任务而发生的各项支出。</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2．项目支出：指单位为完成特定的行政工作任务或事业发展目标所发生的各项支出。</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4．机关运行经费：指行政单位和参照公务员法管理的事业单位使用一般公共预算财政拨款安排的日常公用经费支出。</w:t>
      </w:r>
    </w:p>
    <w:p>
      <w:pPr>
        <w:spacing w:line="560" w:lineRule="exact"/>
        <w:ind w:firstLine="640" w:firstLineChars="200"/>
        <w:rPr>
          <w:rFonts w:ascii="黑体" w:eastAsia="黑体"/>
          <w:bCs/>
          <w:sz w:val="32"/>
          <w:szCs w:val="32"/>
        </w:rPr>
      </w:pPr>
      <w:r>
        <w:rPr>
          <w:rFonts w:hint="eastAsia" w:ascii="黑体" w:eastAsia="黑体"/>
          <w:bCs/>
          <w:sz w:val="32"/>
          <w:szCs w:val="32"/>
        </w:rPr>
        <w:t>九、2018年部门决算公开报表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1.批复01表-部门收支总体情况表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2.批复02表-部门收入总体情况表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3.批复03表-部门支出总体情况表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4.批复04表-财政拨款收支总体情况表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5.批复05表-一般公共预算财政拨款支出明细表（按功能分类科目）</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6.批复06表-一般公共预算财政拨款基本支出情况表（按经济分类科目）</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7.批复07表-一般公共预算财政拨款</w:t>
      </w:r>
      <w:r>
        <w:rPr>
          <w:rFonts w:ascii="仿宋_GB2312" w:hAnsi="华文仿宋" w:eastAsia="仿宋_GB2312" w:cs="华文仿宋"/>
          <w:sz w:val="32"/>
          <w:szCs w:val="32"/>
        </w:rPr>
        <w:t>“</w:t>
      </w:r>
      <w:r>
        <w:rPr>
          <w:rFonts w:hint="eastAsia" w:ascii="仿宋_GB2312" w:hAnsi="华文仿宋" w:eastAsia="仿宋_GB2312" w:cs="华文仿宋"/>
          <w:sz w:val="32"/>
          <w:szCs w:val="32"/>
        </w:rPr>
        <w:t>三公</w:t>
      </w:r>
      <w:r>
        <w:rPr>
          <w:rFonts w:ascii="仿宋_GB2312" w:hAnsi="华文仿宋" w:eastAsia="仿宋_GB2312" w:cs="华文仿宋"/>
          <w:sz w:val="32"/>
          <w:szCs w:val="32"/>
        </w:rPr>
        <w:t>”</w:t>
      </w:r>
      <w:r>
        <w:rPr>
          <w:rFonts w:hint="eastAsia" w:ascii="仿宋_GB2312" w:hAnsi="华文仿宋" w:eastAsia="仿宋_GB2312" w:cs="华文仿宋"/>
          <w:sz w:val="32"/>
          <w:szCs w:val="32"/>
        </w:rPr>
        <w:t>经费及会议费、培训费支出情况表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8.批复08表-政府性基金预算收支情况表</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9.批复09表-政府采购情况表</w:t>
      </w:r>
    </w:p>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A7668"/>
    <w:multiLevelType w:val="singleLevel"/>
    <w:tmpl w:val="F0DA76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3NmI3ZTE1ZTYyNTljN2NjOTVmNGFiZmYyMDkyMWEifQ=="/>
  </w:docVars>
  <w:rsids>
    <w:rsidRoot w:val="000D2388"/>
    <w:rsid w:val="00062A98"/>
    <w:rsid w:val="000D2388"/>
    <w:rsid w:val="000E7ED0"/>
    <w:rsid w:val="001079A2"/>
    <w:rsid w:val="00116B36"/>
    <w:rsid w:val="00160271"/>
    <w:rsid w:val="00217CAA"/>
    <w:rsid w:val="0026127E"/>
    <w:rsid w:val="004B5D44"/>
    <w:rsid w:val="004C6A8E"/>
    <w:rsid w:val="004F2A19"/>
    <w:rsid w:val="005A7CA8"/>
    <w:rsid w:val="005E3329"/>
    <w:rsid w:val="005F643F"/>
    <w:rsid w:val="00655EE3"/>
    <w:rsid w:val="007B3F25"/>
    <w:rsid w:val="008C069E"/>
    <w:rsid w:val="0096076E"/>
    <w:rsid w:val="009707A8"/>
    <w:rsid w:val="009D0FC1"/>
    <w:rsid w:val="00A44874"/>
    <w:rsid w:val="00AC6725"/>
    <w:rsid w:val="00AD22CA"/>
    <w:rsid w:val="00C0007C"/>
    <w:rsid w:val="00C30ADB"/>
    <w:rsid w:val="00C50AF9"/>
    <w:rsid w:val="00D408B8"/>
    <w:rsid w:val="00D44876"/>
    <w:rsid w:val="00D906C6"/>
    <w:rsid w:val="00DE5C04"/>
    <w:rsid w:val="00E018CF"/>
    <w:rsid w:val="00E357C5"/>
    <w:rsid w:val="00F53E16"/>
    <w:rsid w:val="00FA4701"/>
    <w:rsid w:val="5A54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autoRedefine/>
    <w:qFormat/>
    <w:uiPriority w:val="22"/>
    <w:rPr>
      <w:b/>
      <w:bCs/>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总计</c:v>
                </c:pt>
              </c:strCache>
            </c:strRef>
          </c:tx>
          <c:invertIfNegative val="0"/>
          <c:dLbls>
            <c:delete val="1"/>
          </c:dLbls>
          <c:cat>
            <c:strRef>
              <c:f>Sheet1!$A$2:$A$3</c:f>
              <c:strCache>
                <c:ptCount val="2"/>
                <c:pt idx="0">
                  <c:v>编制</c:v>
                </c:pt>
                <c:pt idx="1">
                  <c:v>实有</c:v>
                </c:pt>
              </c:strCache>
            </c:strRef>
          </c:cat>
          <c:val>
            <c:numRef>
              <c:f>Sheet1!$B$2:$B$3</c:f>
              <c:numCache>
                <c:formatCode>General</c:formatCode>
                <c:ptCount val="2"/>
                <c:pt idx="0">
                  <c:v>12</c:v>
                </c:pt>
                <c:pt idx="1">
                  <c:v>14</c:v>
                </c:pt>
              </c:numCache>
            </c:numRef>
          </c:val>
        </c:ser>
        <c:ser>
          <c:idx val="1"/>
          <c:order val="1"/>
          <c:tx>
            <c:strRef>
              <c:f>Sheet1!$C$1</c:f>
              <c:strCache>
                <c:ptCount val="1"/>
                <c:pt idx="0">
                  <c:v>行政</c:v>
                </c:pt>
              </c:strCache>
            </c:strRef>
          </c:tx>
          <c:invertIfNegative val="0"/>
          <c:dLbls>
            <c:delete val="1"/>
          </c:dLbls>
          <c:cat>
            <c:strRef>
              <c:f>Sheet1!$A$2:$A$3</c:f>
              <c:strCache>
                <c:ptCount val="2"/>
                <c:pt idx="0">
                  <c:v>编制</c:v>
                </c:pt>
                <c:pt idx="1">
                  <c:v>实有</c:v>
                </c:pt>
              </c:strCache>
            </c:strRef>
          </c:cat>
          <c:val>
            <c:numRef>
              <c:f>Sheet1!$C$2:$C$3</c:f>
              <c:numCache>
                <c:formatCode>General</c:formatCode>
                <c:ptCount val="2"/>
                <c:pt idx="0">
                  <c:v>4</c:v>
                </c:pt>
                <c:pt idx="1">
                  <c:v>6</c:v>
                </c:pt>
              </c:numCache>
            </c:numRef>
          </c:val>
        </c:ser>
        <c:ser>
          <c:idx val="2"/>
          <c:order val="2"/>
          <c:tx>
            <c:strRef>
              <c:f>Sheet1!$D$1</c:f>
              <c:strCache>
                <c:ptCount val="1"/>
                <c:pt idx="0">
                  <c:v>事业</c:v>
                </c:pt>
              </c:strCache>
            </c:strRef>
          </c:tx>
          <c:invertIfNegative val="0"/>
          <c:dLbls>
            <c:delete val="1"/>
          </c:dLbls>
          <c:cat>
            <c:strRef>
              <c:f>Sheet1!$A$2:$A$3</c:f>
              <c:strCache>
                <c:ptCount val="2"/>
                <c:pt idx="0">
                  <c:v>编制</c:v>
                </c:pt>
                <c:pt idx="1">
                  <c:v>实有</c:v>
                </c:pt>
              </c:strCache>
            </c:strRef>
          </c:cat>
          <c:val>
            <c:numRef>
              <c:f>Sheet1!$D$2:$D$3</c:f>
              <c:numCache>
                <c:formatCode>General</c:formatCode>
                <c:ptCount val="2"/>
                <c:pt idx="0">
                  <c:v>6</c:v>
                </c:pt>
                <c:pt idx="1">
                  <c:v>8</c:v>
                </c:pt>
              </c:numCache>
            </c:numRef>
          </c:val>
        </c:ser>
        <c:dLbls>
          <c:showLegendKey val="0"/>
          <c:showVal val="0"/>
          <c:showCatName val="0"/>
          <c:showSerName val="0"/>
          <c:showPercent val="0"/>
          <c:showBubbleSize val="0"/>
        </c:dLbls>
        <c:gapWidth val="150"/>
        <c:axId val="96376704"/>
        <c:axId val="96389760"/>
      </c:barChart>
      <c:catAx>
        <c:axId val="963767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389760"/>
        <c:crosses val="autoZero"/>
        <c:auto val="1"/>
        <c:lblAlgn val="ctr"/>
        <c:lblOffset val="100"/>
        <c:noMultiLvlLbl val="0"/>
      </c:catAx>
      <c:valAx>
        <c:axId val="9638976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637670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Sheet1!$B$2:$B$3</c:f>
              <c:numCache>
                <c:formatCode>General</c:formatCode>
                <c:ptCount val="2"/>
                <c:pt idx="0">
                  <c:v>190.86</c:v>
                </c:pt>
                <c:pt idx="1">
                  <c:v>181.1</c:v>
                </c:pt>
              </c:numCache>
            </c:numRef>
          </c:val>
        </c:ser>
        <c:ser>
          <c:idx val="1"/>
          <c:order val="1"/>
          <c:tx>
            <c:strRef>
              <c:f>Sheet1!$C$1</c:f>
              <c:strCache>
                <c:ptCount val="1"/>
                <c:pt idx="0">
                  <c:v>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基本支出</c:v>
                </c:pt>
                <c:pt idx="1">
                  <c:v>项目支出</c:v>
                </c:pt>
              </c:strCache>
            </c:strRef>
          </c:cat>
          <c:val>
            <c:numRef>
              <c:f>Sheet1!$C$2:$C$3</c:f>
              <c:numCache>
                <c:formatCode>General</c:formatCode>
                <c:ptCount val="2"/>
                <c:pt idx="0">
                  <c:v>51.31</c:v>
                </c:pt>
                <c:pt idx="1">
                  <c:v>48.69</c:v>
                </c:pt>
              </c:numCache>
            </c:numRef>
          </c:val>
        </c:ser>
        <c:dLbls>
          <c:showLegendKey val="0"/>
          <c:showVal val="1"/>
          <c:showCatName val="0"/>
          <c:showSerName val="0"/>
          <c:showPercent val="0"/>
          <c:showBubbleSize val="0"/>
        </c:dLbls>
        <c:gapWidth val="150"/>
        <c:axId val="170117376"/>
        <c:axId val="170549248"/>
      </c:barChart>
      <c:catAx>
        <c:axId val="1701173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549248"/>
        <c:crosses val="autoZero"/>
        <c:auto val="1"/>
        <c:lblAlgn val="ctr"/>
        <c:lblOffset val="100"/>
        <c:noMultiLvlLbl val="0"/>
      </c:catAx>
      <c:valAx>
        <c:axId val="17054924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117376"/>
        <c:crosses val="autoZero"/>
        <c:crossBetween val="between"/>
      </c:valAx>
    </c:plotArea>
    <c:legend>
      <c:legendPos val="r"/>
      <c:layout>
        <c:manualLayout>
          <c:xMode val="edge"/>
          <c:yMode val="edge"/>
          <c:x val="0.790550233111061"/>
          <c:y val="0.0414532393977069"/>
          <c:w val="0.168587739438903"/>
          <c:h val="0.1492913385826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0854462479452288"/>
          <c:y val="0.0458308346131656"/>
          <c:w val="0.738423409839727"/>
          <c:h val="0.800295783460505"/>
        </c:manualLayout>
      </c:layout>
      <c:barChart>
        <c:barDir val="col"/>
        <c:grouping val="clustered"/>
        <c:varyColors val="0"/>
        <c:ser>
          <c:idx val="0"/>
          <c:order val="0"/>
          <c:tx>
            <c:strRef>
              <c:f>Sheet1!$B$1</c:f>
              <c:strCache>
                <c:ptCount val="1"/>
                <c:pt idx="0">
                  <c:v>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行政运行</c:v>
                </c:pt>
                <c:pt idx="1">
                  <c:v>信访事务</c:v>
                </c:pt>
                <c:pt idx="2">
                  <c:v>事业运行</c:v>
                </c:pt>
                <c:pt idx="3">
                  <c:v>临聘人员工资</c:v>
                </c:pt>
              </c:strCache>
            </c:strRef>
          </c:cat>
          <c:val>
            <c:numRef>
              <c:f>Sheet1!$B$2:$B$5</c:f>
              <c:numCache>
                <c:formatCode>General</c:formatCode>
                <c:ptCount val="4"/>
                <c:pt idx="0">
                  <c:v>147.67</c:v>
                </c:pt>
                <c:pt idx="1">
                  <c:v>181.1</c:v>
                </c:pt>
                <c:pt idx="2">
                  <c:v>43.19</c:v>
                </c:pt>
                <c:pt idx="3">
                  <c:v>3.52</c:v>
                </c:pt>
              </c:numCache>
            </c:numRef>
          </c:val>
        </c:ser>
        <c:ser>
          <c:idx val="1"/>
          <c:order val="1"/>
          <c:tx>
            <c:strRef>
              <c:f>Sheet1!$C$1</c:f>
              <c:strCache>
                <c:ptCount val="1"/>
                <c:pt idx="0">
                  <c:v>占比（%）</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行政运行</c:v>
                </c:pt>
                <c:pt idx="1">
                  <c:v>信访事务</c:v>
                </c:pt>
                <c:pt idx="2">
                  <c:v>事业运行</c:v>
                </c:pt>
                <c:pt idx="3">
                  <c:v>临聘人员工资</c:v>
                </c:pt>
              </c:strCache>
            </c:strRef>
          </c:cat>
          <c:val>
            <c:numRef>
              <c:f>Sheet1!$C$2:$C$5</c:f>
              <c:numCache>
                <c:formatCode>General</c:formatCode>
                <c:ptCount val="4"/>
                <c:pt idx="0">
                  <c:v>40</c:v>
                </c:pt>
                <c:pt idx="1">
                  <c:v>49</c:v>
                </c:pt>
                <c:pt idx="2">
                  <c:v>12</c:v>
                </c:pt>
                <c:pt idx="3">
                  <c:v>1</c:v>
                </c:pt>
              </c:numCache>
            </c:numRef>
          </c:val>
        </c:ser>
        <c:dLbls>
          <c:showLegendKey val="0"/>
          <c:showVal val="1"/>
          <c:showCatName val="0"/>
          <c:showSerName val="0"/>
          <c:showPercent val="0"/>
          <c:showBubbleSize val="0"/>
        </c:dLbls>
        <c:gapWidth val="150"/>
        <c:axId val="281826048"/>
        <c:axId val="170541056"/>
      </c:barChart>
      <c:catAx>
        <c:axId val="281826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0541056"/>
        <c:crosses val="autoZero"/>
        <c:auto val="1"/>
        <c:lblAlgn val="ctr"/>
        <c:lblOffset val="100"/>
        <c:noMultiLvlLbl val="0"/>
      </c:catAx>
      <c:valAx>
        <c:axId val="17054105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1826048"/>
        <c:crosses val="autoZero"/>
        <c:crossBetween val="between"/>
      </c:valAx>
    </c:plotArea>
    <c:legend>
      <c:legendPos val="r"/>
      <c:layout>
        <c:manualLayout>
          <c:xMode val="edge"/>
          <c:yMode val="edge"/>
          <c:x val="0.790550233111061"/>
          <c:y val="0.0414532393977069"/>
          <c:w val="0.168587739438903"/>
          <c:h val="0.1492913385826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0854462479452288"/>
          <c:y val="0.0458308346131656"/>
          <c:w val="0.738423409839727"/>
          <c:h val="0.800295783460505"/>
        </c:manualLayout>
      </c:layout>
      <c:barChart>
        <c:barDir val="col"/>
        <c:grouping val="clustered"/>
        <c:varyColors val="0"/>
        <c:ser>
          <c:idx val="0"/>
          <c:order val="0"/>
          <c:tx>
            <c:strRef>
              <c:f>Sheet1!$B$1</c:f>
              <c:strCache>
                <c:ptCount val="1"/>
                <c:pt idx="0">
                  <c:v>预算收入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预决算收入</c:v>
                </c:pt>
                <c:pt idx="1">
                  <c:v>基本收入</c:v>
                </c:pt>
                <c:pt idx="2">
                  <c:v>项目收入</c:v>
                </c:pt>
              </c:strCache>
            </c:strRef>
          </c:cat>
          <c:val>
            <c:numRef>
              <c:f>Sheet1!$B$2:$B$4</c:f>
              <c:numCache>
                <c:formatCode>General</c:formatCode>
                <c:ptCount val="3"/>
                <c:pt idx="0">
                  <c:v>189.75</c:v>
                </c:pt>
                <c:pt idx="1">
                  <c:v>129.75</c:v>
                </c:pt>
                <c:pt idx="2">
                  <c:v>60</c:v>
                </c:pt>
              </c:numCache>
            </c:numRef>
          </c:val>
        </c:ser>
        <c:ser>
          <c:idx val="1"/>
          <c:order val="1"/>
          <c:tx>
            <c:strRef>
              <c:f>Sheet1!$C$1</c:f>
              <c:strCache>
                <c:ptCount val="1"/>
                <c:pt idx="0">
                  <c:v>决算收入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预决算收入</c:v>
                </c:pt>
                <c:pt idx="1">
                  <c:v>基本收入</c:v>
                </c:pt>
                <c:pt idx="2">
                  <c:v>项目收入</c:v>
                </c:pt>
              </c:strCache>
            </c:strRef>
          </c:cat>
          <c:val>
            <c:numRef>
              <c:f>Sheet1!$C$2:$C$4</c:f>
              <c:numCache>
                <c:formatCode>General</c:formatCode>
                <c:ptCount val="3"/>
                <c:pt idx="0">
                  <c:v>371.96</c:v>
                </c:pt>
                <c:pt idx="1">
                  <c:v>190.85</c:v>
                </c:pt>
                <c:pt idx="2">
                  <c:v>181.1</c:v>
                </c:pt>
              </c:numCache>
            </c:numRef>
          </c:val>
        </c:ser>
        <c:dLbls>
          <c:showLegendKey val="0"/>
          <c:showVal val="1"/>
          <c:showCatName val="0"/>
          <c:showSerName val="0"/>
          <c:showPercent val="0"/>
          <c:showBubbleSize val="0"/>
        </c:dLbls>
        <c:gapWidth val="150"/>
        <c:axId val="172147456"/>
        <c:axId val="172148992"/>
      </c:barChart>
      <c:catAx>
        <c:axId val="1721474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148992"/>
        <c:crosses val="autoZero"/>
        <c:auto val="1"/>
        <c:lblAlgn val="ctr"/>
        <c:lblOffset val="100"/>
        <c:noMultiLvlLbl val="0"/>
      </c:catAx>
      <c:valAx>
        <c:axId val="17214899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2147456"/>
        <c:crosses val="autoZero"/>
        <c:crossBetween val="between"/>
      </c:valAx>
    </c:plotArea>
    <c:legend>
      <c:legendPos val="r"/>
      <c:layout>
        <c:manualLayout>
          <c:xMode val="edge"/>
          <c:yMode val="edge"/>
          <c:x val="0.790550233111061"/>
          <c:y val="0.0414532393977069"/>
          <c:w val="0.168587739438903"/>
          <c:h val="0.1492913385826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0854462479452288"/>
          <c:y val="0.0458308346131656"/>
          <c:w val="0.738423409839727"/>
          <c:h val="0.800295783460505"/>
        </c:manualLayout>
      </c:layout>
      <c:barChart>
        <c:barDir val="col"/>
        <c:grouping val="clustered"/>
        <c:varyColors val="0"/>
        <c:ser>
          <c:idx val="0"/>
          <c:order val="0"/>
          <c:tx>
            <c:strRef>
              <c:f>Sheet1!$B$1</c:f>
              <c:strCache>
                <c:ptCount val="1"/>
                <c:pt idx="0">
                  <c:v>预算支出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预决算支出</c:v>
                </c:pt>
                <c:pt idx="1">
                  <c:v>人员经费支出</c:v>
                </c:pt>
                <c:pt idx="2">
                  <c:v>日常公用经费</c:v>
                </c:pt>
                <c:pt idx="3">
                  <c:v>项目支出</c:v>
                </c:pt>
              </c:strCache>
            </c:strRef>
          </c:cat>
          <c:val>
            <c:numRef>
              <c:f>Sheet1!$B$2:$B$5</c:f>
              <c:numCache>
                <c:formatCode>General</c:formatCode>
                <c:ptCount val="4"/>
                <c:pt idx="0">
                  <c:v>189.75</c:v>
                </c:pt>
                <c:pt idx="1">
                  <c:v>114.67</c:v>
                </c:pt>
                <c:pt idx="2">
                  <c:v>15.09</c:v>
                </c:pt>
                <c:pt idx="3">
                  <c:v>60</c:v>
                </c:pt>
              </c:numCache>
            </c:numRef>
          </c:val>
        </c:ser>
        <c:ser>
          <c:idx val="1"/>
          <c:order val="1"/>
          <c:tx>
            <c:strRef>
              <c:f>Sheet1!$C$1</c:f>
              <c:strCache>
                <c:ptCount val="1"/>
                <c:pt idx="0">
                  <c:v>决算支出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预决算支出</c:v>
                </c:pt>
                <c:pt idx="1">
                  <c:v>人员经费支出</c:v>
                </c:pt>
                <c:pt idx="2">
                  <c:v>日常公用经费</c:v>
                </c:pt>
                <c:pt idx="3">
                  <c:v>项目支出</c:v>
                </c:pt>
              </c:strCache>
            </c:strRef>
          </c:cat>
          <c:val>
            <c:numRef>
              <c:f>Sheet1!$C$2:$C$5</c:f>
              <c:numCache>
                <c:formatCode>General</c:formatCode>
                <c:ptCount val="4"/>
                <c:pt idx="0">
                  <c:v>371.96</c:v>
                </c:pt>
                <c:pt idx="1">
                  <c:v>175.01</c:v>
                </c:pt>
                <c:pt idx="2">
                  <c:v>15.84</c:v>
                </c:pt>
                <c:pt idx="3">
                  <c:v>181.1</c:v>
                </c:pt>
              </c:numCache>
            </c:numRef>
          </c:val>
        </c:ser>
        <c:dLbls>
          <c:showLegendKey val="0"/>
          <c:showVal val="1"/>
          <c:showCatName val="0"/>
          <c:showSerName val="0"/>
          <c:showPercent val="0"/>
          <c:showBubbleSize val="0"/>
        </c:dLbls>
        <c:gapWidth val="150"/>
        <c:axId val="268217344"/>
        <c:axId val="281682688"/>
      </c:barChart>
      <c:catAx>
        <c:axId val="268217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1682688"/>
        <c:crosses val="autoZero"/>
        <c:auto val="1"/>
        <c:lblAlgn val="ctr"/>
        <c:lblOffset val="100"/>
        <c:noMultiLvlLbl val="0"/>
      </c:catAx>
      <c:valAx>
        <c:axId val="28168268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8217344"/>
        <c:crosses val="autoZero"/>
        <c:crossBetween val="between"/>
      </c:valAx>
    </c:plotArea>
    <c:legend>
      <c:legendPos val="r"/>
      <c:layout>
        <c:manualLayout>
          <c:xMode val="edge"/>
          <c:yMode val="edge"/>
          <c:x val="0.790550233111061"/>
          <c:y val="0.0414532393977069"/>
          <c:w val="0.168587739438903"/>
          <c:h val="0.14929133858267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590</Words>
  <Characters>3368</Characters>
  <Lines>28</Lines>
  <Paragraphs>7</Paragraphs>
  <TotalTime>133</TotalTime>
  <ScaleCrop>false</ScaleCrop>
  <LinksUpToDate>false</LinksUpToDate>
  <CharactersWithSpaces>3951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2019-10-28T08:21:00Z</dcterms:created>
  <dc:creator>admin</dc:creator>
  <cp:lastModifiedBy>zhouqin</cp:lastModifiedBy>
  <dcterms:modified xsi:type="dcterms:W3CDTF">2024-01-18T03:29:29Z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3137B39C34BB41DBA4EFD84F06B28382_12</vt:lpwstr>
  </property>
</Properties>
</file>