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Cs w:val="32"/>
        </w:rPr>
      </w:pPr>
    </w:p>
    <w:p>
      <w:pPr>
        <w:rPr>
          <w:rFonts w:ascii="黑体" w:hAnsi="黑体" w:eastAsia="黑体"/>
          <w:szCs w:val="32"/>
        </w:rPr>
      </w:pPr>
      <w:r>
        <w:rPr>
          <w:rFonts w:hint="eastAsia" w:ascii="黑体" w:hAnsi="黑体" w:eastAsia="黑体"/>
          <w:szCs w:val="32"/>
        </w:rPr>
        <w:t>附件1</w:t>
      </w:r>
    </w:p>
    <w:p>
      <w:pPr>
        <w:jc w:val="center"/>
        <w:rPr>
          <w:rFonts w:ascii="宋体" w:hAnsi="宋体" w:cs="宋体"/>
          <w:b/>
          <w:bCs/>
          <w:sz w:val="44"/>
          <w:szCs w:val="44"/>
        </w:rPr>
      </w:pPr>
    </w:p>
    <w:p>
      <w:pPr>
        <w:spacing w:line="440" w:lineRule="exact"/>
        <w:jc w:val="center"/>
        <w:rPr>
          <w:rFonts w:ascii="宋体" w:hAnsi="宋体" w:cs="宋体"/>
          <w:b/>
          <w:bCs/>
          <w:sz w:val="44"/>
          <w:szCs w:val="44"/>
        </w:rPr>
      </w:pPr>
    </w:p>
    <w:p>
      <w:pPr>
        <w:pStyle w:val="6"/>
        <w:shd w:val="clear" w:color="auto" w:fill="FFFFFF"/>
        <w:spacing w:before="0" w:beforeAutospacing="0" w:after="0" w:afterAutospacing="0"/>
        <w:jc w:val="center"/>
        <w:rPr>
          <w:rStyle w:val="10"/>
          <w:sz w:val="36"/>
          <w:szCs w:val="36"/>
        </w:rPr>
      </w:pPr>
    </w:p>
    <w:p>
      <w:pPr>
        <w:pStyle w:val="6"/>
        <w:shd w:val="clear" w:color="auto" w:fill="FFFFFF"/>
        <w:spacing w:before="0" w:beforeAutospacing="0" w:after="0" w:afterAutospacing="0" w:line="520" w:lineRule="exact"/>
        <w:jc w:val="center"/>
        <w:rPr>
          <w:rStyle w:val="10"/>
          <w:rFonts w:ascii="黑体" w:hAnsi="黑体" w:eastAsia="黑体" w:cs="方正小标宋简体"/>
          <w:bCs w:val="0"/>
          <w:sz w:val="44"/>
          <w:szCs w:val="44"/>
        </w:rPr>
      </w:pPr>
      <w:r>
        <w:rPr>
          <w:rStyle w:val="10"/>
          <w:rFonts w:hint="eastAsia" w:ascii="黑体" w:hAnsi="黑体" w:eastAsia="黑体" w:cs="方正小标宋简体"/>
          <w:sz w:val="44"/>
          <w:szCs w:val="44"/>
        </w:rPr>
        <w:t>阎良区人民政府办公室</w:t>
      </w:r>
    </w:p>
    <w:p>
      <w:pPr>
        <w:pStyle w:val="6"/>
        <w:shd w:val="clear" w:color="auto" w:fill="FFFFFF"/>
        <w:spacing w:before="0" w:beforeAutospacing="0" w:after="0" w:afterAutospacing="0" w:line="520" w:lineRule="exact"/>
        <w:jc w:val="center"/>
        <w:rPr>
          <w:rStyle w:val="10"/>
          <w:rFonts w:ascii="黑体" w:hAnsi="黑体" w:eastAsia="黑体" w:cs="方正小标宋简体"/>
          <w:bCs w:val="0"/>
          <w:color w:val="000000"/>
          <w:sz w:val="44"/>
          <w:szCs w:val="44"/>
        </w:rPr>
      </w:pPr>
      <w:r>
        <w:rPr>
          <w:rStyle w:val="10"/>
          <w:rFonts w:hint="eastAsia" w:ascii="黑体" w:hAnsi="黑体" w:eastAsia="黑体" w:cs="方正小标宋简体"/>
          <w:color w:val="000000"/>
          <w:sz w:val="44"/>
          <w:szCs w:val="44"/>
        </w:rPr>
        <w:t>2020年度部门决算公开说明</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rPr>
          <w:rFonts w:asciiTheme="majorEastAsia" w:hAnsiTheme="majorEastAsia" w:eastAsiaTheme="majorEastAsia" w:cstheme="majorEastAsia"/>
          <w:b/>
          <w:bCs/>
          <w:szCs w:val="32"/>
        </w:rPr>
      </w:pPr>
    </w:p>
    <w:p>
      <w:pPr>
        <w:spacing w:line="400" w:lineRule="exact"/>
        <w:rPr>
          <w:rFonts w:asciiTheme="majorEastAsia" w:hAnsiTheme="majorEastAsia" w:eastAsiaTheme="majorEastAsia" w:cstheme="majorEastAsia"/>
          <w:b/>
          <w:bCs/>
          <w:szCs w:val="32"/>
        </w:rPr>
      </w:pPr>
    </w:p>
    <w:p>
      <w:pPr>
        <w:spacing w:line="400" w:lineRule="exact"/>
        <w:rPr>
          <w:rFonts w:asciiTheme="majorEastAsia" w:hAnsiTheme="majorEastAsia" w:eastAsiaTheme="majorEastAsia" w:cstheme="majorEastAsia"/>
          <w:b/>
          <w:bCs/>
          <w:szCs w:val="32"/>
        </w:rPr>
      </w:pPr>
    </w:p>
    <w:p>
      <w:pPr>
        <w:spacing w:line="400" w:lineRule="exact"/>
        <w:rPr>
          <w:rFonts w:asciiTheme="majorEastAsia" w:hAnsiTheme="majorEastAsia" w:eastAsiaTheme="majorEastAsia" w:cstheme="majorEastAsia"/>
          <w:b/>
          <w:bCs/>
          <w:szCs w:val="32"/>
        </w:rPr>
      </w:pPr>
    </w:p>
    <w:p>
      <w:pPr>
        <w:spacing w:line="400" w:lineRule="exact"/>
        <w:rPr>
          <w:rFonts w:asciiTheme="majorEastAsia" w:hAnsiTheme="majorEastAsia" w:eastAsiaTheme="majorEastAsia" w:cstheme="majorEastAsia"/>
          <w:b/>
          <w:bCs/>
          <w:szCs w:val="32"/>
        </w:rPr>
      </w:pPr>
    </w:p>
    <w:p>
      <w:pPr>
        <w:spacing w:line="400" w:lineRule="exact"/>
        <w:ind w:firstLine="2088" w:firstLineChars="650"/>
        <w:rPr>
          <w:rFonts w:asciiTheme="minorEastAsia" w:hAnsiTheme="minorEastAsia" w:eastAsiaTheme="minorEastAsia" w:cstheme="minorEastAsia"/>
          <w:b/>
          <w:bCs/>
          <w:szCs w:val="32"/>
        </w:rPr>
      </w:pPr>
      <w:r>
        <w:rPr>
          <w:rFonts w:hint="eastAsia" w:asciiTheme="minorEastAsia" w:hAnsiTheme="minorEastAsia" w:eastAsiaTheme="minorEastAsia" w:cstheme="minorEastAsia"/>
          <w:b/>
          <w:bCs/>
          <w:szCs w:val="32"/>
        </w:rPr>
        <w:t>保密审查情况：已审查</w:t>
      </w:r>
    </w:p>
    <w:p>
      <w:pPr>
        <w:spacing w:line="400" w:lineRule="exact"/>
        <w:jc w:val="center"/>
        <w:rPr>
          <w:rFonts w:asciiTheme="minorEastAsia" w:hAnsiTheme="minorEastAsia" w:eastAsiaTheme="minorEastAsia" w:cstheme="minorEastAsia"/>
          <w:b/>
          <w:bCs/>
          <w:szCs w:val="32"/>
          <w:highlight w:val="yellow"/>
        </w:rPr>
      </w:pPr>
    </w:p>
    <w:p>
      <w:pPr>
        <w:spacing w:line="400" w:lineRule="exact"/>
        <w:ind w:firstLine="2088" w:firstLineChars="650"/>
        <w:rPr>
          <w:rFonts w:ascii="黑体" w:hAnsi="宋体" w:eastAsia="黑体"/>
          <w:b/>
          <w:color w:val="000000"/>
          <w:kern w:val="0"/>
          <w:sz w:val="56"/>
          <w:szCs w:val="56"/>
        </w:rPr>
      </w:pPr>
      <w:r>
        <w:rPr>
          <w:rFonts w:hint="eastAsia" w:asciiTheme="minorEastAsia" w:hAnsiTheme="minorEastAsia" w:eastAsiaTheme="minorEastAsia" w:cstheme="minorEastAsia"/>
          <w:b/>
          <w:bCs/>
          <w:szCs w:val="32"/>
        </w:rPr>
        <w:t>部门主要负责人审签情况：已审签</w:t>
      </w:r>
    </w:p>
    <w:p>
      <w:pPr>
        <w:rPr>
          <w:rFonts w:ascii="黑体" w:hAnsi="宋体" w:eastAsia="黑体"/>
          <w:bCs/>
          <w:color w:val="000000"/>
          <w:kern w:val="0"/>
          <w:sz w:val="36"/>
          <w:szCs w:val="36"/>
        </w:rPr>
      </w:pPr>
    </w:p>
    <w:p>
      <w:pPr>
        <w:rPr>
          <w:rFonts w:ascii="黑体" w:hAnsi="宋体" w:eastAsia="黑体"/>
          <w:bCs/>
          <w:color w:val="000000"/>
          <w:kern w:val="0"/>
          <w:sz w:val="36"/>
          <w:szCs w:val="36"/>
        </w:rPr>
      </w:pPr>
    </w:p>
    <w:p>
      <w:pPr>
        <w:jc w:val="center"/>
        <w:rPr>
          <w:rFonts w:ascii="黑体" w:hAnsi="宋体" w:eastAsia="黑体"/>
          <w:bCs/>
          <w:color w:val="000000"/>
          <w:kern w:val="0"/>
          <w:sz w:val="36"/>
          <w:szCs w:val="36"/>
        </w:rPr>
        <w:sectPr>
          <w:headerReference r:id="rId4" w:type="first"/>
          <w:footerReference r:id="rId7" w:type="first"/>
          <w:footerReference r:id="rId5" w:type="default"/>
          <w:headerReference r:id="rId3" w:type="even"/>
          <w:footerReference r:id="rId6" w:type="even"/>
          <w:pgSz w:w="11906" w:h="16838"/>
          <w:pgMar w:top="1440" w:right="1800" w:bottom="1440" w:left="1800" w:header="851" w:footer="992" w:gutter="0"/>
          <w:pgNumType w:start="0"/>
          <w:cols w:space="425" w:num="1"/>
          <w:docGrid w:type="lines" w:linePitch="312" w:charSpace="0"/>
        </w:sect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w:t>
      </w:r>
      <w:r>
        <w:rPr>
          <w:rFonts w:hint="eastAsia" w:ascii="黑体" w:hAnsi="宋体" w:eastAsia="黑体"/>
          <w:bCs/>
          <w:color w:val="000000"/>
          <w:kern w:val="0"/>
          <w:sz w:val="36"/>
          <w:szCs w:val="36"/>
        </w:rPr>
        <w:t xml:space="preserve">  </w:t>
      </w:r>
      <w:r>
        <w:rPr>
          <w:rFonts w:ascii="黑体" w:hAnsi="宋体" w:eastAsia="黑体"/>
          <w:bCs/>
          <w:color w:val="000000"/>
          <w:kern w:val="0"/>
          <w:sz w:val="36"/>
          <w:szCs w:val="36"/>
        </w:rPr>
        <w:t>录</w:t>
      </w:r>
    </w:p>
    <w:p>
      <w:pPr>
        <w:jc w:val="center"/>
        <w:rPr>
          <w:rFonts w:ascii="黑体" w:hAnsi="宋体" w:eastAsia="黑体"/>
          <w:bCs/>
          <w:color w:val="000000"/>
          <w:kern w:val="0"/>
          <w:sz w:val="36"/>
          <w:szCs w:val="36"/>
        </w:rPr>
      </w:pPr>
    </w:p>
    <w:p>
      <w:pPr>
        <w:widowControl/>
        <w:spacing w:line="360" w:lineRule="auto"/>
        <w:jc w:val="center"/>
      </w:pPr>
      <w:r>
        <w:rPr>
          <w:rFonts w:hint="eastAsia" w:ascii="黑体" w:hAnsi="宋体" w:eastAsia="黑体"/>
          <w:color w:val="000000"/>
          <w:kern w:val="0"/>
          <w:szCs w:val="32"/>
        </w:rPr>
        <w:t>第一部分  部门概况</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spacing w:line="360" w:lineRule="auto"/>
        <w:jc w:val="center"/>
      </w:pPr>
      <w:r>
        <w:rPr>
          <w:rFonts w:hint="eastAsia" w:ascii="黑体" w:hAnsi="宋体" w:eastAsia="黑体"/>
          <w:color w:val="000000"/>
          <w:kern w:val="0"/>
          <w:szCs w:val="32"/>
        </w:rPr>
        <w:t>第二部分  2020年部门决算表</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九、国有资本经营预算财政拨款支出决算表</w:t>
      </w:r>
    </w:p>
    <w:p>
      <w:pPr>
        <w:widowControl/>
        <w:spacing w:line="360" w:lineRule="auto"/>
        <w:jc w:val="center"/>
      </w:pPr>
      <w:r>
        <w:rPr>
          <w:rFonts w:hint="eastAsia" w:ascii="黑体" w:hAnsi="宋体" w:eastAsia="黑体"/>
          <w:color w:val="000000"/>
          <w:kern w:val="0"/>
          <w:szCs w:val="32"/>
        </w:rPr>
        <w:t>第三部分  2020年部门决算情况说明</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四、财政拨款收入支出决算总体情况说明</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十、机关运行经费支出情况说明</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十一、政府采购支出情况说明</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十二、国有资产占用及购置情况说明</w:t>
      </w:r>
    </w:p>
    <w:p>
      <w:pPr>
        <w:widowControl/>
        <w:spacing w:line="360" w:lineRule="auto"/>
        <w:jc w:val="left"/>
        <w:rPr>
          <w:rFonts w:ascii="仿宋" w:hAnsi="仿宋" w:eastAsia="仿宋" w:cs="楷体"/>
          <w:color w:val="000000"/>
          <w:kern w:val="0"/>
          <w:szCs w:val="32"/>
        </w:rPr>
      </w:pPr>
      <w:r>
        <w:rPr>
          <w:rFonts w:hint="eastAsia" w:ascii="仿宋" w:hAnsi="仿宋" w:eastAsia="仿宋" w:cs="楷体"/>
          <w:color w:val="000000"/>
          <w:kern w:val="0"/>
          <w:szCs w:val="32"/>
        </w:rPr>
        <w:t>十三、预算绩效情况说明</w:t>
      </w:r>
    </w:p>
    <w:p>
      <w:pPr>
        <w:spacing w:line="360" w:lineRule="auto"/>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Theme="majorEastAsia" w:hAnsiTheme="majorEastAsia" w:eastAsiaTheme="majorEastAsia"/>
          <w:color w:val="000000"/>
          <w:kern w:val="0"/>
          <w:sz w:val="44"/>
          <w:szCs w:val="44"/>
        </w:rPr>
      </w:pPr>
      <w:r>
        <w:rPr>
          <w:rFonts w:hint="eastAsia" w:asciiTheme="majorEastAsia" w:hAnsiTheme="majorEastAsia" w:eastAsiaTheme="majorEastAsia"/>
          <w:color w:val="000000"/>
          <w:kern w:val="0"/>
          <w:sz w:val="44"/>
          <w:szCs w:val="44"/>
        </w:rPr>
        <w:t>部门</w:t>
      </w:r>
      <w:r>
        <w:rPr>
          <w:rFonts w:asciiTheme="majorEastAsia" w:hAnsiTheme="majorEastAsia" w:eastAsiaTheme="majorEastAsia"/>
          <w:color w:val="000000"/>
          <w:kern w:val="0"/>
          <w:sz w:val="44"/>
          <w:szCs w:val="44"/>
        </w:rPr>
        <w:t>概况</w:t>
      </w:r>
    </w:p>
    <w:p>
      <w:pPr>
        <w:pStyle w:val="6"/>
        <w:numPr>
          <w:ilvl w:val="0"/>
          <w:numId w:val="2"/>
        </w:numPr>
        <w:spacing w:before="0" w:beforeAutospacing="0" w:after="0" w:afterAutospacing="0" w:line="560" w:lineRule="exact"/>
        <w:ind w:firstLine="640" w:firstLineChars="200"/>
        <w:rPr>
          <w:rFonts w:ascii="仿宋" w:hAnsi="仿宋" w:eastAsia="仿宋" w:cs="楷体"/>
          <w:bCs/>
          <w:color w:val="000000"/>
          <w:sz w:val="32"/>
          <w:szCs w:val="32"/>
        </w:rPr>
      </w:pPr>
      <w:r>
        <w:rPr>
          <w:rFonts w:hint="eastAsia" w:ascii="仿宋" w:hAnsi="仿宋" w:eastAsia="仿宋" w:cs="楷体"/>
          <w:bCs/>
          <w:color w:val="000000"/>
          <w:sz w:val="32"/>
          <w:szCs w:val="32"/>
        </w:rPr>
        <w:t>部门主要职责及内设机构</w:t>
      </w:r>
    </w:p>
    <w:p>
      <w:pPr>
        <w:widowControl/>
        <w:spacing w:line="560" w:lineRule="exact"/>
        <w:ind w:firstLine="643" w:firstLineChars="200"/>
        <w:jc w:val="left"/>
        <w:rPr>
          <w:rFonts w:ascii="仿宋" w:hAnsi="仿宋" w:eastAsia="仿宋" w:cs="楷体"/>
          <w:b/>
          <w:bCs/>
          <w:color w:val="000000"/>
          <w:kern w:val="0"/>
          <w:szCs w:val="32"/>
        </w:rPr>
      </w:pPr>
      <w:r>
        <w:rPr>
          <w:rFonts w:hint="eastAsia" w:ascii="仿宋" w:hAnsi="仿宋" w:eastAsia="仿宋" w:cs="楷体"/>
          <w:b/>
          <w:bCs/>
          <w:color w:val="000000"/>
          <w:kern w:val="0"/>
          <w:szCs w:val="32"/>
        </w:rPr>
        <w:t>（一）主要职责</w:t>
      </w:r>
    </w:p>
    <w:p>
      <w:pPr>
        <w:adjustRightInd w:val="0"/>
        <w:snapToGrid w:val="0"/>
        <w:spacing w:line="578" w:lineRule="exact"/>
        <w:ind w:firstLine="640" w:firstLineChars="200"/>
        <w:rPr>
          <w:rFonts w:ascii="仿宋" w:hAnsi="仿宋" w:eastAsia="仿宋"/>
          <w:szCs w:val="32"/>
        </w:rPr>
      </w:pPr>
      <w:r>
        <w:rPr>
          <w:rFonts w:hint="eastAsia" w:ascii="仿宋" w:hAnsi="仿宋" w:eastAsia="仿宋"/>
          <w:szCs w:val="32"/>
        </w:rPr>
        <w:t>西安市阎良区人民政府办公室贯彻落实党中央、省委、市委和区委关于政府办公室工作的方针政策和决策部署，在履行职责过程中坚持和加强党对政府办公室工作的集中统一领导。主要职责是：</w:t>
      </w:r>
    </w:p>
    <w:p>
      <w:pPr>
        <w:spacing w:line="576" w:lineRule="exact"/>
        <w:ind w:firstLine="640" w:firstLineChars="200"/>
        <w:rPr>
          <w:rFonts w:ascii="仿宋" w:hAnsi="仿宋" w:eastAsia="仿宋"/>
          <w:szCs w:val="32"/>
        </w:rPr>
      </w:pPr>
      <w:r>
        <w:rPr>
          <w:rFonts w:hint="eastAsia" w:ascii="仿宋" w:hAnsi="仿宋" w:eastAsia="仿宋"/>
          <w:szCs w:val="32"/>
        </w:rPr>
        <w:t>（一）认真贯彻执行党中央、国务院，省委、省政府，市委、市政府和区委、区政府决策部署，负责区政府的日常政务和事务。</w:t>
      </w:r>
    </w:p>
    <w:p>
      <w:pPr>
        <w:spacing w:line="576" w:lineRule="exact"/>
        <w:ind w:firstLine="640" w:firstLineChars="200"/>
        <w:rPr>
          <w:rFonts w:ascii="仿宋" w:hAnsi="仿宋" w:eastAsia="仿宋"/>
          <w:szCs w:val="32"/>
        </w:rPr>
      </w:pPr>
      <w:r>
        <w:rPr>
          <w:rFonts w:hint="eastAsia" w:ascii="仿宋" w:hAnsi="仿宋" w:eastAsia="仿宋"/>
          <w:szCs w:val="32"/>
        </w:rPr>
        <w:t>（二）协助区政府领导同志开展调查</w:t>
      </w:r>
      <w:r>
        <w:rPr>
          <w:rFonts w:hint="eastAsia" w:ascii="仿宋" w:hAnsi="仿宋" w:eastAsia="仿宋" w:cs="仿宋_GB2312"/>
          <w:szCs w:val="32"/>
        </w:rPr>
        <w:t>研究，反映情况，</w:t>
      </w:r>
      <w:r>
        <w:rPr>
          <w:rFonts w:hint="eastAsia" w:ascii="仿宋" w:hAnsi="仿宋" w:eastAsia="仿宋"/>
          <w:szCs w:val="32"/>
        </w:rPr>
        <w:t>提出建议，发挥参谋助手作用；及时向市政府、区委、区政府报送信息，反映各方面动态。</w:t>
      </w:r>
    </w:p>
    <w:p>
      <w:pPr>
        <w:spacing w:line="576" w:lineRule="exact"/>
        <w:ind w:firstLine="640" w:firstLineChars="200"/>
        <w:rPr>
          <w:rFonts w:ascii="仿宋" w:hAnsi="仿宋" w:eastAsia="仿宋"/>
          <w:szCs w:val="32"/>
        </w:rPr>
      </w:pPr>
      <w:r>
        <w:rPr>
          <w:rFonts w:hint="eastAsia" w:ascii="仿宋" w:hAnsi="仿宋" w:eastAsia="仿宋"/>
          <w:szCs w:val="32"/>
        </w:rPr>
        <w:t>（三）负责拟办区政府各部门、街道、开发区请示事项的处理意见，报区政府领导同志审批；负责协调部门之间、街道之间、开发区之间和区内外有关工作。</w:t>
      </w:r>
    </w:p>
    <w:p>
      <w:pPr>
        <w:spacing w:line="576" w:lineRule="exact"/>
        <w:ind w:firstLine="640" w:firstLineChars="200"/>
        <w:rPr>
          <w:rFonts w:ascii="仿宋" w:hAnsi="仿宋" w:eastAsia="仿宋"/>
          <w:szCs w:val="32"/>
        </w:rPr>
      </w:pPr>
      <w:r>
        <w:rPr>
          <w:rFonts w:hint="eastAsia" w:ascii="仿宋" w:hAnsi="仿宋" w:eastAsia="仿宋"/>
          <w:szCs w:val="32"/>
        </w:rPr>
        <w:t>（四）负责区政府、区政府办公室的文书处理和会议组织工作，协助区政府领导同志组织实施会议决定事项。</w:t>
      </w:r>
    </w:p>
    <w:p>
      <w:pPr>
        <w:spacing w:line="576" w:lineRule="exact"/>
        <w:ind w:firstLine="640" w:firstLineChars="200"/>
        <w:rPr>
          <w:rFonts w:ascii="仿宋" w:hAnsi="仿宋" w:eastAsia="仿宋"/>
          <w:szCs w:val="32"/>
        </w:rPr>
      </w:pPr>
      <w:r>
        <w:rPr>
          <w:rFonts w:hint="eastAsia" w:ascii="仿宋" w:hAnsi="仿宋" w:eastAsia="仿宋"/>
          <w:szCs w:val="32"/>
        </w:rPr>
        <w:t>（五）督促检查并报告</w:t>
      </w:r>
      <w:r>
        <w:rPr>
          <w:rFonts w:hint="eastAsia" w:ascii="仿宋" w:hAnsi="仿宋" w:eastAsia="仿宋" w:cs="仿宋_GB2312"/>
          <w:szCs w:val="32"/>
        </w:rPr>
        <w:t>区政府各项决定、重要工作部署</w:t>
      </w:r>
      <w:r>
        <w:rPr>
          <w:rFonts w:hint="eastAsia" w:ascii="仿宋" w:hAnsi="仿宋" w:eastAsia="仿宋"/>
          <w:szCs w:val="32"/>
        </w:rPr>
        <w:t>和市区领导同志指示、批示的贯彻落实情况；负责省、市、区人大代表、政协委员有关区政府系统的建议、提案</w:t>
      </w:r>
      <w:r>
        <w:rPr>
          <w:rFonts w:hint="eastAsia" w:ascii="仿宋" w:hAnsi="仿宋" w:eastAsia="仿宋" w:cs="仿宋_GB2312"/>
          <w:szCs w:val="32"/>
        </w:rPr>
        <w:t>的协调办理和督促检查工作。</w:t>
      </w:r>
    </w:p>
    <w:p>
      <w:pPr>
        <w:spacing w:line="576" w:lineRule="exact"/>
        <w:ind w:firstLine="640" w:firstLineChars="200"/>
        <w:rPr>
          <w:rFonts w:ascii="仿宋" w:hAnsi="仿宋" w:eastAsia="仿宋"/>
          <w:szCs w:val="32"/>
        </w:rPr>
      </w:pPr>
      <w:r>
        <w:rPr>
          <w:rFonts w:hint="eastAsia" w:ascii="仿宋" w:hAnsi="仿宋" w:eastAsia="仿宋"/>
          <w:szCs w:val="32"/>
        </w:rPr>
        <w:t>（六）负责区政府值班工作，报告重要和紧</w:t>
      </w:r>
      <w:r>
        <w:rPr>
          <w:rFonts w:hint="eastAsia" w:ascii="仿宋" w:hAnsi="仿宋" w:eastAsia="仿宋" w:cs="仿宋_GB2312"/>
          <w:szCs w:val="32"/>
        </w:rPr>
        <w:t>急事件情况，</w:t>
      </w:r>
      <w:r>
        <w:rPr>
          <w:rFonts w:hint="eastAsia" w:ascii="仿宋" w:hAnsi="仿宋" w:eastAsia="仿宋"/>
          <w:szCs w:val="32"/>
        </w:rPr>
        <w:t>传达落实区政府领导同志指示批示。</w:t>
      </w:r>
    </w:p>
    <w:p>
      <w:pPr>
        <w:spacing w:line="576" w:lineRule="exact"/>
        <w:ind w:firstLine="640" w:firstLineChars="200"/>
        <w:rPr>
          <w:rFonts w:ascii="仿宋" w:hAnsi="仿宋" w:eastAsia="仿宋"/>
          <w:szCs w:val="32"/>
        </w:rPr>
      </w:pPr>
      <w:r>
        <w:rPr>
          <w:rFonts w:hint="eastAsia" w:ascii="仿宋" w:hAnsi="仿宋" w:eastAsia="仿宋"/>
          <w:szCs w:val="32"/>
        </w:rPr>
        <w:t>（七）负责区政府、区政府办公室的政务公开工作，指导全区政府系统政务公开工作。</w:t>
      </w:r>
    </w:p>
    <w:p>
      <w:pPr>
        <w:spacing w:line="576" w:lineRule="exact"/>
        <w:ind w:firstLine="640" w:firstLineChars="200"/>
        <w:rPr>
          <w:rFonts w:ascii="仿宋" w:hAnsi="仿宋" w:eastAsia="仿宋"/>
          <w:szCs w:val="32"/>
        </w:rPr>
      </w:pPr>
      <w:r>
        <w:rPr>
          <w:rFonts w:hint="eastAsia" w:ascii="仿宋" w:hAnsi="仿宋" w:eastAsia="仿宋"/>
          <w:szCs w:val="32"/>
        </w:rPr>
        <w:t>（八）</w:t>
      </w:r>
      <w:r>
        <w:rPr>
          <w:rFonts w:hint="eastAsia" w:ascii="仿宋" w:hAnsi="仿宋" w:eastAsia="仿宋" w:cs="仿宋_GB2312"/>
          <w:szCs w:val="32"/>
        </w:rPr>
        <w:t>指导全区政府</w:t>
      </w:r>
      <w:r>
        <w:rPr>
          <w:rFonts w:hint="eastAsia" w:ascii="仿宋" w:hAnsi="仿宋" w:eastAsia="仿宋"/>
          <w:szCs w:val="32"/>
        </w:rPr>
        <w:t>系统电子政务工作。</w:t>
      </w:r>
    </w:p>
    <w:p>
      <w:pPr>
        <w:spacing w:line="576" w:lineRule="exact"/>
        <w:ind w:firstLine="640" w:firstLineChars="200"/>
        <w:rPr>
          <w:rFonts w:ascii="仿宋" w:hAnsi="仿宋" w:eastAsia="仿宋"/>
          <w:szCs w:val="32"/>
        </w:rPr>
      </w:pPr>
      <w:r>
        <w:rPr>
          <w:rFonts w:hint="eastAsia" w:ascii="仿宋" w:hAnsi="仿宋" w:eastAsia="仿宋"/>
          <w:szCs w:val="32"/>
        </w:rPr>
        <w:t>（九）负责全区政府职能转变和“放管服”改革、营商环境提升工作。</w:t>
      </w:r>
    </w:p>
    <w:p>
      <w:pPr>
        <w:spacing w:line="576" w:lineRule="exact"/>
        <w:ind w:firstLine="640" w:firstLineChars="200"/>
        <w:rPr>
          <w:rFonts w:ascii="仿宋" w:hAnsi="仿宋" w:eastAsia="仿宋"/>
          <w:szCs w:val="32"/>
        </w:rPr>
      </w:pPr>
      <w:r>
        <w:rPr>
          <w:rFonts w:hint="eastAsia" w:ascii="仿宋" w:hAnsi="仿宋" w:eastAsia="仿宋"/>
          <w:szCs w:val="32"/>
        </w:rPr>
        <w:t>（十）</w:t>
      </w:r>
      <w:r>
        <w:rPr>
          <w:rFonts w:hint="eastAsia" w:ascii="仿宋" w:hAnsi="仿宋" w:eastAsia="仿宋" w:cs="仿宋_GB2312"/>
          <w:szCs w:val="32"/>
        </w:rPr>
        <w:t>指导全区</w:t>
      </w:r>
      <w:r>
        <w:rPr>
          <w:rFonts w:hint="eastAsia" w:ascii="仿宋" w:hAnsi="仿宋" w:eastAsia="仿宋"/>
          <w:szCs w:val="32"/>
        </w:rPr>
        <w:t>机关事务管理工作。</w:t>
      </w:r>
    </w:p>
    <w:p>
      <w:pPr>
        <w:spacing w:line="576" w:lineRule="exact"/>
        <w:ind w:firstLine="640" w:firstLineChars="200"/>
        <w:rPr>
          <w:rFonts w:ascii="仿宋" w:hAnsi="仿宋" w:eastAsia="仿宋"/>
          <w:szCs w:val="32"/>
        </w:rPr>
      </w:pPr>
      <w:r>
        <w:rPr>
          <w:rFonts w:hint="eastAsia" w:ascii="仿宋" w:hAnsi="仿宋" w:eastAsia="仿宋"/>
          <w:szCs w:val="32"/>
        </w:rPr>
        <w:t>（十一）负责本机关安全生产管理工作。</w:t>
      </w:r>
    </w:p>
    <w:p>
      <w:pPr>
        <w:spacing w:line="576" w:lineRule="exact"/>
        <w:ind w:firstLine="640" w:firstLineChars="200"/>
        <w:rPr>
          <w:rFonts w:ascii="仿宋" w:hAnsi="仿宋" w:eastAsia="仿宋"/>
          <w:szCs w:val="32"/>
        </w:rPr>
      </w:pPr>
      <w:r>
        <w:rPr>
          <w:rFonts w:hint="eastAsia" w:ascii="仿宋" w:hAnsi="仿宋" w:eastAsia="仿宋"/>
          <w:szCs w:val="32"/>
        </w:rPr>
        <w:t>（十</w:t>
      </w:r>
      <w:r>
        <w:rPr>
          <w:rFonts w:hint="eastAsia" w:ascii="仿宋" w:hAnsi="仿宋" w:eastAsia="仿宋"/>
          <w:b/>
          <w:bCs/>
          <w:szCs w:val="32"/>
        </w:rPr>
        <w:t>二</w:t>
      </w:r>
      <w:r>
        <w:rPr>
          <w:rFonts w:hint="eastAsia" w:ascii="仿宋" w:hAnsi="仿宋" w:eastAsia="仿宋" w:cs="仿宋_GB2312"/>
          <w:szCs w:val="32"/>
        </w:rPr>
        <w:t>）</w:t>
      </w:r>
      <w:r>
        <w:rPr>
          <w:rFonts w:hint="eastAsia" w:ascii="仿宋" w:hAnsi="仿宋" w:eastAsia="仿宋"/>
          <w:szCs w:val="32"/>
        </w:rPr>
        <w:t>承办区委、区政府交办的其他事项。</w:t>
      </w:r>
    </w:p>
    <w:p>
      <w:pPr>
        <w:widowControl/>
        <w:spacing w:line="560" w:lineRule="exact"/>
        <w:ind w:firstLine="643" w:firstLineChars="200"/>
        <w:jc w:val="left"/>
        <w:rPr>
          <w:rFonts w:ascii="仿宋" w:hAnsi="仿宋" w:eastAsia="仿宋" w:cs="楷体"/>
          <w:b/>
          <w:bCs/>
          <w:color w:val="000000"/>
          <w:kern w:val="0"/>
          <w:szCs w:val="32"/>
        </w:rPr>
      </w:pPr>
      <w:r>
        <w:rPr>
          <w:rFonts w:hint="eastAsia" w:ascii="仿宋" w:hAnsi="仿宋" w:eastAsia="仿宋" w:cs="楷体"/>
          <w:b/>
          <w:bCs/>
          <w:color w:val="000000"/>
          <w:kern w:val="0"/>
          <w:szCs w:val="32"/>
        </w:rPr>
        <w:t>（二）内设机构</w:t>
      </w:r>
    </w:p>
    <w:p>
      <w:pPr>
        <w:widowControl/>
        <w:spacing w:line="560" w:lineRule="exact"/>
        <w:ind w:firstLine="640" w:firstLineChars="200"/>
        <w:jc w:val="left"/>
        <w:rPr>
          <w:rFonts w:ascii="仿宋" w:hAnsi="仿宋" w:eastAsia="仿宋" w:cs="楷体"/>
          <w:b/>
          <w:bCs/>
          <w:color w:val="000000"/>
          <w:kern w:val="0"/>
          <w:szCs w:val="32"/>
        </w:rPr>
      </w:pPr>
      <w:r>
        <w:rPr>
          <w:rFonts w:hint="eastAsia" w:ascii="仿宋" w:hAnsi="仿宋" w:eastAsia="仿宋" w:cs="华文仿宋"/>
          <w:szCs w:val="32"/>
        </w:rPr>
        <w:t>根据区委、区政府机构改革方案，本部门2019年内设机构调整为5个科；即</w:t>
      </w:r>
      <w:r>
        <w:rPr>
          <w:rFonts w:hint="eastAsia" w:ascii="仿宋" w:hAnsi="仿宋" w:eastAsia="仿宋" w:cs="仿宋"/>
          <w:szCs w:val="32"/>
        </w:rPr>
        <w:t>秘书科、综合科、督查科、行政效能推进科、事务管理科。下设营商环境事务中心，为区政府办公室所属全额拨款正科级事业单位。</w:t>
      </w:r>
    </w:p>
    <w:p>
      <w:pPr>
        <w:widowControl/>
        <w:spacing w:line="560" w:lineRule="exact"/>
        <w:ind w:firstLine="640" w:firstLineChars="200"/>
        <w:jc w:val="left"/>
        <w:rPr>
          <w:rFonts w:ascii="仿宋" w:hAnsi="仿宋" w:eastAsia="仿宋"/>
          <w:szCs w:val="32"/>
        </w:rPr>
      </w:pPr>
      <w:r>
        <w:rPr>
          <w:rFonts w:ascii="仿宋" w:hAnsi="仿宋" w:eastAsia="仿宋"/>
          <w:color w:val="000000"/>
          <w:kern w:val="0"/>
          <w:szCs w:val="32"/>
        </w:rPr>
        <w:t>二、</w:t>
      </w:r>
      <w:r>
        <w:rPr>
          <w:rFonts w:hint="eastAsia" w:ascii="仿宋" w:hAnsi="仿宋" w:eastAsia="仿宋"/>
          <w:color w:val="000000"/>
          <w:kern w:val="0"/>
          <w:szCs w:val="32"/>
        </w:rPr>
        <w:t>部门决算单位构成</w:t>
      </w:r>
    </w:p>
    <w:p>
      <w:pPr>
        <w:spacing w:line="560" w:lineRule="exact"/>
        <w:ind w:firstLine="640"/>
        <w:rPr>
          <w:rFonts w:ascii="仿宋" w:hAnsi="仿宋" w:eastAsia="仿宋" w:cs="仿宋_GB2312"/>
          <w:szCs w:val="32"/>
        </w:rPr>
      </w:pPr>
      <w:r>
        <w:rPr>
          <w:rFonts w:hint="eastAsia" w:ascii="仿宋" w:hAnsi="仿宋" w:eastAsia="仿宋" w:cs="仿宋_GB2312"/>
          <w:szCs w:val="32"/>
        </w:rPr>
        <w:t>纳入2020年度本部门决算编制范围的单位共1个，包括本级</w:t>
      </w:r>
      <w:r>
        <w:rPr>
          <w:rFonts w:ascii="仿宋" w:hAnsi="仿宋" w:eastAsia="仿宋" w:cs="仿宋_GB2312"/>
          <w:color w:val="000000"/>
          <w:kern w:val="0"/>
          <w:szCs w:val="32"/>
        </w:rPr>
        <w:t>预算</w:t>
      </w:r>
      <w:r>
        <w:rPr>
          <w:rFonts w:hint="eastAsia" w:ascii="仿宋" w:hAnsi="仿宋" w:eastAsia="仿宋" w:cs="仿宋_GB2312"/>
          <w:szCs w:val="32"/>
        </w:rPr>
        <w:t>单位：</w:t>
      </w:r>
    </w:p>
    <w:tbl>
      <w:tblPr>
        <w:tblStyle w:val="8"/>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 w:hAnsi="仿宋" w:eastAsia="仿宋"/>
                <w:szCs w:val="32"/>
              </w:rPr>
            </w:pPr>
            <w:r>
              <w:rPr>
                <w:rFonts w:hint="eastAsia" w:ascii="仿宋" w:hAnsi="仿宋" w:eastAsia="仿宋"/>
                <w:szCs w:val="32"/>
              </w:rPr>
              <w:t>序号</w:t>
            </w:r>
          </w:p>
        </w:tc>
        <w:tc>
          <w:tcPr>
            <w:tcW w:w="7278" w:type="dxa"/>
            <w:vAlign w:val="center"/>
          </w:tcPr>
          <w:p>
            <w:pPr>
              <w:jc w:val="center"/>
              <w:rPr>
                <w:rFonts w:ascii="仿宋" w:hAnsi="仿宋" w:eastAsia="仿宋"/>
                <w:szCs w:val="32"/>
              </w:rPr>
            </w:pPr>
            <w:r>
              <w:rPr>
                <w:rFonts w:hint="eastAsia" w:ascii="仿宋" w:hAnsi="仿宋" w:eastAsia="仿宋"/>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 w:hAnsi="仿宋" w:eastAsia="仿宋" w:cs="仿宋_GB2312"/>
                <w:szCs w:val="32"/>
              </w:rPr>
            </w:pPr>
            <w:r>
              <w:rPr>
                <w:rFonts w:hint="eastAsia" w:ascii="仿宋" w:hAnsi="仿宋" w:eastAsia="仿宋" w:cs="仿宋_GB2312"/>
                <w:szCs w:val="32"/>
              </w:rPr>
              <w:t>1</w:t>
            </w:r>
          </w:p>
        </w:tc>
        <w:tc>
          <w:tcPr>
            <w:tcW w:w="7278" w:type="dxa"/>
            <w:vAlign w:val="center"/>
          </w:tcPr>
          <w:p>
            <w:pPr>
              <w:jc w:val="center"/>
              <w:rPr>
                <w:rFonts w:ascii="仿宋" w:hAnsi="仿宋" w:eastAsia="仿宋" w:cs="仿宋_GB2312"/>
                <w:szCs w:val="32"/>
              </w:rPr>
            </w:pPr>
            <w:r>
              <w:rPr>
                <w:rFonts w:hint="eastAsia" w:ascii="仿宋" w:hAnsi="仿宋" w:eastAsia="仿宋" w:cs="仿宋_GB2312"/>
                <w:szCs w:val="32"/>
              </w:rPr>
              <w:t>西安市阎良区人民政府办公室本级（机关）</w:t>
            </w:r>
          </w:p>
        </w:tc>
      </w:tr>
    </w:tbl>
    <w:p>
      <w:pPr>
        <w:ind w:firstLine="640"/>
        <w:rPr>
          <w:rFonts w:ascii="仿宋" w:hAnsi="仿宋" w:eastAsia="仿宋"/>
          <w:b/>
          <w:bCs/>
          <w:szCs w:val="32"/>
        </w:rPr>
      </w:pPr>
      <w:r>
        <w:rPr>
          <w:rFonts w:hint="eastAsia" w:ascii="仿宋" w:hAnsi="仿宋" w:eastAsia="仿宋"/>
          <w:b/>
          <w:bCs/>
          <w:szCs w:val="32"/>
        </w:rPr>
        <w:t>三、部门人员情况</w:t>
      </w:r>
    </w:p>
    <w:p>
      <w:pPr>
        <w:spacing w:line="560" w:lineRule="exact"/>
        <w:ind w:firstLine="641"/>
        <w:rPr>
          <w:rFonts w:ascii="仿宋" w:hAnsi="仿宋" w:eastAsia="仿宋" w:cs="仿宋_GB2312"/>
          <w:szCs w:val="32"/>
        </w:rPr>
      </w:pPr>
      <w:r>
        <w:rPr>
          <w:rFonts w:hint="eastAsia" w:ascii="仿宋" w:hAnsi="仿宋" w:eastAsia="仿宋" w:cs="仿宋_GB2312"/>
          <w:szCs w:val="32"/>
        </w:rPr>
        <w:t>截止2020年底，本部门人员编制31人，其中行政编制19人、事业编制12人；实有人员23人，其中行政15人、事业8人。单位管理的离退休人员15人。</w:t>
      </w:r>
    </w:p>
    <w:p>
      <w:pPr>
        <w:ind w:firstLine="641"/>
        <w:jc w:val="center"/>
        <w:rPr>
          <w:rFonts w:ascii="仿宋" w:hAnsi="仿宋" w:eastAsia="仿宋" w:cs="仿宋_GB2312"/>
          <w:szCs w:val="32"/>
        </w:rPr>
      </w:pPr>
      <w:r>
        <w:rPr>
          <w:rFonts w:ascii="仿宋" w:hAnsi="仿宋" w:eastAsia="仿宋" w:cs="仿宋_GB2312"/>
          <w:szCs w:val="32"/>
        </w:rPr>
        <w:drawing>
          <wp:inline distT="0" distB="0" distL="0" distR="0">
            <wp:extent cx="3778250" cy="2743200"/>
            <wp:effectExtent l="19050" t="0" r="1270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560" w:lineRule="exact"/>
        <w:ind w:firstLine="641"/>
        <w:rPr>
          <w:rFonts w:ascii="仿宋_GB2312" w:hAnsi="仿宋_GB2312" w:eastAsia="仿宋_GB2312" w:cs="仿宋_GB2312"/>
          <w:szCs w:val="32"/>
        </w:rPr>
      </w:pPr>
    </w:p>
    <w:tbl>
      <w:tblPr>
        <w:tblStyle w:val="7"/>
        <w:tblpPr w:leftFromText="180" w:rightFromText="180" w:vertAnchor="text" w:horzAnchor="page" w:tblpX="1390" w:tblpY="882"/>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olor w:val="000000"/>
                <w:sz w:val="21"/>
                <w:szCs w:val="21"/>
              </w:rPr>
            </w:pPr>
            <w:r>
              <w:rPr>
                <w:rFonts w:hint="eastAsia" w:ascii="仿宋" w:hAnsi="仿宋" w:eastAsia="仿宋"/>
                <w:color w:val="000000"/>
                <w:kern w:val="0"/>
                <w:sz w:val="21"/>
                <w:szCs w:val="21"/>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olor w:val="000000"/>
                <w:sz w:val="21"/>
                <w:szCs w:val="21"/>
              </w:rPr>
            </w:pPr>
            <w:r>
              <w:rPr>
                <w:rFonts w:hint="eastAsia" w:ascii="仿宋" w:hAnsi="仿宋" w:eastAsia="仿宋"/>
                <w:color w:val="000000"/>
                <w:kern w:val="0"/>
                <w:sz w:val="21"/>
                <w:szCs w:val="21"/>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olor w:val="000000"/>
                <w:kern w:val="0"/>
                <w:sz w:val="21"/>
                <w:szCs w:val="21"/>
              </w:rPr>
            </w:pPr>
            <w:r>
              <w:rPr>
                <w:rFonts w:hint="eastAsia" w:ascii="仿宋" w:hAnsi="仿宋" w:eastAsia="仿宋"/>
                <w:color w:val="000000"/>
                <w:kern w:val="0"/>
                <w:sz w:val="21"/>
                <w:szCs w:val="21"/>
              </w:rPr>
              <w:t>是否</w:t>
            </w:r>
          </w:p>
          <w:p>
            <w:pPr>
              <w:widowControl/>
              <w:jc w:val="center"/>
              <w:textAlignment w:val="center"/>
              <w:rPr>
                <w:rFonts w:ascii="仿宋" w:hAnsi="仿宋" w:eastAsia="仿宋"/>
                <w:color w:val="000000"/>
                <w:sz w:val="21"/>
                <w:szCs w:val="21"/>
              </w:rPr>
            </w:pPr>
            <w:r>
              <w:rPr>
                <w:rFonts w:hint="eastAsia" w:ascii="仿宋" w:hAnsi="仿宋" w:eastAsia="仿宋"/>
                <w:color w:val="000000"/>
                <w:kern w:val="0"/>
                <w:sz w:val="21"/>
                <w:szCs w:val="21"/>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olor w:val="000000"/>
                <w:sz w:val="21"/>
                <w:szCs w:val="21"/>
              </w:rPr>
            </w:pPr>
            <w:r>
              <w:rPr>
                <w:rFonts w:hint="eastAsia" w:ascii="仿宋" w:hAnsi="仿宋" w:eastAsia="仿宋"/>
                <w:color w:val="000000"/>
                <w:kern w:val="0"/>
                <w:sz w:val="21"/>
                <w:szCs w:val="21"/>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1"/>
                <w:szCs w:val="21"/>
              </w:rPr>
            </w:pPr>
            <w:r>
              <w:rPr>
                <w:rFonts w:hint="eastAsia" w:ascii="仿宋" w:hAnsi="仿宋" w:eastAsia="仿宋"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1"/>
                <w:szCs w:val="21"/>
              </w:rPr>
            </w:pPr>
            <w:r>
              <w:rPr>
                <w:rFonts w:hint="eastAsia" w:ascii="仿宋" w:hAnsi="仿宋" w:eastAsia="仿宋" w:cs="宋体"/>
                <w:color w:val="000000"/>
                <w:sz w:val="21"/>
                <w:szCs w:val="21"/>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1"/>
                <w:szCs w:val="21"/>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1"/>
                <w:szCs w:val="21"/>
              </w:rPr>
            </w:pPr>
            <w:r>
              <w:rPr>
                <w:rFonts w:hint="eastAsia" w:ascii="仿宋" w:hAnsi="仿宋" w:eastAsia="仿宋"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1"/>
                <w:szCs w:val="21"/>
              </w:rPr>
            </w:pPr>
            <w:r>
              <w:rPr>
                <w:rFonts w:hint="eastAsia" w:ascii="仿宋" w:hAnsi="仿宋" w:eastAsia="仿宋" w:cs="宋体"/>
                <w:color w:val="000000"/>
                <w:sz w:val="21"/>
                <w:szCs w:val="21"/>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1"/>
                <w:szCs w:val="21"/>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1"/>
                <w:szCs w:val="21"/>
              </w:rPr>
            </w:pPr>
            <w:r>
              <w:rPr>
                <w:rFonts w:hint="eastAsia" w:ascii="仿宋" w:hAnsi="仿宋" w:eastAsia="仿宋"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1"/>
                <w:szCs w:val="21"/>
              </w:rPr>
            </w:pPr>
            <w:r>
              <w:rPr>
                <w:rFonts w:hint="eastAsia" w:ascii="仿宋" w:hAnsi="仿宋" w:eastAsia="仿宋" w:cs="宋体"/>
                <w:color w:val="000000"/>
                <w:sz w:val="21"/>
                <w:szCs w:val="21"/>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1"/>
                <w:szCs w:val="21"/>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1"/>
                <w:szCs w:val="21"/>
              </w:rPr>
            </w:pPr>
            <w:r>
              <w:rPr>
                <w:rFonts w:hint="eastAsia" w:ascii="仿宋" w:hAnsi="仿宋" w:eastAsia="仿宋"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1"/>
                <w:szCs w:val="21"/>
              </w:rPr>
            </w:pPr>
            <w:r>
              <w:rPr>
                <w:rFonts w:hint="eastAsia" w:ascii="仿宋" w:hAnsi="仿宋" w:eastAsia="仿宋" w:cs="宋体"/>
                <w:color w:val="000000"/>
                <w:sz w:val="21"/>
                <w:szCs w:val="21"/>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1"/>
                <w:szCs w:val="21"/>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1"/>
                <w:szCs w:val="21"/>
              </w:rPr>
            </w:pPr>
            <w:r>
              <w:rPr>
                <w:rFonts w:hint="eastAsia" w:ascii="仿宋" w:hAnsi="仿宋" w:eastAsia="仿宋"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s="宋体"/>
                <w:color w:val="000000"/>
                <w:kern w:val="0"/>
                <w:sz w:val="21"/>
                <w:szCs w:val="21"/>
              </w:rPr>
            </w:pPr>
            <w:r>
              <w:rPr>
                <w:rFonts w:hint="eastAsia" w:ascii="仿宋" w:hAnsi="仿宋" w:eastAsia="仿宋"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1"/>
                <w:szCs w:val="21"/>
              </w:rPr>
            </w:pPr>
            <w:r>
              <w:rPr>
                <w:rFonts w:hint="eastAsia" w:ascii="仿宋" w:hAnsi="仿宋" w:eastAsia="仿宋" w:cs="宋体"/>
                <w:color w:val="000000"/>
                <w:sz w:val="21"/>
                <w:szCs w:val="21"/>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1"/>
                <w:szCs w:val="21"/>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1"/>
                <w:szCs w:val="21"/>
              </w:rPr>
            </w:pPr>
            <w:r>
              <w:rPr>
                <w:rFonts w:hint="eastAsia" w:ascii="仿宋" w:hAnsi="仿宋" w:eastAsia="仿宋"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1"/>
                <w:szCs w:val="21"/>
              </w:rPr>
            </w:pPr>
            <w:r>
              <w:rPr>
                <w:rFonts w:hint="eastAsia" w:ascii="仿宋" w:hAnsi="仿宋" w:eastAsia="仿宋" w:cs="宋体"/>
                <w:color w:val="000000"/>
                <w:sz w:val="21"/>
                <w:szCs w:val="21"/>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1"/>
                <w:szCs w:val="21"/>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1"/>
                <w:szCs w:val="21"/>
              </w:rPr>
            </w:pPr>
            <w:r>
              <w:rPr>
                <w:rFonts w:hint="eastAsia" w:ascii="仿宋" w:hAnsi="仿宋" w:eastAsia="仿宋"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color w:val="000000"/>
                <w:sz w:val="21"/>
                <w:szCs w:val="21"/>
              </w:rPr>
            </w:pPr>
            <w:r>
              <w:rPr>
                <w:rFonts w:hint="eastAsia" w:ascii="仿宋" w:hAnsi="仿宋" w:eastAsia="仿宋"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1"/>
                <w:szCs w:val="21"/>
              </w:rPr>
            </w:pPr>
            <w:r>
              <w:rPr>
                <w:rFonts w:hint="eastAsia" w:ascii="仿宋" w:hAnsi="仿宋" w:eastAsia="仿宋" w:cs="宋体"/>
                <w:color w:val="000000"/>
                <w:sz w:val="21"/>
                <w:szCs w:val="21"/>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1"/>
                <w:szCs w:val="21"/>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sz w:val="21"/>
                <w:szCs w:val="21"/>
              </w:rPr>
            </w:pPr>
            <w:r>
              <w:rPr>
                <w:rFonts w:hint="eastAsia" w:ascii="仿宋" w:hAnsi="仿宋" w:eastAsia="仿宋"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color w:val="000000"/>
                <w:kern w:val="0"/>
                <w:sz w:val="21"/>
                <w:szCs w:val="21"/>
              </w:rPr>
            </w:pPr>
          </w:p>
          <w:p>
            <w:pPr>
              <w:widowControl/>
              <w:textAlignment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政府性基金预算财政拨款收入支出决算表</w:t>
            </w:r>
          </w:p>
          <w:p>
            <w:pPr>
              <w:widowControl/>
              <w:jc w:val="left"/>
              <w:rPr>
                <w:rFonts w:ascii="仿宋" w:hAnsi="仿宋" w:eastAsia="仿宋" w:cs="宋体"/>
                <w:color w:val="000000"/>
                <w:sz w:val="21"/>
                <w:szCs w:val="21"/>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1"/>
                <w:szCs w:val="21"/>
              </w:rPr>
            </w:pPr>
            <w:r>
              <w:rPr>
                <w:rFonts w:hint="eastAsia" w:ascii="仿宋" w:hAnsi="仿宋" w:eastAsia="仿宋" w:cs="宋体"/>
                <w:color w:val="000000"/>
                <w:sz w:val="21"/>
                <w:szCs w:val="21"/>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1"/>
                <w:szCs w:val="21"/>
              </w:rPr>
            </w:pPr>
            <w:r>
              <w:rPr>
                <w:rFonts w:hint="eastAsia" w:ascii="仿宋" w:hAnsi="仿宋" w:eastAsia="仿宋" w:cs="宋体"/>
                <w:color w:val="000000"/>
                <w:sz w:val="21"/>
                <w:szCs w:val="21"/>
              </w:rPr>
              <w:t>无收入支出</w:t>
            </w: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表9</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 w:hAnsi="仿宋" w:eastAsia="仿宋" w:cs="宋体"/>
                <w:color w:val="000000"/>
                <w:kern w:val="0"/>
                <w:sz w:val="21"/>
                <w:szCs w:val="21"/>
              </w:rPr>
            </w:pPr>
            <w:r>
              <w:rPr>
                <w:rFonts w:hint="eastAsia" w:ascii="仿宋" w:hAnsi="仿宋" w:eastAsia="仿宋" w:cs="宋体"/>
                <w:color w:val="000000"/>
                <w:kern w:val="0"/>
                <w:sz w:val="21"/>
                <w:szCs w:val="21"/>
              </w:rPr>
              <w:t>国有资本经营预算财政拨款支出决算表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1"/>
                <w:szCs w:val="21"/>
              </w:rPr>
            </w:pPr>
            <w:r>
              <w:rPr>
                <w:rFonts w:hint="eastAsia" w:ascii="仿宋" w:hAnsi="仿宋" w:eastAsia="仿宋" w:cs="宋体"/>
                <w:color w:val="000000"/>
                <w:sz w:val="21"/>
                <w:szCs w:val="21"/>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color w:val="000000"/>
                <w:sz w:val="21"/>
                <w:szCs w:val="21"/>
              </w:rPr>
            </w:pPr>
            <w:r>
              <w:rPr>
                <w:rFonts w:hint="eastAsia" w:ascii="仿宋" w:hAnsi="仿宋" w:eastAsia="仿宋" w:cs="宋体"/>
                <w:color w:val="000000"/>
                <w:sz w:val="21"/>
                <w:szCs w:val="21"/>
              </w:rPr>
              <w:t>无财政拨款支出</w:t>
            </w:r>
          </w:p>
        </w:tc>
      </w:tr>
    </w:tbl>
    <w:p>
      <w:pPr>
        <w:widowControl/>
        <w:jc w:val="center"/>
        <w:rPr>
          <w:sz w:val="44"/>
          <w:szCs w:val="44"/>
        </w:rPr>
      </w:pPr>
      <w:r>
        <w:rPr>
          <w:rFonts w:ascii="黑体" w:hAnsi="宋体" w:eastAsia="黑体"/>
          <w:color w:val="000000"/>
          <w:kern w:val="0"/>
          <w:sz w:val="44"/>
          <w:szCs w:val="44"/>
        </w:rPr>
        <w:t xml:space="preserve">第二部分 </w:t>
      </w:r>
      <w:r>
        <w:rPr>
          <w:rFonts w:hint="eastAsia" w:ascii="黑体" w:hAnsi="宋体" w:eastAsia="黑体"/>
          <w:color w:val="000000"/>
          <w:kern w:val="0"/>
          <w:sz w:val="44"/>
          <w:szCs w:val="44"/>
        </w:rPr>
        <w:t>2020年</w:t>
      </w:r>
      <w:r>
        <w:rPr>
          <w:rFonts w:ascii="黑体" w:hAnsi="宋体" w:eastAsia="黑体"/>
          <w:color w:val="000000"/>
          <w:kern w:val="0"/>
          <w:sz w:val="44"/>
          <w:szCs w:val="44"/>
        </w:rPr>
        <w:t>部门决算表</w:t>
      </w:r>
    </w:p>
    <w:p>
      <w:pPr>
        <w:widowControl/>
        <w:textAlignment w:val="center"/>
        <w:rPr>
          <w:rFonts w:ascii="仿宋" w:hAnsi="仿宋" w:eastAsia="仿宋" w:cs="宋体"/>
          <w:b/>
          <w:color w:val="000000"/>
          <w:kern w:val="0"/>
          <w:sz w:val="21"/>
          <w:szCs w:val="21"/>
        </w:rPr>
      </w:pPr>
    </w:p>
    <w:p>
      <w:pPr>
        <w:jc w:val="center"/>
        <w:rPr>
          <w:rFonts w:ascii="仿宋" w:hAnsi="仿宋" w:eastAsia="仿宋" w:cs="宋体"/>
          <w:b/>
          <w:bCs/>
          <w:sz w:val="20"/>
        </w:rPr>
      </w:pPr>
      <w:r>
        <w:rPr>
          <w:rFonts w:hint="eastAsia" w:ascii="仿宋" w:hAnsi="仿宋" w:eastAsia="仿宋" w:cs="宋体"/>
          <w:b/>
          <w:bCs/>
          <w:sz w:val="20"/>
        </w:rPr>
        <w:t>收入支出决算总表</w:t>
      </w:r>
    </w:p>
    <w:p>
      <w:pPr>
        <w:jc w:val="right"/>
        <w:rPr>
          <w:rFonts w:ascii="仿宋" w:hAnsi="仿宋" w:eastAsia="仿宋" w:cs="宋体"/>
          <w:b/>
          <w:bCs/>
          <w:sz w:val="20"/>
        </w:rPr>
      </w:pPr>
      <w:r>
        <w:rPr>
          <w:rFonts w:hint="eastAsia" w:ascii="仿宋" w:hAnsi="仿宋" w:eastAsia="仿宋" w:cs="宋体"/>
          <w:b/>
          <w:bCs/>
          <w:sz w:val="20"/>
        </w:rPr>
        <w:t>公开01表</w:t>
      </w:r>
    </w:p>
    <w:p>
      <w:pPr>
        <w:rPr>
          <w:rFonts w:ascii="仿宋" w:hAnsi="仿宋" w:eastAsia="仿宋" w:cs="宋体"/>
          <w:bCs/>
          <w:sz w:val="20"/>
        </w:rPr>
      </w:pPr>
      <w:r>
        <w:rPr>
          <w:rFonts w:hint="eastAsia" w:ascii="仿宋" w:hAnsi="仿宋" w:eastAsia="仿宋" w:cs="宋体"/>
          <w:bCs/>
          <w:sz w:val="20"/>
        </w:rPr>
        <w:t>编制部门：西安市阎良区人民政府办公室                              金额单位：万元</w:t>
      </w:r>
    </w:p>
    <w:tbl>
      <w:tblPr>
        <w:tblStyle w:val="7"/>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644.06</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00" w:firstLineChars="100"/>
              <w:jc w:val="left"/>
              <w:textAlignment w:val="center"/>
              <w:rPr>
                <w:rFonts w:ascii="仿宋" w:hAnsi="仿宋" w:eastAsia="仿宋" w:cs="宋体"/>
                <w:color w:val="000000"/>
                <w:sz w:val="20"/>
              </w:rPr>
            </w:pPr>
            <w:r>
              <w:rPr>
                <w:rFonts w:hint="eastAsia" w:ascii="仿宋" w:hAnsi="仿宋" w:eastAsia="仿宋" w:cs="宋体"/>
                <w:color w:val="000000"/>
                <w:kern w:val="0"/>
                <w:sz w:val="20"/>
              </w:rPr>
              <w:t>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ascii="仿宋" w:hAnsi="仿宋" w:eastAsia="仿宋" w:cs="宋体"/>
                <w:color w:val="000000"/>
                <w:sz w:val="20"/>
              </w:rPr>
              <w:t>602.5</w:t>
            </w:r>
            <w:r>
              <w:rPr>
                <w:rFonts w:hint="eastAsia" w:ascii="仿宋" w:hAnsi="仿宋" w:eastAsia="仿宋" w:cs="宋体"/>
                <w:color w:val="000000"/>
                <w:sz w:val="20"/>
              </w:rPr>
              <w:t>3</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ascii="仿宋" w:hAnsi="仿宋" w:eastAsia="仿宋" w:cs="宋体"/>
                <w:color w:val="000000"/>
                <w:sz w:val="20"/>
              </w:rPr>
              <w:t>33.17</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p>
        </w:tc>
        <w:tc>
          <w:tcPr>
            <w:tcW w:w="1080" w:type="dxa"/>
            <w:tcBorders>
              <w:top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ascii="仿宋" w:hAnsi="仿宋" w:eastAsia="仿宋" w:cs="宋体"/>
                <w:color w:val="000000"/>
                <w:sz w:val="20"/>
              </w:rPr>
              <w:t>8.36</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p>
        </w:tc>
        <w:tc>
          <w:tcPr>
            <w:tcW w:w="1080" w:type="dxa"/>
            <w:tcBorders>
              <w:top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仿宋" w:hAnsi="仿宋" w:eastAsia="仿宋" w:cs="宋体"/>
                <w:color w:val="000000"/>
                <w:sz w:val="20"/>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仿宋" w:hAnsi="仿宋" w:eastAsia="仿宋" w:cs="宋体"/>
                <w:color w:val="000000"/>
                <w:sz w:val="20"/>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 w:hAnsi="仿宋" w:eastAsia="仿宋"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 w:hAnsi="仿宋" w:eastAsia="仿宋"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仿宋" w:hAnsi="仿宋" w:eastAsia="仿宋" w:cs="宋体"/>
                <w:color w:val="000000"/>
                <w:sz w:val="20"/>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 w:hAnsi="仿宋" w:eastAsia="仿宋"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仿宋" w:hAnsi="仿宋" w:eastAsia="仿宋" w:cs="宋体"/>
                <w:color w:val="000000"/>
                <w:sz w:val="20"/>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 w:hAnsi="仿宋" w:eastAsia="仿宋"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 w:hAnsi="仿宋" w:eastAsia="仿宋"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 w:hAnsi="仿宋" w:eastAsia="仿宋"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 w:hAnsi="仿宋" w:eastAsia="仿宋"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00" w:firstLineChars="100"/>
              <w:jc w:val="left"/>
              <w:textAlignment w:val="center"/>
              <w:rPr>
                <w:rFonts w:ascii="仿宋" w:hAnsi="仿宋" w:eastAsia="仿宋" w:cs="宋体"/>
                <w:color w:val="000000"/>
                <w:kern w:val="0"/>
                <w:sz w:val="20"/>
              </w:rPr>
            </w:pPr>
            <w:r>
              <w:rPr>
                <w:rFonts w:hint="eastAsia" w:ascii="仿宋" w:hAnsi="仿宋" w:eastAsia="仿宋" w:cs="宋体"/>
                <w:color w:val="000000"/>
                <w:kern w:val="0"/>
                <w:sz w:val="20"/>
              </w:rPr>
              <w:t>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 w:hAnsi="仿宋" w:eastAsia="仿宋"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21、国有资本经营预算支出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 w:hAnsi="仿宋" w:eastAsia="仿宋"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 xml:space="preserve">  22、灾害防治及应急管理支出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仿宋" w:hAnsi="仿宋" w:eastAsia="仿宋" w:cs="宋体"/>
                <w:color w:val="000000"/>
                <w:sz w:val="20"/>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00" w:firstLineChars="100"/>
              <w:jc w:val="left"/>
              <w:textAlignment w:val="center"/>
              <w:rPr>
                <w:rFonts w:ascii="仿宋" w:hAnsi="仿宋" w:eastAsia="仿宋" w:cs="宋体"/>
                <w:color w:val="000000"/>
                <w:kern w:val="0"/>
                <w:sz w:val="20"/>
              </w:rPr>
            </w:pPr>
            <w:r>
              <w:rPr>
                <w:rFonts w:hint="eastAsia" w:ascii="仿宋" w:hAnsi="仿宋" w:eastAsia="仿宋" w:cs="宋体"/>
                <w:color w:val="000000"/>
                <w:kern w:val="0"/>
                <w:sz w:val="20"/>
              </w:rPr>
              <w:t>23、其他支出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本年收入合计</w:t>
            </w:r>
          </w:p>
        </w:tc>
        <w:tc>
          <w:tcPr>
            <w:tcW w:w="1080" w:type="dxa"/>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644.06</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本年支出合计</w:t>
            </w:r>
          </w:p>
        </w:tc>
        <w:tc>
          <w:tcPr>
            <w:tcW w:w="1326" w:type="dxa"/>
            <w:tcBorders>
              <w:top w:val="single" w:color="000000" w:sz="4" w:space="0"/>
              <w:left w:val="single" w:color="000000" w:sz="4" w:space="0"/>
              <w:right w:val="single" w:color="000000" w:sz="4" w:space="0"/>
            </w:tcBorders>
            <w:vAlign w:val="center"/>
          </w:tcPr>
          <w:p>
            <w:pPr>
              <w:jc w:val="center"/>
              <w:rPr>
                <w:rFonts w:ascii="仿宋" w:hAnsi="仿宋" w:eastAsia="仿宋" w:cs="宋体"/>
                <w:b/>
                <w:color w:val="000000"/>
                <w:sz w:val="20"/>
              </w:rPr>
            </w:pPr>
            <w:r>
              <w:rPr>
                <w:rFonts w:hint="eastAsia" w:ascii="仿宋" w:hAnsi="仿宋" w:eastAsia="仿宋" w:cs="宋体"/>
                <w:color w:val="000000"/>
                <w:sz w:val="20"/>
              </w:rPr>
              <w:t>644.06</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Cs/>
                <w:color w:val="000000"/>
                <w:sz w:val="20"/>
              </w:rPr>
            </w:pPr>
            <w:r>
              <w:rPr>
                <w:rFonts w:hint="eastAsia" w:ascii="仿宋" w:hAnsi="仿宋" w:eastAsia="仿宋" w:cs="宋体"/>
                <w:bCs/>
                <w:color w:val="000000"/>
                <w:kern w:val="0"/>
                <w:sz w:val="20"/>
              </w:rPr>
              <w:t>使用非财政拨款结余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Cs/>
                <w:color w:val="000000"/>
                <w:sz w:val="20"/>
              </w:rPr>
            </w:pPr>
            <w:r>
              <w:rPr>
                <w:rFonts w:hint="eastAsia" w:ascii="仿宋" w:hAnsi="仿宋" w:eastAsia="仿宋" w:cs="宋体"/>
                <w:bCs/>
                <w:color w:val="000000"/>
                <w:kern w:val="0"/>
                <w:sz w:val="20"/>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Cs/>
                <w:color w:val="000000"/>
                <w:sz w:val="20"/>
              </w:rPr>
            </w:pPr>
            <w:r>
              <w:rPr>
                <w:rFonts w:hint="eastAsia" w:ascii="仿宋" w:hAnsi="仿宋" w:eastAsia="仿宋" w:cs="宋体"/>
                <w:bCs/>
                <w:color w:val="000000"/>
                <w:kern w:val="0"/>
                <w:sz w:val="20"/>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Cs/>
                <w:color w:val="000000"/>
                <w:sz w:val="20"/>
              </w:rPr>
            </w:pPr>
            <w:r>
              <w:rPr>
                <w:rFonts w:hint="eastAsia" w:ascii="仿宋" w:hAnsi="仿宋" w:eastAsia="仿宋" w:cs="宋体"/>
                <w:bCs/>
                <w:color w:val="000000"/>
                <w:kern w:val="0"/>
                <w:sz w:val="20"/>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644.06</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r>
              <w:rPr>
                <w:rFonts w:hint="eastAsia" w:ascii="仿宋" w:hAnsi="仿宋" w:eastAsia="仿宋" w:cs="宋体"/>
                <w:color w:val="000000"/>
                <w:sz w:val="20"/>
              </w:rPr>
              <w:t>644.06</w:t>
            </w:r>
          </w:p>
        </w:tc>
      </w:tr>
    </w:tbl>
    <w:p>
      <w:pPr>
        <w:widowControl/>
        <w:ind w:left="400" w:hanging="400" w:hangingChars="200"/>
        <w:jc w:val="left"/>
        <w:rPr>
          <w:rFonts w:ascii="仿宋" w:hAnsi="仿宋" w:eastAsia="仿宋" w:cs="宋体"/>
          <w:sz w:val="20"/>
        </w:rPr>
      </w:pPr>
      <w:r>
        <w:rPr>
          <w:rFonts w:hint="eastAsia" w:ascii="仿宋" w:hAnsi="仿宋" w:eastAsia="仿宋" w:cs="宋体"/>
          <w:color w:val="000000"/>
          <w:kern w:val="0"/>
          <w:sz w:val="20"/>
        </w:rPr>
        <w:t>注：本表反映部门本年度的总收支和年末结转结余情况。本表金额转换为万元时，因四舍五入可能存在尾差。</w:t>
      </w:r>
    </w:p>
    <w:p>
      <w:pPr>
        <w:rPr>
          <w:rFonts w:ascii="仿宋" w:hAnsi="仿宋" w:eastAsia="仿宋"/>
          <w:sz w:val="20"/>
        </w:rPr>
      </w:pPr>
    </w:p>
    <w:p>
      <w:pPr>
        <w:rPr>
          <w:rFonts w:ascii="仿宋" w:hAnsi="仿宋" w:eastAsia="仿宋"/>
          <w:sz w:val="20"/>
        </w:rPr>
      </w:pPr>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r>
        <w:rPr>
          <w:rFonts w:hint="eastAsia" w:ascii="仿宋" w:hAnsi="仿宋" w:eastAsia="仿宋" w:cs="宋体"/>
          <w:b/>
          <w:bCs/>
          <w:sz w:val="20"/>
        </w:rPr>
        <w:t>收入决算表</w:t>
      </w:r>
    </w:p>
    <w:p>
      <w:pPr>
        <w:ind w:firstLine="7027" w:firstLineChars="3500"/>
        <w:rPr>
          <w:rFonts w:ascii="仿宋" w:hAnsi="仿宋" w:eastAsia="仿宋" w:cs="宋体"/>
          <w:b/>
          <w:bCs/>
          <w:sz w:val="20"/>
        </w:rPr>
      </w:pPr>
      <w:r>
        <w:rPr>
          <w:rFonts w:hint="eastAsia" w:ascii="仿宋" w:hAnsi="仿宋" w:eastAsia="仿宋" w:cs="宋体"/>
          <w:b/>
          <w:bCs/>
          <w:sz w:val="20"/>
        </w:rPr>
        <w:t>公开02表</w:t>
      </w:r>
    </w:p>
    <w:p>
      <w:pPr>
        <w:rPr>
          <w:rFonts w:ascii="仿宋" w:hAnsi="仿宋" w:eastAsia="仿宋" w:cs="宋体"/>
          <w:b/>
          <w:bCs/>
          <w:sz w:val="20"/>
        </w:rPr>
      </w:pPr>
      <w:r>
        <w:rPr>
          <w:rFonts w:hint="eastAsia" w:ascii="仿宋" w:hAnsi="仿宋" w:eastAsia="仿宋" w:cs="宋体"/>
          <w:b/>
          <w:bCs/>
          <w:sz w:val="20"/>
        </w:rPr>
        <w:t>编制部门：西安市阎良区人民政府办公室                          金额单位：万元</w:t>
      </w:r>
    </w:p>
    <w:tbl>
      <w:tblPr>
        <w:tblStyle w:val="7"/>
        <w:tblW w:w="8237" w:type="dxa"/>
        <w:tblInd w:w="0" w:type="dxa"/>
        <w:tblLayout w:type="fixed"/>
        <w:tblCellMar>
          <w:top w:w="15" w:type="dxa"/>
          <w:left w:w="15" w:type="dxa"/>
          <w:bottom w:w="15" w:type="dxa"/>
          <w:right w:w="15" w:type="dxa"/>
        </w:tblCellMar>
      </w:tblPr>
      <w:tblGrid>
        <w:gridCol w:w="866"/>
        <w:gridCol w:w="1134"/>
        <w:gridCol w:w="709"/>
        <w:gridCol w:w="698"/>
        <w:gridCol w:w="720"/>
        <w:gridCol w:w="720"/>
        <w:gridCol w:w="697"/>
        <w:gridCol w:w="992"/>
        <w:gridCol w:w="709"/>
        <w:gridCol w:w="992"/>
      </w:tblGrid>
      <w:tr>
        <w:trPr>
          <w:trHeight w:val="439" w:hRule="atLeast"/>
        </w:trPr>
        <w:tc>
          <w:tcPr>
            <w:tcW w:w="20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sz w:val="20"/>
              </w:rPr>
            </w:pPr>
            <w:r>
              <w:rPr>
                <w:rFonts w:hint="eastAsia" w:ascii="仿宋" w:hAnsi="仿宋" w:eastAsia="仿宋" w:cs="宋体"/>
                <w:b/>
                <w:bCs/>
                <w:color w:val="000000"/>
                <w:kern w:val="0"/>
                <w:sz w:val="20"/>
              </w:rPr>
              <w:t>项目</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sz w:val="20"/>
              </w:rPr>
            </w:pPr>
            <w:r>
              <w:rPr>
                <w:rFonts w:hint="eastAsia" w:ascii="仿宋" w:hAnsi="仿宋" w:eastAsia="仿宋" w:cs="宋体"/>
                <w:b/>
                <w:bCs/>
                <w:color w:val="000000"/>
                <w:kern w:val="0"/>
                <w:sz w:val="20"/>
              </w:rPr>
              <w:t>本年收入合计</w:t>
            </w:r>
          </w:p>
        </w:tc>
        <w:tc>
          <w:tcPr>
            <w:tcW w:w="69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sz w:val="20"/>
              </w:rPr>
            </w:pPr>
            <w:r>
              <w:rPr>
                <w:rFonts w:hint="eastAsia" w:ascii="仿宋" w:hAnsi="仿宋" w:eastAsia="仿宋" w:cs="宋体"/>
                <w:b/>
                <w:bCs/>
                <w:color w:val="000000"/>
                <w:kern w:val="0"/>
                <w:sz w:val="20"/>
              </w:rPr>
              <w:t>财政拨款收入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sz w:val="20"/>
              </w:rPr>
            </w:pPr>
            <w:r>
              <w:rPr>
                <w:rFonts w:hint="eastAsia" w:ascii="仿宋" w:hAnsi="仿宋" w:eastAsia="仿宋" w:cs="宋体"/>
                <w:b/>
                <w:bCs/>
                <w:color w:val="000000"/>
                <w:kern w:val="0"/>
                <w:sz w:val="20"/>
              </w:rPr>
              <w:t>上级补助收入</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kern w:val="0"/>
                <w:sz w:val="20"/>
              </w:rPr>
            </w:pPr>
            <w:r>
              <w:rPr>
                <w:rFonts w:hint="eastAsia" w:ascii="仿宋" w:hAnsi="仿宋" w:eastAsia="仿宋" w:cs="宋体"/>
                <w:b/>
                <w:bCs/>
                <w:color w:val="000000"/>
                <w:kern w:val="0"/>
                <w:sz w:val="20"/>
              </w:rPr>
              <w:t>事业收入</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kern w:val="0"/>
                <w:sz w:val="20"/>
              </w:rPr>
            </w:pPr>
            <w:r>
              <w:rPr>
                <w:rFonts w:hint="eastAsia" w:ascii="仿宋" w:hAnsi="仿宋" w:eastAsia="仿宋" w:cs="宋体"/>
                <w:b/>
                <w:bCs/>
                <w:color w:val="000000"/>
                <w:kern w:val="0"/>
                <w:sz w:val="20"/>
              </w:rPr>
              <w:t>经营</w:t>
            </w:r>
          </w:p>
          <w:p>
            <w:pPr>
              <w:widowControl/>
              <w:jc w:val="center"/>
              <w:textAlignment w:val="center"/>
              <w:rPr>
                <w:rFonts w:ascii="仿宋" w:hAnsi="仿宋" w:eastAsia="仿宋" w:cs="宋体"/>
                <w:b/>
                <w:bCs/>
                <w:color w:val="000000"/>
                <w:sz w:val="20"/>
              </w:rPr>
            </w:pPr>
            <w:r>
              <w:rPr>
                <w:rFonts w:hint="eastAsia" w:ascii="仿宋" w:hAnsi="仿宋" w:eastAsia="仿宋" w:cs="宋体"/>
                <w:b/>
                <w:bCs/>
                <w:color w:val="000000"/>
                <w:kern w:val="0"/>
                <w:sz w:val="20"/>
              </w:rPr>
              <w:t>收入</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sz w:val="20"/>
              </w:rPr>
            </w:pPr>
            <w:r>
              <w:rPr>
                <w:rFonts w:hint="eastAsia" w:ascii="仿宋" w:hAnsi="仿宋" w:eastAsia="仿宋" w:cs="宋体"/>
                <w:b/>
                <w:bCs/>
                <w:color w:val="000000"/>
                <w:kern w:val="0"/>
                <w:sz w:val="20"/>
              </w:rPr>
              <w:t>附属单位上缴收入</w:t>
            </w:r>
          </w:p>
        </w:tc>
        <w:tc>
          <w:tcPr>
            <w:tcW w:w="99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bCs/>
                <w:color w:val="000000"/>
                <w:kern w:val="0"/>
                <w:sz w:val="20"/>
              </w:rPr>
            </w:pPr>
            <w:r>
              <w:rPr>
                <w:rFonts w:hint="eastAsia" w:ascii="仿宋" w:hAnsi="仿宋" w:eastAsia="仿宋" w:cs="宋体"/>
                <w:b/>
                <w:bCs/>
                <w:color w:val="000000"/>
                <w:kern w:val="0"/>
                <w:sz w:val="20"/>
              </w:rPr>
              <w:t>其他</w:t>
            </w:r>
          </w:p>
          <w:p>
            <w:pPr>
              <w:widowControl/>
              <w:jc w:val="center"/>
              <w:textAlignment w:val="center"/>
              <w:rPr>
                <w:rFonts w:ascii="仿宋" w:hAnsi="仿宋" w:eastAsia="仿宋" w:cs="宋体"/>
                <w:b/>
                <w:bCs/>
                <w:color w:val="000000"/>
                <w:sz w:val="20"/>
              </w:rPr>
            </w:pPr>
            <w:r>
              <w:rPr>
                <w:rFonts w:hint="eastAsia" w:ascii="仿宋" w:hAnsi="仿宋" w:eastAsia="仿宋" w:cs="宋体"/>
                <w:b/>
                <w:bCs/>
                <w:color w:val="000000"/>
                <w:kern w:val="0"/>
                <w:sz w:val="20"/>
              </w:rPr>
              <w:t>收入</w:t>
            </w:r>
          </w:p>
        </w:tc>
      </w:tr>
      <w:tr>
        <w:tblPrEx>
          <w:tblCellMar>
            <w:top w:w="15" w:type="dxa"/>
            <w:left w:w="15" w:type="dxa"/>
            <w:bottom w:w="15" w:type="dxa"/>
            <w:right w:w="15" w:type="dxa"/>
          </w:tblCellMar>
        </w:tblPrEx>
        <w:trPr>
          <w:trHeight w:val="1125" w:hRule="atLeast"/>
        </w:trPr>
        <w:tc>
          <w:tcPr>
            <w:tcW w:w="866" w:type="dxa"/>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功能分类科目编码</w:t>
            </w:r>
          </w:p>
        </w:tc>
        <w:tc>
          <w:tcPr>
            <w:tcW w:w="1134" w:type="dxa"/>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科目</w:t>
            </w:r>
          </w:p>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名称</w:t>
            </w: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6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r>
              <w:rPr>
                <w:rFonts w:hint="eastAsia" w:ascii="仿宋" w:hAnsi="仿宋" w:eastAsia="仿宋" w:cs="宋体"/>
                <w:b/>
                <w:color w:val="000000"/>
                <w:sz w:val="20"/>
              </w:rPr>
              <w:t>小计</w:t>
            </w:r>
          </w:p>
        </w:tc>
        <w:tc>
          <w:tcPr>
            <w:tcW w:w="6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r>
              <w:rPr>
                <w:rFonts w:hint="eastAsia" w:ascii="仿宋" w:hAnsi="仿宋" w:eastAsia="仿宋" w:cs="宋体"/>
                <w:b/>
                <w:color w:val="000000"/>
                <w:sz w:val="20"/>
              </w:rPr>
              <w:t>其中：教育</w:t>
            </w:r>
          </w:p>
          <w:p>
            <w:pPr>
              <w:ind w:firstLine="803" w:firstLineChars="400"/>
              <w:rPr>
                <w:rFonts w:ascii="仿宋" w:hAnsi="仿宋" w:eastAsia="仿宋" w:cs="宋体"/>
                <w:b/>
                <w:color w:val="000000"/>
                <w:sz w:val="20"/>
              </w:rPr>
            </w:pPr>
            <w:r>
              <w:rPr>
                <w:rFonts w:hint="eastAsia" w:ascii="仿宋" w:hAnsi="仿宋" w:eastAsia="仿宋" w:cs="宋体"/>
                <w:b/>
                <w:color w:val="000000"/>
                <w:sz w:val="20"/>
              </w:rPr>
              <w:t>收费</w:t>
            </w: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99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r>
      <w:tr>
        <w:tblPrEx>
          <w:tblCellMar>
            <w:top w:w="15" w:type="dxa"/>
            <w:left w:w="15" w:type="dxa"/>
            <w:bottom w:w="15" w:type="dxa"/>
            <w:right w:w="15" w:type="dxa"/>
          </w:tblCellMar>
        </w:tblPrEx>
        <w:trPr>
          <w:trHeight w:val="439" w:hRule="atLeast"/>
        </w:trPr>
        <w:tc>
          <w:tcPr>
            <w:tcW w:w="200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18"/>
                <w:szCs w:val="18"/>
              </w:rPr>
            </w:pPr>
            <w:r>
              <w:rPr>
                <w:rFonts w:hint="eastAsia" w:ascii="仿宋" w:hAnsi="仿宋" w:eastAsia="仿宋" w:cs="宋体"/>
                <w:b/>
                <w:bCs/>
                <w:color w:val="000000"/>
                <w:kern w:val="0"/>
                <w:sz w:val="18"/>
                <w:szCs w:val="18"/>
              </w:rPr>
              <w:t>合计</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ascii="仿宋" w:hAnsi="仿宋" w:eastAsia="仿宋" w:cs="宋体"/>
                <w:color w:val="000000"/>
                <w:sz w:val="18"/>
                <w:szCs w:val="18"/>
              </w:rPr>
              <w:t>644.06</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ascii="仿宋" w:hAnsi="仿宋" w:eastAsia="仿宋" w:cs="宋体"/>
                <w:color w:val="000000"/>
                <w:sz w:val="18"/>
                <w:szCs w:val="18"/>
              </w:rPr>
              <w:t>644.06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6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201</w:t>
            </w: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一般公共服务支出</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602.53</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602.53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6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20103</w:t>
            </w: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政府办公厅（室）及相关机构事务</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602.53</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602.53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6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2010301</w:t>
            </w: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 xml:space="preserve">  行政运行</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380.03</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380.03</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6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2010350</w:t>
            </w: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 xml:space="preserve">  事业运行</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62.50</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62.50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6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2010399</w:t>
            </w: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 xml:space="preserve">  其他政府办公厅（室）及相关机构事务支出</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160.00</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160.00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6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208</w:t>
            </w: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社会保障和就业支出</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6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20805</w:t>
            </w: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行政事业单位养老支出</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6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r>
      <w:tr>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2080505</w:t>
            </w: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 xml:space="preserve">  机关事业单位基本养老保险缴费支出</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6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210</w:t>
            </w: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卫生健康支出</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6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21011</w:t>
            </w: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行政事业单位医疗</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6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r>
      <w:tr>
        <w:tblPrEx>
          <w:tblCellMar>
            <w:top w:w="15" w:type="dxa"/>
            <w:left w:w="15" w:type="dxa"/>
            <w:bottom w:w="15" w:type="dxa"/>
            <w:right w:w="15" w:type="dxa"/>
          </w:tblCellMar>
        </w:tblPrEx>
        <w:trPr>
          <w:trHeight w:val="439" w:hRule="atLeast"/>
        </w:trPr>
        <w:tc>
          <w:tcPr>
            <w:tcW w:w="8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2101101</w:t>
            </w:r>
          </w:p>
        </w:tc>
        <w:tc>
          <w:tcPr>
            <w:tcW w:w="1134"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 xml:space="preserve">  行政单位医疗</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69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69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c>
          <w:tcPr>
            <w:tcW w:w="992"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18"/>
                <w:szCs w:val="18"/>
              </w:rPr>
            </w:pPr>
            <w:r>
              <w:rPr>
                <w:rFonts w:hint="eastAsia" w:ascii="仿宋" w:hAnsi="仿宋" w:eastAsia="仿宋" w:cs="宋体"/>
                <w:color w:val="000000"/>
                <w:sz w:val="18"/>
                <w:szCs w:val="18"/>
              </w:rPr>
              <w:t>0.00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宋体" w:hAnsi="宋体" w:eastAsia="宋体" w:cs="宋体"/>
          <w:b/>
          <w:bCs/>
          <w:szCs w:val="32"/>
        </w:rPr>
      </w:pPr>
    </w:p>
    <w:p>
      <w:pPr>
        <w:jc w:val="center"/>
        <w:rPr>
          <w:rFonts w:ascii="仿宋" w:hAnsi="仿宋" w:eastAsia="仿宋" w:cs="宋体"/>
          <w:b/>
          <w:bCs/>
          <w:sz w:val="20"/>
        </w:rPr>
      </w:pPr>
      <w:r>
        <w:rPr>
          <w:rFonts w:hint="eastAsia" w:ascii="仿宋" w:hAnsi="仿宋" w:eastAsia="仿宋" w:cs="宋体"/>
          <w:b/>
          <w:bCs/>
          <w:sz w:val="20"/>
        </w:rPr>
        <w:t>支出决算表</w:t>
      </w:r>
    </w:p>
    <w:p>
      <w:pPr>
        <w:rPr>
          <w:rFonts w:ascii="仿宋" w:hAnsi="仿宋" w:eastAsia="仿宋" w:cs="宋体"/>
          <w:b/>
          <w:bCs/>
          <w:sz w:val="20"/>
        </w:rPr>
      </w:pPr>
      <w:r>
        <w:rPr>
          <w:rFonts w:hint="eastAsia" w:ascii="仿宋" w:hAnsi="仿宋" w:eastAsia="仿宋" w:cs="宋体"/>
          <w:b/>
          <w:bCs/>
          <w:sz w:val="20"/>
        </w:rPr>
        <w:t xml:space="preserve">                                                                      公开03表</w:t>
      </w:r>
    </w:p>
    <w:p>
      <w:pPr>
        <w:rPr>
          <w:rFonts w:ascii="仿宋" w:hAnsi="仿宋" w:eastAsia="仿宋" w:cs="宋体"/>
          <w:b/>
          <w:bCs/>
          <w:sz w:val="20"/>
        </w:rPr>
      </w:pPr>
      <w:r>
        <w:rPr>
          <w:rFonts w:hint="eastAsia" w:ascii="仿宋" w:hAnsi="仿宋" w:eastAsia="仿宋" w:cs="宋体"/>
          <w:b/>
          <w:bCs/>
          <w:sz w:val="20"/>
        </w:rPr>
        <w:t>编制部门：                                                       金额单位：万元</w:t>
      </w:r>
    </w:p>
    <w:tbl>
      <w:tblPr>
        <w:tblStyle w:val="7"/>
        <w:tblW w:w="8896" w:type="dxa"/>
        <w:tblInd w:w="0" w:type="dxa"/>
        <w:tblLayout w:type="fixed"/>
        <w:tblCellMar>
          <w:top w:w="15" w:type="dxa"/>
          <w:left w:w="15" w:type="dxa"/>
          <w:bottom w:w="15" w:type="dxa"/>
          <w:right w:w="15" w:type="dxa"/>
        </w:tblCellMar>
      </w:tblPr>
      <w:tblGrid>
        <w:gridCol w:w="914"/>
        <w:gridCol w:w="83"/>
        <w:gridCol w:w="1219"/>
        <w:gridCol w:w="1255"/>
        <w:gridCol w:w="986"/>
        <w:gridCol w:w="1077"/>
        <w:gridCol w:w="1109"/>
        <w:gridCol w:w="908"/>
        <w:gridCol w:w="1345"/>
      </w:tblGrid>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项目</w:t>
            </w:r>
          </w:p>
        </w:tc>
        <w:tc>
          <w:tcPr>
            <w:tcW w:w="12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合计</w:t>
            </w:r>
          </w:p>
        </w:tc>
        <w:tc>
          <w:tcPr>
            <w:tcW w:w="9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基本支出</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项目支出</w:t>
            </w:r>
          </w:p>
        </w:tc>
        <w:tc>
          <w:tcPr>
            <w:tcW w:w="110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上缴上</w:t>
            </w:r>
          </w:p>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级支出</w:t>
            </w:r>
          </w:p>
        </w:tc>
        <w:tc>
          <w:tcPr>
            <w:tcW w:w="90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经营支出</w:t>
            </w:r>
          </w:p>
        </w:tc>
        <w:tc>
          <w:tcPr>
            <w:tcW w:w="13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对附属单位</w:t>
            </w:r>
          </w:p>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功能分类科目编码</w:t>
            </w:r>
          </w:p>
        </w:tc>
        <w:tc>
          <w:tcPr>
            <w:tcW w:w="12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科目名称</w:t>
            </w:r>
          </w:p>
        </w:tc>
        <w:tc>
          <w:tcPr>
            <w:tcW w:w="12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9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110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90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13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r>
      <w:tr>
        <w:tblPrEx>
          <w:tblCellMar>
            <w:top w:w="15" w:type="dxa"/>
            <w:left w:w="15" w:type="dxa"/>
            <w:bottom w:w="15" w:type="dxa"/>
            <w:right w:w="15" w:type="dxa"/>
          </w:tblCellMar>
        </w:tblPrEx>
        <w:trPr>
          <w:trHeight w:val="372" w:hRule="atLeast"/>
        </w:trPr>
        <w:tc>
          <w:tcPr>
            <w:tcW w:w="221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合计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644.06</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484.06</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160.00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一般公共服务支出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602.53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442.53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160.00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20103</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政府办公厅（室）及相关机构事务</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602.53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442.53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160.00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2010301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 xml:space="preserve">  行政运行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380.03</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380.03</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2010350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 xml:space="preserve">  事业运行</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62.50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62.50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2010399</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 xml:space="preserve">  其他政府办公厅（室）及相关机构事务支出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160.00</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160.00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208</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社会保障和就业支出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20805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行政事业单位养老支出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2080505</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 xml:space="preserve">  机关事业单位基本养老保险缴费支出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210</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卫生健康支出</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21011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行政事业单位医疗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18"/>
                <w:szCs w:val="18"/>
              </w:rPr>
            </w:pPr>
            <w:r>
              <w:rPr>
                <w:rFonts w:hint="eastAsia" w:ascii="仿宋" w:hAnsi="仿宋" w:eastAsia="仿宋" w:cs="宋体"/>
                <w:color w:val="000000"/>
                <w:sz w:val="18"/>
                <w:szCs w:val="18"/>
              </w:rPr>
              <w:t>2101101</w:t>
            </w:r>
          </w:p>
        </w:tc>
        <w:tc>
          <w:tcPr>
            <w:tcW w:w="1302" w:type="dxa"/>
            <w:gridSpan w:val="2"/>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 xml:space="preserve">  行政单位医疗</w:t>
            </w:r>
          </w:p>
        </w:tc>
        <w:tc>
          <w:tcPr>
            <w:tcW w:w="12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98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0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90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4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r>
    </w:tbl>
    <w:p>
      <w:pPr>
        <w:widowControl/>
        <w:jc w:val="left"/>
        <w:rPr>
          <w:rFonts w:ascii="仿宋" w:hAnsi="仿宋" w:eastAsia="仿宋" w:cs="黑体"/>
          <w:sz w:val="20"/>
        </w:rPr>
      </w:pPr>
      <w:r>
        <w:rPr>
          <w:rFonts w:hint="eastAsia" w:ascii="仿宋" w:hAnsi="仿宋" w:eastAsia="仿宋" w:cs="宋体"/>
          <w:sz w:val="20"/>
        </w:rPr>
        <w:t>注：本表反映部门本年度各项支出情况。</w:t>
      </w:r>
      <w:r>
        <w:rPr>
          <w:rFonts w:hint="eastAsia" w:ascii="仿宋" w:hAnsi="仿宋" w:eastAsia="仿宋" w:cs="宋体"/>
          <w:color w:val="000000"/>
          <w:kern w:val="0"/>
          <w:sz w:val="20"/>
        </w:rPr>
        <w:t>本表金额转换为万元时，因四舍五入可能存在尾差。</w:t>
      </w:r>
    </w:p>
    <w:p>
      <w:pPr>
        <w:rPr>
          <w:rFonts w:ascii="仿宋" w:hAnsi="仿宋" w:eastAsia="仿宋"/>
          <w:sz w:val="20"/>
        </w:rPr>
      </w:pPr>
    </w:p>
    <w:p>
      <w:pPr>
        <w:rPr>
          <w:rFonts w:ascii="仿宋" w:hAnsi="仿宋" w:eastAsia="仿宋"/>
          <w:sz w:val="20"/>
        </w:rPr>
      </w:pPr>
    </w:p>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r>
        <w:rPr>
          <w:rFonts w:hint="eastAsia" w:ascii="仿宋" w:hAnsi="仿宋" w:eastAsia="仿宋" w:cs="宋体"/>
          <w:b/>
          <w:bCs/>
          <w:sz w:val="20"/>
        </w:rPr>
        <w:t>财政拨款收入支出决算总表</w:t>
      </w:r>
    </w:p>
    <w:p>
      <w:pPr>
        <w:ind w:firstLine="7027" w:firstLineChars="3500"/>
        <w:rPr>
          <w:rFonts w:ascii="仿宋" w:hAnsi="仿宋" w:eastAsia="仿宋" w:cs="宋体"/>
          <w:b/>
          <w:bCs/>
          <w:sz w:val="20"/>
        </w:rPr>
      </w:pPr>
      <w:r>
        <w:rPr>
          <w:rFonts w:hint="eastAsia" w:ascii="仿宋" w:hAnsi="仿宋" w:eastAsia="仿宋" w:cs="宋体"/>
          <w:b/>
          <w:bCs/>
          <w:sz w:val="20"/>
        </w:rPr>
        <w:t>公开04表</w:t>
      </w:r>
    </w:p>
    <w:p>
      <w:pPr>
        <w:rPr>
          <w:rFonts w:ascii="仿宋" w:hAnsi="仿宋" w:eastAsia="仿宋" w:cs="宋体"/>
          <w:b/>
          <w:bCs/>
          <w:sz w:val="20"/>
        </w:rPr>
      </w:pPr>
      <w:r>
        <w:rPr>
          <w:rFonts w:hint="eastAsia" w:ascii="仿宋" w:hAnsi="仿宋" w:eastAsia="仿宋" w:cs="宋体"/>
          <w:b/>
          <w:bCs/>
          <w:sz w:val="20"/>
        </w:rPr>
        <w:t>编制部门： 西安市阎良区人民政府办公室                               金额单位：万元</w:t>
      </w:r>
    </w:p>
    <w:tbl>
      <w:tblPr>
        <w:tblStyle w:val="7"/>
        <w:tblW w:w="8739" w:type="dxa"/>
        <w:tblInd w:w="0" w:type="dxa"/>
        <w:tblLayout w:type="fixed"/>
        <w:tblCellMar>
          <w:top w:w="15" w:type="dxa"/>
          <w:left w:w="15" w:type="dxa"/>
          <w:bottom w:w="15" w:type="dxa"/>
          <w:right w:w="15" w:type="dxa"/>
        </w:tblCellMar>
      </w:tblPr>
      <w:tblGrid>
        <w:gridCol w:w="1539"/>
        <w:gridCol w:w="968"/>
        <w:gridCol w:w="2440"/>
        <w:gridCol w:w="1023"/>
        <w:gridCol w:w="994"/>
        <w:gridCol w:w="888"/>
        <w:gridCol w:w="887"/>
      </w:tblGrid>
      <w:tr>
        <w:tblPrEx>
          <w:tblCellMar>
            <w:top w:w="15" w:type="dxa"/>
            <w:left w:w="15" w:type="dxa"/>
            <w:bottom w:w="15" w:type="dxa"/>
            <w:right w:w="15" w:type="dxa"/>
          </w:tblCellMar>
        </w:tblPrEx>
        <w:trPr>
          <w:trHeight w:val="419" w:hRule="atLeast"/>
        </w:trPr>
        <w:tc>
          <w:tcPr>
            <w:tcW w:w="25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sz w:val="20"/>
              </w:rPr>
              <w:t>收入</w:t>
            </w:r>
          </w:p>
        </w:tc>
        <w:tc>
          <w:tcPr>
            <w:tcW w:w="623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sz w:val="20"/>
              </w:rPr>
              <w:t>支出</w:t>
            </w:r>
          </w:p>
        </w:tc>
      </w:tr>
      <w:tr>
        <w:tblPrEx>
          <w:tblCellMar>
            <w:top w:w="15" w:type="dxa"/>
            <w:left w:w="15" w:type="dxa"/>
            <w:bottom w:w="15" w:type="dxa"/>
            <w:right w:w="15" w:type="dxa"/>
          </w:tblCellMar>
        </w:tblPrEx>
        <w:trPr>
          <w:trHeight w:val="1164"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项    目</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决算数</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项目</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合计</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一般公共预算财政拨款</w:t>
            </w:r>
          </w:p>
        </w:tc>
        <w:tc>
          <w:tcPr>
            <w:tcW w:w="8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政府性基金预算财政拨款</w:t>
            </w: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国有资本经营预算财政拨款</w:t>
            </w: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1、一般公共预算财政拨款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Arial"/>
                <w:color w:val="000000"/>
                <w:sz w:val="18"/>
                <w:szCs w:val="18"/>
              </w:rPr>
              <w:t>644.06</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1、一般公共服务支出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ascii="仿宋" w:hAnsi="仿宋" w:eastAsia="仿宋" w:cs="宋体"/>
                <w:color w:val="000000"/>
                <w:sz w:val="20"/>
              </w:rPr>
              <w:t>602.5</w:t>
            </w:r>
            <w:r>
              <w:rPr>
                <w:rFonts w:hint="eastAsia" w:ascii="仿宋" w:hAnsi="仿宋" w:eastAsia="仿宋" w:cs="宋体"/>
                <w:color w:val="000000"/>
                <w:sz w:val="20"/>
              </w:rPr>
              <w:t>3</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ascii="仿宋" w:hAnsi="仿宋" w:eastAsia="仿宋" w:cs="宋体"/>
                <w:color w:val="000000"/>
                <w:sz w:val="20"/>
              </w:rPr>
              <w:t>602.5</w:t>
            </w:r>
            <w:r>
              <w:rPr>
                <w:rFonts w:hint="eastAsia" w:ascii="仿宋" w:hAnsi="仿宋" w:eastAsia="仿宋" w:cs="宋体"/>
                <w:color w:val="000000"/>
                <w:sz w:val="20"/>
              </w:rPr>
              <w:t>3</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2、政府性基金预算财政拨款</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2、外交支出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756"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sz w:val="20"/>
              </w:rPr>
              <w:t>3、国有资本经营预算收入</w:t>
            </w: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3、国防支出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bottom"/>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4、公共安全支出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5、教育支出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6、科学技术支出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7、</w:t>
            </w:r>
            <w:r>
              <w:rPr>
                <w:rFonts w:hint="eastAsia" w:ascii="仿宋" w:hAnsi="仿宋" w:eastAsia="仿宋" w:cs="宋体"/>
                <w:color w:val="000000"/>
                <w:spacing w:val="-11"/>
                <w:w w:val="98"/>
                <w:kern w:val="0"/>
                <w:sz w:val="20"/>
              </w:rPr>
              <w:t>文化旅游体育与传媒支出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8、社会保障和就业支出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ascii="仿宋" w:hAnsi="仿宋" w:eastAsia="仿宋" w:cs="宋体"/>
                <w:color w:val="000000"/>
                <w:sz w:val="20"/>
              </w:rPr>
              <w:t>33.17</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ascii="仿宋" w:hAnsi="仿宋" w:eastAsia="仿宋" w:cs="宋体"/>
                <w:color w:val="000000"/>
                <w:sz w:val="20"/>
              </w:rPr>
              <w:t>33.17</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9、卫生健康支出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ascii="仿宋" w:hAnsi="仿宋" w:eastAsia="仿宋" w:cs="宋体"/>
                <w:color w:val="000000"/>
                <w:sz w:val="20"/>
              </w:rPr>
              <w:t>8.36</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ascii="仿宋" w:hAnsi="仿宋" w:eastAsia="仿宋" w:cs="宋体"/>
                <w:color w:val="000000"/>
                <w:sz w:val="20"/>
              </w:rPr>
              <w:t>8.36</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10、节能环保支出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11、城乡社区支出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12、农林水支出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13、交通运输支出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14、资源勘探信息等支出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15、商业服务业等支出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16、金融支出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17、援助其他地区支出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18、</w:t>
            </w:r>
            <w:r>
              <w:rPr>
                <w:rFonts w:hint="eastAsia" w:ascii="仿宋" w:hAnsi="仿宋" w:eastAsia="仿宋" w:cs="宋体"/>
                <w:color w:val="000000"/>
                <w:spacing w:val="-11"/>
                <w:w w:val="98"/>
                <w:kern w:val="0"/>
                <w:sz w:val="20"/>
              </w:rPr>
              <w:t>自然资源海洋气象等支出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19、住房保障支出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19"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20、粮油物资储备支出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kern w:val="0"/>
                <w:sz w:val="20"/>
              </w:rPr>
            </w:pPr>
            <w:r>
              <w:rPr>
                <w:rFonts w:hint="eastAsia" w:ascii="仿宋" w:hAnsi="仿宋" w:eastAsia="仿宋" w:cs="宋体"/>
                <w:color w:val="000000"/>
                <w:kern w:val="0"/>
                <w:sz w:val="20"/>
              </w:rPr>
              <w:t>21、国有资本经营预算支出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602"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sz w:val="20"/>
              </w:rPr>
            </w:pPr>
            <w:r>
              <w:rPr>
                <w:rFonts w:hint="eastAsia" w:ascii="仿宋" w:hAnsi="仿宋" w:eastAsia="仿宋" w:cs="宋体"/>
                <w:color w:val="000000"/>
                <w:kern w:val="0"/>
                <w:sz w:val="20"/>
              </w:rPr>
              <w:t>22、灾害防治及应急管理支出</w:t>
            </w:r>
          </w:p>
        </w:tc>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887"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kern w:val="0"/>
                <w:sz w:val="20"/>
              </w:rPr>
            </w:pPr>
            <w:r>
              <w:rPr>
                <w:rFonts w:hint="eastAsia" w:ascii="仿宋" w:hAnsi="仿宋" w:eastAsia="仿宋" w:cs="宋体"/>
                <w:color w:val="000000"/>
                <w:kern w:val="0"/>
                <w:sz w:val="20"/>
              </w:rPr>
              <w:t>23、其他支出</w:t>
            </w:r>
          </w:p>
        </w:tc>
        <w:tc>
          <w:tcPr>
            <w:tcW w:w="1023" w:type="dxa"/>
            <w:tcBorders>
              <w:top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bottom w:val="single" w:color="000000" w:sz="4" w:space="0"/>
              <w:right w:val="single" w:color="000000" w:sz="4" w:space="0"/>
            </w:tcBorders>
            <w:vAlign w:val="center"/>
          </w:tcPr>
          <w:p>
            <w:pPr>
              <w:rPr>
                <w:rFonts w:ascii="仿宋" w:hAnsi="仿宋" w:eastAsia="仿宋" w:cs="宋体"/>
                <w:b/>
                <w:color w:val="000000"/>
                <w:sz w:val="20"/>
              </w:rPr>
            </w:pPr>
          </w:p>
        </w:tc>
        <w:tc>
          <w:tcPr>
            <w:tcW w:w="887" w:type="dxa"/>
            <w:tcBorders>
              <w:top w:val="single" w:color="000000" w:sz="4" w:space="0"/>
              <w:bottom w:val="single" w:color="000000" w:sz="4" w:space="0"/>
              <w:right w:val="single" w:color="000000" w:sz="4" w:space="0"/>
            </w:tcBorders>
            <w:vAlign w:val="center"/>
          </w:tcPr>
          <w:p>
            <w:pPr>
              <w:rPr>
                <w:rFonts w:ascii="仿宋" w:hAnsi="仿宋" w:eastAsia="仿宋" w:cs="宋体"/>
                <w:b/>
                <w:color w:val="000000"/>
                <w:sz w:val="20"/>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kern w:val="0"/>
                <w:sz w:val="20"/>
              </w:rPr>
            </w:pPr>
            <w:r>
              <w:rPr>
                <w:rFonts w:hint="eastAsia" w:ascii="仿宋" w:hAnsi="仿宋" w:eastAsia="仿宋" w:cs="宋体"/>
                <w:color w:val="000000"/>
                <w:kern w:val="0"/>
                <w:sz w:val="20"/>
              </w:rPr>
              <w:t>24、债务还本支出</w:t>
            </w:r>
          </w:p>
        </w:tc>
        <w:tc>
          <w:tcPr>
            <w:tcW w:w="1023" w:type="dxa"/>
            <w:tcBorders>
              <w:top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bottom w:val="single" w:color="000000" w:sz="4" w:space="0"/>
              <w:right w:val="single" w:color="000000" w:sz="4" w:space="0"/>
            </w:tcBorders>
            <w:vAlign w:val="center"/>
          </w:tcPr>
          <w:p>
            <w:pPr>
              <w:rPr>
                <w:rFonts w:ascii="仿宋" w:hAnsi="仿宋" w:eastAsia="仿宋" w:cs="宋体"/>
                <w:b/>
                <w:color w:val="000000"/>
                <w:sz w:val="20"/>
              </w:rPr>
            </w:pPr>
          </w:p>
        </w:tc>
        <w:tc>
          <w:tcPr>
            <w:tcW w:w="887" w:type="dxa"/>
            <w:tcBorders>
              <w:top w:val="single" w:color="000000" w:sz="4" w:space="0"/>
              <w:bottom w:val="single" w:color="000000" w:sz="4" w:space="0"/>
              <w:right w:val="single" w:color="000000" w:sz="4" w:space="0"/>
            </w:tcBorders>
            <w:vAlign w:val="center"/>
          </w:tcPr>
          <w:p>
            <w:pPr>
              <w:rPr>
                <w:rFonts w:ascii="仿宋" w:hAnsi="仿宋" w:eastAsia="仿宋" w:cs="宋体"/>
                <w:b/>
                <w:color w:val="000000"/>
                <w:sz w:val="20"/>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kern w:val="0"/>
                <w:sz w:val="20"/>
              </w:rPr>
            </w:pPr>
            <w:r>
              <w:rPr>
                <w:rFonts w:hint="eastAsia" w:ascii="仿宋" w:hAnsi="仿宋" w:eastAsia="仿宋" w:cs="宋体"/>
                <w:color w:val="000000"/>
                <w:kern w:val="0"/>
                <w:sz w:val="20"/>
              </w:rPr>
              <w:t>25、债务付息支出</w:t>
            </w:r>
          </w:p>
        </w:tc>
        <w:tc>
          <w:tcPr>
            <w:tcW w:w="1023" w:type="dxa"/>
            <w:tcBorders>
              <w:top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bottom w:val="single" w:color="000000" w:sz="4" w:space="0"/>
              <w:right w:val="single" w:color="000000" w:sz="4" w:space="0"/>
            </w:tcBorders>
            <w:vAlign w:val="center"/>
          </w:tcPr>
          <w:p>
            <w:pPr>
              <w:rPr>
                <w:rFonts w:ascii="仿宋" w:hAnsi="仿宋" w:eastAsia="仿宋" w:cs="宋体"/>
                <w:b/>
                <w:color w:val="000000"/>
                <w:sz w:val="20"/>
              </w:rPr>
            </w:pPr>
          </w:p>
        </w:tc>
        <w:tc>
          <w:tcPr>
            <w:tcW w:w="887" w:type="dxa"/>
            <w:tcBorders>
              <w:top w:val="single" w:color="000000" w:sz="4" w:space="0"/>
              <w:bottom w:val="single" w:color="000000" w:sz="4" w:space="0"/>
              <w:right w:val="single" w:color="000000" w:sz="4" w:space="0"/>
            </w:tcBorders>
            <w:vAlign w:val="center"/>
          </w:tcPr>
          <w:p>
            <w:pPr>
              <w:rPr>
                <w:rFonts w:ascii="仿宋" w:hAnsi="仿宋" w:eastAsia="仿宋" w:cs="宋体"/>
                <w:b/>
                <w:color w:val="000000"/>
                <w:sz w:val="20"/>
              </w:rPr>
            </w:pPr>
          </w:p>
        </w:tc>
      </w:tr>
      <w:tr>
        <w:tblPrEx>
          <w:tblCellMar>
            <w:top w:w="15" w:type="dxa"/>
            <w:left w:w="15" w:type="dxa"/>
            <w:bottom w:w="15" w:type="dxa"/>
            <w:right w:w="15" w:type="dxa"/>
          </w:tblCellMar>
        </w:tblPrEx>
        <w:trPr>
          <w:trHeight w:val="441" w:hRule="atLeast"/>
        </w:trPr>
        <w:tc>
          <w:tcPr>
            <w:tcW w:w="15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p>
        </w:tc>
        <w:tc>
          <w:tcPr>
            <w:tcW w:w="96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仿宋" w:hAnsi="仿宋" w:eastAsia="仿宋" w:cs="宋体"/>
                <w:color w:val="000000"/>
                <w:sz w:val="20"/>
              </w:rPr>
            </w:pPr>
          </w:p>
        </w:tc>
        <w:tc>
          <w:tcPr>
            <w:tcW w:w="24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宋体"/>
                <w:color w:val="000000"/>
                <w:kern w:val="0"/>
                <w:sz w:val="20"/>
              </w:rPr>
            </w:pPr>
            <w:r>
              <w:rPr>
                <w:rFonts w:hint="eastAsia" w:ascii="仿宋" w:hAnsi="仿宋" w:eastAsia="仿宋" w:cs="宋体"/>
                <w:color w:val="000000"/>
                <w:kern w:val="0"/>
                <w:sz w:val="20"/>
              </w:rPr>
              <w:t>26、抗疫特别国债安排支出</w:t>
            </w:r>
          </w:p>
        </w:tc>
        <w:tc>
          <w:tcPr>
            <w:tcW w:w="1023" w:type="dxa"/>
            <w:tcBorders>
              <w:top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994" w:type="dxa"/>
            <w:tcBorders>
              <w:top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color w:val="000000"/>
                <w:sz w:val="20"/>
              </w:rPr>
              <w:t>0.00</w:t>
            </w:r>
          </w:p>
        </w:tc>
        <w:tc>
          <w:tcPr>
            <w:tcW w:w="888" w:type="dxa"/>
            <w:tcBorders>
              <w:top w:val="single" w:color="000000" w:sz="4" w:space="0"/>
              <w:bottom w:val="single" w:color="000000" w:sz="4" w:space="0"/>
              <w:right w:val="single" w:color="000000" w:sz="4" w:space="0"/>
            </w:tcBorders>
            <w:vAlign w:val="center"/>
          </w:tcPr>
          <w:p>
            <w:pPr>
              <w:rPr>
                <w:rFonts w:ascii="仿宋" w:hAnsi="仿宋" w:eastAsia="仿宋" w:cs="宋体"/>
                <w:b/>
                <w:color w:val="000000"/>
                <w:sz w:val="20"/>
              </w:rPr>
            </w:pPr>
          </w:p>
        </w:tc>
        <w:tc>
          <w:tcPr>
            <w:tcW w:w="887" w:type="dxa"/>
            <w:tcBorders>
              <w:top w:val="single" w:color="000000" w:sz="4" w:space="0"/>
              <w:bottom w:val="single" w:color="000000" w:sz="4" w:space="0"/>
              <w:right w:val="single" w:color="000000" w:sz="4" w:space="0"/>
            </w:tcBorders>
            <w:vAlign w:val="center"/>
          </w:tcPr>
          <w:p>
            <w:pPr>
              <w:rPr>
                <w:rFonts w:ascii="仿宋" w:hAnsi="仿宋" w:eastAsia="仿宋" w:cs="宋体"/>
                <w:b/>
                <w:color w:val="000000"/>
                <w:sz w:val="20"/>
              </w:rPr>
            </w:pPr>
          </w:p>
        </w:tc>
      </w:tr>
    </w:tbl>
    <w:p>
      <w:pPr>
        <w:rPr>
          <w:rFonts w:ascii="仿宋" w:hAnsi="仿宋" w:eastAsia="仿宋"/>
          <w:sz w:val="20"/>
        </w:rPr>
      </w:pPr>
    </w:p>
    <w:p>
      <w:pPr>
        <w:rPr>
          <w:rFonts w:ascii="仿宋" w:hAnsi="仿宋" w:eastAsia="仿宋"/>
          <w:sz w:val="20"/>
        </w:rPr>
      </w:pPr>
    </w:p>
    <w:p>
      <w:pPr>
        <w:jc w:val="center"/>
        <w:rPr>
          <w:rFonts w:ascii="仿宋" w:hAnsi="仿宋" w:eastAsia="仿宋" w:cs="宋体"/>
          <w:b/>
          <w:bCs/>
          <w:sz w:val="20"/>
        </w:rPr>
      </w:pPr>
      <w:r>
        <w:rPr>
          <w:rFonts w:hint="eastAsia" w:ascii="仿宋" w:hAnsi="仿宋" w:eastAsia="仿宋" w:cs="宋体"/>
          <w:b/>
          <w:bCs/>
          <w:sz w:val="20"/>
        </w:rPr>
        <w:t xml:space="preserve">财政拨款收入支出决算总表 </w:t>
      </w:r>
    </w:p>
    <w:p>
      <w:pPr>
        <w:jc w:val="right"/>
        <w:rPr>
          <w:rFonts w:ascii="仿宋" w:hAnsi="仿宋" w:eastAsia="仿宋" w:cs="宋体"/>
          <w:b/>
          <w:bCs/>
          <w:sz w:val="20"/>
        </w:rPr>
      </w:pPr>
      <w:r>
        <w:rPr>
          <w:rFonts w:hint="eastAsia" w:ascii="仿宋" w:hAnsi="仿宋" w:eastAsia="仿宋" w:cs="宋体"/>
          <w:b/>
          <w:bCs/>
          <w:sz w:val="20"/>
        </w:rPr>
        <w:t xml:space="preserve"> 公开04表</w:t>
      </w:r>
    </w:p>
    <w:p>
      <w:pPr>
        <w:rPr>
          <w:rFonts w:ascii="仿宋" w:hAnsi="仿宋" w:eastAsia="仿宋" w:cs="宋体"/>
          <w:b/>
          <w:bCs/>
          <w:sz w:val="20"/>
        </w:rPr>
      </w:pPr>
      <w:r>
        <w:rPr>
          <w:rFonts w:hint="eastAsia" w:ascii="仿宋" w:hAnsi="仿宋" w:eastAsia="仿宋" w:cs="宋体"/>
          <w:b/>
          <w:bCs/>
          <w:sz w:val="20"/>
        </w:rPr>
        <w:t>编制部门： 西安市阎良区人民政府办公室                             金额单位：万元</w:t>
      </w:r>
    </w:p>
    <w:tbl>
      <w:tblPr>
        <w:tblStyle w:val="7"/>
        <w:tblW w:w="8426" w:type="dxa"/>
        <w:tblInd w:w="0" w:type="dxa"/>
        <w:tblLayout w:type="fixed"/>
        <w:tblCellMar>
          <w:top w:w="15" w:type="dxa"/>
          <w:left w:w="15" w:type="dxa"/>
          <w:bottom w:w="15" w:type="dxa"/>
          <w:right w:w="15" w:type="dxa"/>
        </w:tblCellMar>
      </w:tblPr>
      <w:tblGrid>
        <w:gridCol w:w="1681"/>
        <w:gridCol w:w="1304"/>
        <w:gridCol w:w="1523"/>
        <w:gridCol w:w="1032"/>
        <w:gridCol w:w="890"/>
        <w:gridCol w:w="1005"/>
        <w:gridCol w:w="991"/>
      </w:tblGrid>
      <w:tr>
        <w:tblPrEx>
          <w:tblCellMar>
            <w:top w:w="15" w:type="dxa"/>
            <w:left w:w="15" w:type="dxa"/>
            <w:bottom w:w="15" w:type="dxa"/>
            <w:right w:w="15" w:type="dxa"/>
          </w:tblCellMar>
        </w:tblPrEx>
        <w:trPr>
          <w:trHeight w:val="578" w:hRule="atLeast"/>
        </w:trPr>
        <w:tc>
          <w:tcPr>
            <w:tcW w:w="298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sz w:val="20"/>
              </w:rPr>
              <w:t>收入</w:t>
            </w:r>
          </w:p>
        </w:tc>
        <w:tc>
          <w:tcPr>
            <w:tcW w:w="5441"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sz w:val="20"/>
              </w:rPr>
              <w:t>支出</w:t>
            </w:r>
          </w:p>
        </w:tc>
      </w:tr>
      <w:tr>
        <w:tblPrEx>
          <w:tblCellMar>
            <w:top w:w="15" w:type="dxa"/>
            <w:left w:w="15" w:type="dxa"/>
            <w:bottom w:w="15" w:type="dxa"/>
            <w:right w:w="15" w:type="dxa"/>
          </w:tblCellMar>
        </w:tblPrEx>
        <w:trPr>
          <w:trHeight w:val="999"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项    目</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决算数</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项目</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合计</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一般公共预算财政拨款</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政府性基金预算财政拨款</w:t>
            </w: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国有资本经营预算财政拨款</w:t>
            </w:r>
          </w:p>
        </w:tc>
      </w:tr>
      <w:tr>
        <w:tblPrEx>
          <w:tblCellMar>
            <w:top w:w="15" w:type="dxa"/>
            <w:left w:w="15" w:type="dxa"/>
            <w:bottom w:w="15" w:type="dxa"/>
            <w:right w:w="15" w:type="dxa"/>
          </w:tblCellMar>
        </w:tblPrEx>
        <w:trPr>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本年收入合计</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Arial"/>
                <w:color w:val="000000"/>
                <w:sz w:val="18"/>
                <w:szCs w:val="18"/>
              </w:rPr>
              <w:t>644.06</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本年支出合计</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Arial"/>
                <w:color w:val="000000"/>
                <w:sz w:val="18"/>
                <w:szCs w:val="18"/>
              </w:rPr>
              <w:t>644.06</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Arial"/>
                <w:color w:val="000000"/>
                <w:sz w:val="18"/>
                <w:szCs w:val="18"/>
              </w:rPr>
              <w:t>644.06</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r>
      <w:tr>
        <w:tblPrEx>
          <w:tblCellMar>
            <w:top w:w="15" w:type="dxa"/>
            <w:left w:w="15" w:type="dxa"/>
            <w:bottom w:w="15" w:type="dxa"/>
            <w:right w:w="15" w:type="dxa"/>
          </w:tblCellMar>
        </w:tblPrEx>
        <w:trPr>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 w:val="20"/>
              </w:rPr>
            </w:pPr>
            <w:r>
              <w:rPr>
                <w:rFonts w:hint="eastAsia" w:ascii="仿宋" w:hAnsi="仿宋" w:eastAsia="仿宋" w:cs="宋体"/>
                <w:color w:val="000000"/>
                <w:kern w:val="0"/>
                <w:sz w:val="20"/>
              </w:rPr>
              <w:t>年初财政拨款结转和结余</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kern w:val="0"/>
                <w:sz w:val="20"/>
              </w:rPr>
            </w:pPr>
            <w:r>
              <w:rPr>
                <w:rFonts w:hint="eastAsia" w:ascii="仿宋" w:hAnsi="仿宋" w:eastAsia="仿宋" w:cs="宋体"/>
                <w:b/>
                <w:color w:val="000000"/>
                <w:kern w:val="0"/>
                <w:sz w:val="20"/>
              </w:rPr>
              <w:t>0.00</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kern w:val="0"/>
                <w:sz w:val="20"/>
              </w:rPr>
            </w:pPr>
            <w:r>
              <w:rPr>
                <w:rFonts w:hint="eastAsia" w:ascii="仿宋" w:hAnsi="仿宋" w:eastAsia="仿宋" w:cs="宋体"/>
                <w:color w:val="000000"/>
                <w:kern w:val="0"/>
                <w:sz w:val="20"/>
              </w:rPr>
              <w:t>年末财政拨款</w:t>
            </w:r>
          </w:p>
          <w:p>
            <w:pPr>
              <w:widowControl/>
              <w:jc w:val="center"/>
              <w:textAlignment w:val="center"/>
              <w:rPr>
                <w:rFonts w:ascii="仿宋" w:hAnsi="仿宋" w:eastAsia="仿宋" w:cs="宋体"/>
                <w:b/>
                <w:color w:val="000000"/>
                <w:kern w:val="0"/>
                <w:sz w:val="20"/>
              </w:rPr>
            </w:pPr>
            <w:r>
              <w:rPr>
                <w:rFonts w:hint="eastAsia" w:ascii="仿宋" w:hAnsi="仿宋" w:eastAsia="仿宋" w:cs="宋体"/>
                <w:color w:val="000000"/>
                <w:kern w:val="0"/>
                <w:sz w:val="20"/>
              </w:rPr>
              <w:t>结转和结余</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0.00</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0.00</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r>
      <w:tr>
        <w:tblPrEx>
          <w:tblCellMar>
            <w:top w:w="15" w:type="dxa"/>
            <w:left w:w="15" w:type="dxa"/>
            <w:bottom w:w="15" w:type="dxa"/>
            <w:right w:w="15" w:type="dxa"/>
          </w:tblCellMar>
        </w:tblPrEx>
        <w:trPr>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color w:val="000000"/>
                <w:kern w:val="0"/>
                <w:sz w:val="20"/>
              </w:rPr>
              <w:t>一般公共预算财政拨款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Arial"/>
                <w:color w:val="000000"/>
                <w:sz w:val="18"/>
                <w:szCs w:val="18"/>
              </w:rPr>
              <w:t>644.06</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r>
      <w:tr>
        <w:tblPrEx>
          <w:tblCellMar>
            <w:top w:w="15" w:type="dxa"/>
            <w:left w:w="15" w:type="dxa"/>
            <w:bottom w:w="15" w:type="dxa"/>
            <w:right w:w="15" w:type="dxa"/>
          </w:tblCellMar>
        </w:tblPrEx>
        <w:trPr>
          <w:trHeight w:val="771"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color w:val="000000"/>
                <w:kern w:val="0"/>
                <w:sz w:val="20"/>
              </w:rPr>
              <w:t>政府性基金预算财政拨款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0.00</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r>
      <w:tr>
        <w:tblPrEx>
          <w:tblCellMar>
            <w:top w:w="15" w:type="dxa"/>
            <w:left w:w="15" w:type="dxa"/>
            <w:bottom w:w="15" w:type="dxa"/>
            <w:right w:w="15" w:type="dxa"/>
          </w:tblCellMar>
        </w:tblPrEx>
        <w:trPr>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Cs/>
                <w:color w:val="000000"/>
                <w:kern w:val="0"/>
                <w:sz w:val="20"/>
              </w:rPr>
              <w:t>国有资本经营财政拨款</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kern w:val="0"/>
                <w:sz w:val="20"/>
              </w:rPr>
            </w:pPr>
            <w:r>
              <w:rPr>
                <w:rFonts w:hint="eastAsia" w:ascii="仿宋" w:hAnsi="仿宋" w:eastAsia="仿宋" w:cs="宋体"/>
                <w:b/>
                <w:color w:val="000000"/>
                <w:kern w:val="0"/>
                <w:sz w:val="20"/>
              </w:rPr>
              <w:t>0.00</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r>
      <w:tr>
        <w:tblPrEx>
          <w:tblCellMar>
            <w:top w:w="15" w:type="dxa"/>
            <w:left w:w="15" w:type="dxa"/>
            <w:bottom w:w="15" w:type="dxa"/>
            <w:right w:w="15" w:type="dxa"/>
          </w:tblCellMar>
        </w:tblPrEx>
        <w:trPr>
          <w:trHeight w:val="562" w:hRule="atLeast"/>
        </w:trPr>
        <w:tc>
          <w:tcPr>
            <w:tcW w:w="16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收入总计</w:t>
            </w:r>
          </w:p>
        </w:tc>
        <w:tc>
          <w:tcPr>
            <w:tcW w:w="130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kern w:val="0"/>
                <w:sz w:val="20"/>
              </w:rPr>
            </w:pPr>
            <w:r>
              <w:rPr>
                <w:rFonts w:hint="eastAsia" w:ascii="仿宋" w:hAnsi="仿宋" w:eastAsia="仿宋" w:cs="Arial"/>
                <w:color w:val="000000"/>
                <w:sz w:val="18"/>
                <w:szCs w:val="18"/>
              </w:rPr>
              <w:t>644.06</w:t>
            </w:r>
          </w:p>
        </w:tc>
        <w:tc>
          <w:tcPr>
            <w:tcW w:w="15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支出总计</w:t>
            </w:r>
          </w:p>
        </w:tc>
        <w:tc>
          <w:tcPr>
            <w:tcW w:w="10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Arial"/>
                <w:color w:val="000000"/>
                <w:sz w:val="18"/>
                <w:szCs w:val="18"/>
              </w:rPr>
              <w:t>644.06</w:t>
            </w:r>
          </w:p>
        </w:tc>
        <w:tc>
          <w:tcPr>
            <w:tcW w:w="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Arial"/>
                <w:color w:val="000000"/>
                <w:sz w:val="18"/>
                <w:szCs w:val="18"/>
              </w:rPr>
              <w:t>644.06</w:t>
            </w:r>
          </w:p>
        </w:tc>
        <w:tc>
          <w:tcPr>
            <w:tcW w:w="10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p>
        </w:tc>
      </w:tr>
    </w:tbl>
    <w:p>
      <w:pPr>
        <w:rPr>
          <w:rFonts w:ascii="仿宋" w:hAnsi="仿宋" w:eastAsia="仿宋" w:cs="宋体"/>
          <w:sz w:val="20"/>
        </w:rPr>
      </w:pPr>
    </w:p>
    <w:p>
      <w:pPr>
        <w:widowControl/>
        <w:ind w:left="200" w:hanging="200" w:hangingChars="100"/>
        <w:jc w:val="left"/>
        <w:rPr>
          <w:rFonts w:ascii="仿宋" w:hAnsi="仿宋" w:eastAsia="仿宋" w:cs="黑体"/>
          <w:sz w:val="20"/>
        </w:rPr>
      </w:pPr>
      <w:r>
        <w:rPr>
          <w:rFonts w:hint="eastAsia" w:ascii="仿宋" w:hAnsi="仿宋" w:eastAsia="仿宋" w:cs="宋体"/>
          <w:sz w:val="20"/>
        </w:rPr>
        <w:t>注：本表反映部门本年度一般公共预算财政拨款和政府性基金预算财政拨款的总收支和年末结转结余情况。</w:t>
      </w:r>
      <w:r>
        <w:rPr>
          <w:rFonts w:hint="eastAsia" w:ascii="仿宋" w:hAnsi="仿宋" w:eastAsia="仿宋" w:cs="宋体"/>
          <w:color w:val="000000"/>
          <w:kern w:val="0"/>
          <w:sz w:val="20"/>
        </w:rPr>
        <w:t>本表金额转换为万元时，因四舍五入可能存在尾差。</w:t>
      </w:r>
    </w:p>
    <w:p>
      <w:pPr>
        <w:rPr>
          <w:rFonts w:ascii="仿宋" w:hAnsi="仿宋" w:eastAsia="仿宋" w:cs="仿宋_GB2312"/>
          <w:sz w:val="20"/>
        </w:rPr>
      </w:pPr>
    </w:p>
    <w:p>
      <w:pPr>
        <w:rPr>
          <w:rFonts w:ascii="仿宋" w:hAnsi="仿宋" w:eastAsia="仿宋"/>
          <w:sz w:val="20"/>
        </w:rPr>
      </w:pPr>
    </w:p>
    <w:p>
      <w:pPr>
        <w:rPr>
          <w:rFonts w:ascii="仿宋" w:hAnsi="仿宋" w:eastAsia="仿宋"/>
          <w:sz w:val="20"/>
        </w:rPr>
      </w:pPr>
    </w:p>
    <w:p>
      <w:pPr>
        <w:rPr>
          <w:rFonts w:ascii="仿宋" w:hAnsi="仿宋" w:eastAsia="仿宋"/>
          <w:sz w:val="20"/>
        </w:rPr>
      </w:pPr>
    </w:p>
    <w:p>
      <w:pPr>
        <w:rPr>
          <w:rFonts w:ascii="仿宋" w:hAnsi="仿宋" w:eastAsia="仿宋"/>
          <w:sz w:val="20"/>
        </w:rPr>
      </w:pPr>
    </w:p>
    <w:p>
      <w:pPr>
        <w:rPr>
          <w:rFonts w:ascii="仿宋" w:hAnsi="仿宋" w:eastAsia="仿宋"/>
          <w:sz w:val="20"/>
        </w:rPr>
      </w:pPr>
    </w:p>
    <w:p>
      <w:pPr>
        <w:rPr>
          <w:rFonts w:ascii="仿宋" w:hAnsi="仿宋" w:eastAsia="仿宋"/>
          <w:sz w:val="20"/>
        </w:rPr>
      </w:pPr>
    </w:p>
    <w:p>
      <w:pPr>
        <w:rPr>
          <w:rFonts w:ascii="仿宋" w:hAnsi="仿宋" w:eastAsia="仿宋"/>
          <w:sz w:val="20"/>
        </w:rPr>
      </w:pPr>
    </w:p>
    <w:p>
      <w:pPr>
        <w:jc w:val="center"/>
        <w:rPr>
          <w:rFonts w:ascii="仿宋" w:hAnsi="仿宋" w:eastAsia="仿宋" w:cs="宋体"/>
          <w:b/>
          <w:bCs/>
          <w:sz w:val="20"/>
          <w:highlight w:val="yellow"/>
        </w:rPr>
      </w:pPr>
      <w:r>
        <w:rPr>
          <w:rFonts w:hint="eastAsia" w:ascii="仿宋" w:hAnsi="仿宋" w:eastAsia="仿宋" w:cs="宋体"/>
          <w:b/>
          <w:bCs/>
          <w:sz w:val="20"/>
        </w:rPr>
        <w:t>一般公共预算财政拨款支出决算表（按功能分类科目）</w:t>
      </w:r>
    </w:p>
    <w:p>
      <w:pPr>
        <w:rPr>
          <w:rFonts w:ascii="仿宋" w:hAnsi="仿宋" w:eastAsia="仿宋" w:cs="宋体"/>
          <w:b/>
          <w:bCs/>
          <w:sz w:val="20"/>
        </w:rPr>
      </w:pPr>
      <w:r>
        <w:rPr>
          <w:rFonts w:hint="eastAsia" w:ascii="仿宋" w:hAnsi="仿宋" w:eastAsia="仿宋" w:cs="宋体"/>
          <w:b/>
          <w:bCs/>
          <w:sz w:val="20"/>
        </w:rPr>
        <w:t xml:space="preserve">                                                                      公开05表</w:t>
      </w:r>
    </w:p>
    <w:p>
      <w:pPr>
        <w:rPr>
          <w:rFonts w:ascii="仿宋" w:hAnsi="仿宋" w:eastAsia="仿宋" w:cs="宋体"/>
          <w:b/>
          <w:bCs/>
          <w:sz w:val="20"/>
        </w:rPr>
      </w:pPr>
      <w:r>
        <w:rPr>
          <w:rFonts w:hint="eastAsia" w:ascii="仿宋" w:hAnsi="仿宋" w:eastAsia="仿宋" w:cs="宋体"/>
          <w:b/>
          <w:bCs/>
          <w:sz w:val="20"/>
        </w:rPr>
        <w:t>编制部门：西安市阎良区人民政府办公室                                金额单位：万元</w:t>
      </w:r>
    </w:p>
    <w:tbl>
      <w:tblPr>
        <w:tblStyle w:val="7"/>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color w:val="000000"/>
                <w:sz w:val="20"/>
              </w:rPr>
            </w:pPr>
            <w:r>
              <w:rPr>
                <w:rFonts w:hint="eastAsia" w:ascii="仿宋" w:hAnsi="仿宋" w:eastAsia="仿宋" w:cs="宋体"/>
                <w:b/>
                <w:bCs/>
                <w:color w:val="000000"/>
                <w:kern w:val="0"/>
                <w:sz w:val="20"/>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644.06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484.06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450.29</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33.77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160.00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644.06</w:t>
            </w: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201</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一般公共服务支出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602.53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442.53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408.76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33.77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160.00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602.53</w:t>
            </w: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20103</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政府办公厅（室）及相关机构事务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602.53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442.53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408.76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33.77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160.00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602.53</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ind w:left="400" w:hanging="400" w:hangingChars="200"/>
              <w:textAlignment w:val="center"/>
              <w:rPr>
                <w:rFonts w:ascii="仿宋" w:hAnsi="仿宋" w:eastAsia="仿宋" w:cs="宋体"/>
                <w:color w:val="000000"/>
                <w:sz w:val="20"/>
              </w:rPr>
            </w:pPr>
            <w:r>
              <w:rPr>
                <w:rFonts w:hint="eastAsia" w:ascii="仿宋" w:hAnsi="仿宋" w:eastAsia="仿宋" w:cs="宋体"/>
                <w:color w:val="000000"/>
                <w:kern w:val="0"/>
                <w:sz w:val="20"/>
              </w:rPr>
              <w:t>2010301</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 xml:space="preserve">  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380.03</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380.03</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346.26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33.77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380.03</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宋体"/>
                <w:color w:val="000000"/>
                <w:sz w:val="20"/>
              </w:rPr>
            </w:pPr>
            <w:r>
              <w:rPr>
                <w:rFonts w:hint="eastAsia" w:ascii="仿宋" w:hAnsi="仿宋" w:eastAsia="仿宋" w:cs="宋体"/>
                <w:color w:val="000000"/>
                <w:kern w:val="0"/>
                <w:sz w:val="20"/>
              </w:rPr>
              <w:t xml:space="preserve">       210350</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 xml:space="preserve">  事业运行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62.50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62.50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62.50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62.50</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r>
              <w:rPr>
                <w:rFonts w:hint="eastAsia" w:ascii="仿宋" w:hAnsi="仿宋" w:eastAsia="仿宋" w:cs="宋体"/>
                <w:color w:val="000000"/>
                <w:sz w:val="20"/>
              </w:rPr>
              <w:t>2010399</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 xml:space="preserve">  其他政府办公厅（室）及相关机构事务支出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160.00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160.00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160.00</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r>
              <w:rPr>
                <w:rFonts w:hint="eastAsia" w:ascii="仿宋" w:hAnsi="仿宋" w:eastAsia="仿宋" w:cs="宋体"/>
                <w:color w:val="000000"/>
                <w:sz w:val="20"/>
              </w:rPr>
              <w:t>208</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社会保障和就业支出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r>
              <w:rPr>
                <w:rFonts w:hint="eastAsia" w:ascii="仿宋" w:hAnsi="仿宋" w:eastAsia="仿宋" w:cs="宋体"/>
                <w:color w:val="000000"/>
                <w:sz w:val="20"/>
              </w:rPr>
              <w:t>20805</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行政事业单位养老支出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r>
              <w:rPr>
                <w:rFonts w:hint="eastAsia" w:ascii="仿宋" w:hAnsi="仿宋" w:eastAsia="仿宋" w:cs="宋体"/>
                <w:color w:val="000000"/>
                <w:sz w:val="20"/>
              </w:rPr>
              <w:t>2080505</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 xml:space="preserve">  机关事业单位基本养老保险缴费支出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r>
              <w:rPr>
                <w:rFonts w:hint="eastAsia" w:ascii="仿宋" w:hAnsi="仿宋" w:eastAsia="仿宋" w:cs="宋体"/>
                <w:color w:val="000000"/>
                <w:sz w:val="20"/>
              </w:rPr>
              <w:t>210</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卫生健康支出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r>
              <w:rPr>
                <w:rFonts w:hint="eastAsia" w:ascii="仿宋" w:hAnsi="仿宋" w:eastAsia="仿宋" w:cs="宋体"/>
                <w:color w:val="000000"/>
                <w:sz w:val="20"/>
              </w:rPr>
              <w:t>21011</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行政事业单位医疗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r>
              <w:rPr>
                <w:rFonts w:hint="eastAsia" w:ascii="仿宋" w:hAnsi="仿宋" w:eastAsia="仿宋" w:cs="宋体"/>
                <w:color w:val="000000"/>
                <w:sz w:val="20"/>
              </w:rPr>
              <w:t>2101101</w:t>
            </w:r>
          </w:p>
        </w:tc>
        <w:tc>
          <w:tcPr>
            <w:tcW w:w="1537"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 xml:space="preserve">  行政单位医疗</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r>
    </w:tbl>
    <w:p>
      <w:pPr>
        <w:widowControl/>
        <w:ind w:left="400" w:hanging="400" w:hangingChars="200"/>
        <w:jc w:val="left"/>
        <w:rPr>
          <w:rFonts w:ascii="仿宋" w:hAnsi="仿宋" w:eastAsia="仿宋" w:cs="黑体"/>
          <w:sz w:val="20"/>
        </w:rPr>
      </w:pPr>
      <w:r>
        <w:rPr>
          <w:rFonts w:hint="eastAsia" w:ascii="仿宋" w:hAnsi="仿宋" w:eastAsia="仿宋" w:cs="宋体"/>
          <w:sz w:val="20"/>
        </w:rPr>
        <w:t>注：本表反映部门本年度一般公共预算财政拨款实际支出情况。</w:t>
      </w:r>
      <w:r>
        <w:rPr>
          <w:rFonts w:hint="eastAsia" w:ascii="仿宋" w:hAnsi="仿宋" w:eastAsia="仿宋" w:cs="宋体"/>
          <w:color w:val="000000"/>
          <w:kern w:val="0"/>
          <w:sz w:val="20"/>
        </w:rPr>
        <w:t>本表金额转换为万元时，因四舍五入可能存在尾差。</w:t>
      </w:r>
    </w:p>
    <w:p>
      <w:pPr>
        <w:rPr>
          <w:rFonts w:ascii="仿宋" w:hAnsi="仿宋" w:eastAsia="仿宋"/>
          <w:sz w:val="20"/>
        </w:rPr>
      </w:pPr>
    </w:p>
    <w:p>
      <w:pPr>
        <w:rPr>
          <w:rFonts w:ascii="仿宋" w:hAnsi="仿宋" w:eastAsia="仿宋"/>
          <w:sz w:val="20"/>
        </w:rPr>
      </w:pPr>
    </w:p>
    <w:p>
      <w:pPr>
        <w:rPr>
          <w:rFonts w:ascii="仿宋" w:hAnsi="仿宋" w:eastAsia="仿宋"/>
          <w:sz w:val="20"/>
        </w:rPr>
      </w:pPr>
    </w:p>
    <w:p>
      <w:pPr>
        <w:rPr>
          <w:rFonts w:ascii="仿宋" w:hAnsi="仿宋" w:eastAsia="仿宋"/>
          <w:sz w:val="20"/>
        </w:rPr>
      </w:pPr>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r>
        <w:rPr>
          <w:rFonts w:hint="eastAsia" w:ascii="仿宋" w:hAnsi="仿宋" w:eastAsia="仿宋" w:cs="宋体"/>
          <w:b/>
          <w:bCs/>
          <w:sz w:val="20"/>
        </w:rPr>
        <w:t>一般公共预算财政拨款基本支出决算表（按经济分类科目）</w:t>
      </w:r>
    </w:p>
    <w:p>
      <w:pPr>
        <w:jc w:val="right"/>
        <w:rPr>
          <w:rFonts w:ascii="仿宋" w:hAnsi="仿宋" w:eastAsia="仿宋" w:cs="宋体"/>
          <w:b/>
          <w:bCs/>
          <w:sz w:val="20"/>
        </w:rPr>
      </w:pPr>
      <w:r>
        <w:rPr>
          <w:rFonts w:hint="eastAsia" w:ascii="仿宋" w:hAnsi="仿宋" w:eastAsia="仿宋" w:cs="宋体"/>
          <w:b/>
          <w:bCs/>
          <w:sz w:val="20"/>
        </w:rPr>
        <w:t>公开06表</w:t>
      </w:r>
    </w:p>
    <w:p>
      <w:pPr>
        <w:rPr>
          <w:rFonts w:ascii="仿宋" w:hAnsi="仿宋" w:eastAsia="仿宋" w:cs="宋体"/>
          <w:b/>
          <w:bCs/>
          <w:sz w:val="20"/>
        </w:rPr>
      </w:pPr>
      <w:r>
        <w:rPr>
          <w:rFonts w:hint="eastAsia" w:ascii="仿宋" w:hAnsi="仿宋" w:eastAsia="仿宋" w:cs="宋体"/>
          <w:b/>
          <w:bCs/>
          <w:sz w:val="20"/>
        </w:rPr>
        <w:t>编制部门：西安市阎良区人民政府办公室                                金额单位：万元</w:t>
      </w:r>
    </w:p>
    <w:tbl>
      <w:tblPr>
        <w:tblStyle w:val="7"/>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合计</w:t>
            </w:r>
          </w:p>
        </w:tc>
        <w:tc>
          <w:tcPr>
            <w:tcW w:w="1659" w:type="dxa"/>
            <w:tcBorders>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484.06</w:t>
            </w:r>
          </w:p>
        </w:tc>
        <w:tc>
          <w:tcPr>
            <w:tcW w:w="1437" w:type="dxa"/>
            <w:tcBorders>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450.29</w:t>
            </w:r>
          </w:p>
        </w:tc>
        <w:tc>
          <w:tcPr>
            <w:tcW w:w="1363" w:type="dxa"/>
            <w:tcBorders>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33.77</w:t>
            </w:r>
          </w:p>
        </w:tc>
        <w:tc>
          <w:tcPr>
            <w:tcW w:w="1155" w:type="dxa"/>
            <w:tcBorders>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Arial"/>
                <w:color w:val="000000"/>
                <w:sz w:val="18"/>
                <w:szCs w:val="18"/>
              </w:rPr>
            </w:pPr>
            <w:r>
              <w:rPr>
                <w:rFonts w:hint="eastAsia" w:ascii="仿宋" w:hAnsi="仿宋" w:eastAsia="仿宋" w:cs="Arial"/>
                <w:color w:val="000000"/>
                <w:sz w:val="18"/>
                <w:szCs w:val="18"/>
              </w:rPr>
              <w:t>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447.95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447.95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30101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103.52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103.52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30102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95.66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95.66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125.07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125.07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30106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伙食补助费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19.58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19.58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33.17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7.62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7.62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8.36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30111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公务员医疗补助缴费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30112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其他社会保障缴费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54.97</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54.97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30114</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医疗费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30199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其他工资福利支出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33.78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33.77</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30201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30202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印刷费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咨询费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30204</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手续费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30205</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30206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取暖费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30209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物业管理费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30211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1.02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1.02</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30212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因公出国（境）费用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维修(护)费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30214</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租赁费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30215</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会议费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30216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培训费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30217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公务接待费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30218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专用材料费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30224</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被装购置费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30225</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专用燃料费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30226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劳务费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30227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委托业务费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30228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7.00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7.00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30229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福利费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30231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公务用车运行维护费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14.46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14.46</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30239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11.30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11.30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30240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税金及附加费用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30299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其他商品和服务支出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对个人和家庭的补助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2.34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2.34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30301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离休费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30302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退休费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30303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退职（役）费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30304</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抚恤金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30305</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生活补助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2.34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2.34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30306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救济费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30307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医疗费补助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30308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助学金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30309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奖励金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30310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个人农业生产补贴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30311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代缴社会保险费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30399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其他对个人和家庭的补助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债务利息及费用支出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30701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国内债务付息</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30702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国外债务付息</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30703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国内债务发行费用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30704</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国外债务发行费用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资本性支出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31001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房屋建筑物购建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31002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办公设备购置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31003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专用设备购置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31005</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基础设施建设</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31006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大型修缮</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31007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信息网络及软件购置更新</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31008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物资储备</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31009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土地补偿</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31010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安置补助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31011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地上附着物和青苗补偿</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31012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拆迁补偿</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31013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公务用车购置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31019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其他交通工具购置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31021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文物和陈列品购置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31022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无形资产购置</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31099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其他资本性支出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312</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对企业补助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31201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资本金注入</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31203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政府投资基金股权投资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31204</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费用补贴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31205</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利息补贴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31299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其他对企业补助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399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其他支出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39906</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赠与</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39907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国家赔偿费用支出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39908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对民间非营利组织和群众性自治组织补贴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Arial"/>
                <w:color w:val="000000"/>
                <w:sz w:val="18"/>
                <w:szCs w:val="18"/>
              </w:rPr>
            </w:pPr>
            <w:r>
              <w:rPr>
                <w:rFonts w:hint="eastAsia" w:ascii="仿宋" w:hAnsi="仿宋" w:eastAsia="仿宋" w:cs="Arial"/>
                <w:color w:val="000000"/>
                <w:sz w:val="18"/>
                <w:szCs w:val="18"/>
              </w:rPr>
              <w:t>39999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其他支出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r>
              <w:rPr>
                <w:rFonts w:hint="eastAsia" w:ascii="仿宋" w:hAnsi="仿宋" w:eastAsia="仿宋" w:cs="Arial"/>
                <w:color w:val="000000"/>
                <w:sz w:val="18"/>
                <w:szCs w:val="18"/>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Arial"/>
                <w:color w:val="000000"/>
                <w:sz w:val="18"/>
                <w:szCs w:val="18"/>
              </w:rPr>
            </w:pPr>
          </w:p>
        </w:tc>
      </w:tr>
    </w:tbl>
    <w:p>
      <w:pPr>
        <w:widowControl/>
        <w:ind w:left="400" w:hanging="400" w:hangingChars="200"/>
        <w:jc w:val="left"/>
        <w:rPr>
          <w:rFonts w:ascii="仿宋" w:hAnsi="仿宋" w:eastAsia="仿宋" w:cs="黑体"/>
          <w:sz w:val="20"/>
        </w:rPr>
      </w:pPr>
      <w:r>
        <w:rPr>
          <w:rFonts w:hint="eastAsia" w:ascii="仿宋" w:hAnsi="仿宋" w:eastAsia="仿宋" w:cs="宋体"/>
          <w:sz w:val="20"/>
        </w:rPr>
        <w:t>注：本表反映部门本年度一般公共预算财政拨款基本支出明细情况。</w:t>
      </w:r>
      <w:r>
        <w:rPr>
          <w:rFonts w:hint="eastAsia" w:ascii="仿宋" w:hAnsi="仿宋" w:eastAsia="仿宋" w:cs="宋体"/>
          <w:color w:val="000000"/>
          <w:kern w:val="0"/>
          <w:sz w:val="20"/>
        </w:rPr>
        <w:t>本表金额转换为万元时，因四舍五入可能存在尾差。</w:t>
      </w:r>
    </w:p>
    <w:p>
      <w:pPr>
        <w:rPr>
          <w:rFonts w:ascii="仿宋" w:hAnsi="仿宋" w:eastAsia="仿宋"/>
          <w:sz w:val="20"/>
        </w:rPr>
      </w:pPr>
    </w:p>
    <w:p>
      <w:pPr>
        <w:rPr>
          <w:rFonts w:ascii="仿宋" w:hAnsi="仿宋" w:eastAsia="仿宋"/>
          <w:sz w:val="20"/>
        </w:rPr>
      </w:pPr>
    </w:p>
    <w:p>
      <w:pPr>
        <w:rPr>
          <w:rFonts w:ascii="仿宋" w:hAnsi="仿宋" w:eastAsia="仿宋"/>
          <w:sz w:val="20"/>
        </w:rPr>
      </w:pPr>
    </w:p>
    <w:p>
      <w:pPr>
        <w:rPr>
          <w:rFonts w:ascii="仿宋" w:hAnsi="仿宋" w:eastAsia="仿宋"/>
          <w:sz w:val="20"/>
        </w:rPr>
      </w:pPr>
    </w:p>
    <w:p>
      <w:pPr>
        <w:jc w:val="center"/>
        <w:rPr>
          <w:rFonts w:ascii="仿宋" w:hAnsi="仿宋" w:eastAsia="仿宋" w:cs="宋体"/>
          <w:b/>
          <w:bCs/>
          <w:sz w:val="20"/>
        </w:rPr>
      </w:pPr>
      <w:r>
        <w:rPr>
          <w:rFonts w:hint="eastAsia" w:ascii="仿宋" w:hAnsi="仿宋" w:eastAsia="仿宋" w:cs="宋体"/>
          <w:b/>
          <w:bCs/>
          <w:sz w:val="20"/>
        </w:rPr>
        <w:t>一般公共预算财政拨款“三公”经费</w:t>
      </w:r>
    </w:p>
    <w:p>
      <w:pPr>
        <w:spacing w:line="520" w:lineRule="exact"/>
        <w:jc w:val="center"/>
        <w:rPr>
          <w:rFonts w:ascii="仿宋" w:hAnsi="仿宋" w:eastAsia="仿宋" w:cs="宋体"/>
          <w:b/>
          <w:bCs/>
          <w:sz w:val="20"/>
        </w:rPr>
      </w:pPr>
      <w:r>
        <w:rPr>
          <w:rFonts w:hint="eastAsia" w:ascii="仿宋" w:hAnsi="仿宋" w:eastAsia="仿宋" w:cs="宋体"/>
          <w:b/>
          <w:bCs/>
          <w:sz w:val="20"/>
        </w:rPr>
        <w:t>及会议费、培训费支出决算表</w:t>
      </w:r>
    </w:p>
    <w:p>
      <w:pPr>
        <w:jc w:val="right"/>
        <w:rPr>
          <w:rFonts w:ascii="仿宋" w:hAnsi="仿宋" w:eastAsia="仿宋" w:cs="宋体"/>
          <w:b/>
          <w:bCs/>
          <w:sz w:val="20"/>
        </w:rPr>
      </w:pPr>
      <w:r>
        <w:rPr>
          <w:rFonts w:hint="eastAsia" w:ascii="仿宋" w:hAnsi="仿宋" w:eastAsia="仿宋" w:cs="宋体"/>
          <w:b/>
          <w:bCs/>
          <w:sz w:val="20"/>
        </w:rPr>
        <w:t xml:space="preserve">   公开07表</w:t>
      </w:r>
    </w:p>
    <w:p>
      <w:pPr>
        <w:rPr>
          <w:rFonts w:ascii="仿宋" w:hAnsi="仿宋" w:eastAsia="仿宋" w:cs="宋体"/>
          <w:b/>
          <w:bCs/>
          <w:sz w:val="20"/>
        </w:rPr>
      </w:pPr>
      <w:r>
        <w:rPr>
          <w:rFonts w:hint="eastAsia" w:ascii="仿宋" w:hAnsi="仿宋" w:eastAsia="仿宋" w:cs="宋体"/>
          <w:b/>
          <w:bCs/>
          <w:sz w:val="20"/>
        </w:rPr>
        <w:t>编制部门：西安市阎良区人民政府办公室                                 金额单位：万元</w:t>
      </w:r>
    </w:p>
    <w:tbl>
      <w:tblPr>
        <w:tblStyle w:val="7"/>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Cs/>
                <w:color w:val="000000"/>
                <w:sz w:val="20"/>
              </w:rPr>
            </w:pPr>
            <w:r>
              <w:rPr>
                <w:rFonts w:hint="eastAsia" w:ascii="仿宋" w:hAnsi="仿宋" w:eastAsia="仿宋" w:cs="宋体"/>
                <w:bCs/>
                <w:color w:val="000000"/>
                <w:kern w:val="0"/>
                <w:sz w:val="20"/>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Cs/>
                <w:color w:val="000000"/>
                <w:sz w:val="20"/>
              </w:rPr>
            </w:pPr>
            <w:r>
              <w:rPr>
                <w:rFonts w:hint="eastAsia" w:ascii="仿宋" w:hAnsi="仿宋" w:eastAsia="仿宋" w:cs="宋体"/>
                <w:bCs/>
                <w:color w:val="000000"/>
                <w:kern w:val="0"/>
                <w:sz w:val="20"/>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Cs/>
                <w:color w:val="000000"/>
                <w:sz w:val="20"/>
              </w:rPr>
            </w:pPr>
            <w:r>
              <w:rPr>
                <w:rFonts w:hint="eastAsia" w:ascii="仿宋" w:hAnsi="仿宋" w:eastAsia="仿宋" w:cs="宋体"/>
                <w:bCs/>
                <w:color w:val="000000"/>
                <w:kern w:val="0"/>
                <w:sz w:val="20"/>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Cs/>
                <w:color w:val="000000"/>
                <w:sz w:val="20"/>
              </w:rPr>
            </w:pPr>
            <w:r>
              <w:rPr>
                <w:rFonts w:hint="eastAsia" w:ascii="仿宋" w:hAnsi="仿宋" w:eastAsia="仿宋" w:cs="宋体"/>
                <w:bCs/>
                <w:color w:val="000000"/>
                <w:kern w:val="0"/>
                <w:sz w:val="20"/>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Cs/>
                <w:color w:val="000000"/>
                <w:sz w:val="20"/>
              </w:rPr>
            </w:pPr>
            <w:r>
              <w:rPr>
                <w:rFonts w:hint="eastAsia" w:ascii="仿宋" w:hAnsi="仿宋" w:eastAsia="仿宋" w:cs="宋体"/>
                <w:bCs/>
                <w:color w:val="000000"/>
                <w:kern w:val="0"/>
                <w:sz w:val="20"/>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Cs/>
                <w:color w:val="000000"/>
                <w:sz w:val="20"/>
              </w:rPr>
            </w:pPr>
            <w:r>
              <w:rPr>
                <w:rFonts w:hint="eastAsia" w:ascii="仿宋" w:hAnsi="仿宋" w:eastAsia="仿宋" w:cs="宋体"/>
                <w:bCs/>
                <w:color w:val="000000"/>
                <w:kern w:val="0"/>
                <w:sz w:val="20"/>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Cs/>
                <w:color w:val="000000"/>
                <w:sz w:val="20"/>
              </w:rPr>
            </w:pPr>
            <w:r>
              <w:rPr>
                <w:rFonts w:hint="eastAsia" w:ascii="仿宋" w:hAnsi="仿宋" w:eastAsia="仿宋" w:cs="宋体"/>
                <w:bCs/>
                <w:color w:val="000000"/>
                <w:kern w:val="0"/>
                <w:sz w:val="20"/>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Cs/>
                <w:color w:val="000000"/>
                <w:sz w:val="20"/>
              </w:rPr>
            </w:pPr>
            <w:r>
              <w:rPr>
                <w:rFonts w:hint="eastAsia" w:ascii="仿宋" w:hAnsi="仿宋" w:eastAsia="仿宋" w:cs="宋体"/>
                <w:bCs/>
                <w:color w:val="000000"/>
                <w:kern w:val="0"/>
                <w:sz w:val="20"/>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17.10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17.10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17.10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14.46</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14.46</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14.46</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Arial"/>
                <w:color w:val="000000"/>
                <w:sz w:val="22"/>
                <w:szCs w:val="22"/>
              </w:rPr>
            </w:pPr>
            <w:r>
              <w:rPr>
                <w:rFonts w:hint="eastAsia" w:cs="Arial"/>
                <w:color w:val="000000"/>
                <w:sz w:val="22"/>
                <w:szCs w:val="22"/>
              </w:rPr>
              <w:t>0.67</w:t>
            </w:r>
          </w:p>
        </w:tc>
      </w:tr>
    </w:tbl>
    <w:p>
      <w:pPr>
        <w:widowControl/>
        <w:ind w:left="400" w:hanging="400" w:hangingChars="200"/>
        <w:jc w:val="left"/>
        <w:rPr>
          <w:rFonts w:ascii="仿宋" w:hAnsi="仿宋" w:eastAsia="仿宋" w:cs="黑体"/>
          <w:sz w:val="20"/>
        </w:rPr>
      </w:pPr>
      <w:r>
        <w:rPr>
          <w:rFonts w:hint="eastAsia" w:ascii="仿宋" w:hAnsi="仿宋" w:eastAsia="仿宋" w:cs="宋体"/>
          <w:sz w:val="20"/>
        </w:rPr>
        <w:t>注：本表反映部门本年度一般公共预算财政拨款“三公”经费、会议费、培训费的支出预决算情况。其中，预算数为全年预算数，反映按规定程序调整后的预算数；决算数是包括当年一般公共预算财政拨款和以前年度结转资金安排的实际支出。</w:t>
      </w:r>
      <w:r>
        <w:rPr>
          <w:rFonts w:hint="eastAsia" w:ascii="仿宋" w:hAnsi="仿宋" w:eastAsia="仿宋" w:cs="宋体"/>
          <w:color w:val="000000"/>
          <w:kern w:val="0"/>
          <w:sz w:val="20"/>
        </w:rPr>
        <w:t>本表金额转换为万元时，因四舍五入可能存在尾差。</w:t>
      </w:r>
    </w:p>
    <w:p>
      <w:pPr>
        <w:jc w:val="center"/>
        <w:rPr>
          <w:rFonts w:ascii="仿宋" w:hAnsi="仿宋" w:eastAsia="仿宋" w:cs="宋体"/>
          <w:b/>
          <w:bCs/>
          <w:sz w:val="20"/>
        </w:rPr>
      </w:pPr>
      <w:r>
        <w:rPr>
          <w:rFonts w:hint="eastAsia" w:ascii="仿宋" w:hAnsi="仿宋" w:eastAsia="仿宋" w:cs="宋体"/>
          <w:b/>
          <w:bCs/>
          <w:sz w:val="20"/>
        </w:rPr>
        <w:t>政府性基金预算财政拨款收入支出决算表</w:t>
      </w:r>
    </w:p>
    <w:p>
      <w:pPr>
        <w:jc w:val="right"/>
        <w:rPr>
          <w:rFonts w:ascii="仿宋" w:hAnsi="仿宋" w:eastAsia="仿宋" w:cs="宋体"/>
          <w:b/>
          <w:bCs/>
          <w:sz w:val="20"/>
        </w:rPr>
      </w:pPr>
      <w:r>
        <w:rPr>
          <w:rFonts w:hint="eastAsia" w:ascii="仿宋" w:hAnsi="仿宋" w:eastAsia="仿宋" w:cs="宋体"/>
          <w:b/>
          <w:bCs/>
          <w:sz w:val="20"/>
        </w:rPr>
        <w:t>公开08表</w:t>
      </w:r>
    </w:p>
    <w:p>
      <w:pPr>
        <w:rPr>
          <w:rFonts w:ascii="仿宋" w:hAnsi="仿宋" w:eastAsia="仿宋" w:cs="宋体"/>
          <w:b/>
          <w:bCs/>
          <w:sz w:val="20"/>
        </w:rPr>
      </w:pPr>
      <w:r>
        <w:rPr>
          <w:rFonts w:hint="eastAsia" w:ascii="仿宋" w:hAnsi="仿宋" w:eastAsia="仿宋" w:cs="宋体"/>
          <w:b/>
          <w:bCs/>
          <w:sz w:val="20"/>
        </w:rPr>
        <w:t>编制部门：西安市阎良区人民政府办公室                                金额单位：万元</w:t>
      </w:r>
    </w:p>
    <w:tbl>
      <w:tblPr>
        <w:tblStyle w:val="7"/>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合计</w:t>
            </w:r>
          </w:p>
        </w:tc>
        <w:tc>
          <w:tcPr>
            <w:tcW w:w="1049" w:type="dxa"/>
            <w:tcBorders>
              <w:top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b/>
                <w:color w:val="000000"/>
                <w:sz w:val="20"/>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仿宋" w:hAnsi="仿宋" w:eastAsia="仿宋" w:cs="宋体"/>
                <w:color w:val="000000"/>
                <w:sz w:val="20"/>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仿宋" w:hAnsi="仿宋" w:eastAsia="仿宋" w:cs="宋体"/>
                <w:color w:val="000000"/>
                <w:sz w:val="20"/>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仿宋" w:hAnsi="仿宋" w:eastAsia="仿宋" w:cs="宋体"/>
                <w:color w:val="000000"/>
                <w:sz w:val="20"/>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r>
    </w:tbl>
    <w:p>
      <w:pPr>
        <w:widowControl/>
        <w:ind w:left="400" w:hanging="400" w:hangingChars="200"/>
        <w:jc w:val="left"/>
        <w:rPr>
          <w:rFonts w:ascii="仿宋" w:hAnsi="仿宋" w:eastAsia="仿宋" w:cs="黑体"/>
          <w:sz w:val="20"/>
        </w:rPr>
      </w:pPr>
      <w:r>
        <w:rPr>
          <w:rFonts w:hint="eastAsia" w:ascii="仿宋" w:hAnsi="仿宋" w:eastAsia="仿宋" w:cs="宋体"/>
          <w:sz w:val="20"/>
        </w:rPr>
        <w:t>注：本表反映部门本年度政府性基金预算财政拨款收入、支出及结转和结余情况。</w:t>
      </w:r>
      <w:r>
        <w:rPr>
          <w:rFonts w:hint="eastAsia" w:ascii="仿宋" w:hAnsi="仿宋" w:eastAsia="仿宋" w:cs="宋体"/>
          <w:color w:val="000000"/>
          <w:kern w:val="0"/>
          <w:sz w:val="20"/>
        </w:rPr>
        <w:t>本表金额转换为万元时，因四舍五入可能存在尾差。</w:t>
      </w:r>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p>
    <w:p>
      <w:pPr>
        <w:jc w:val="center"/>
        <w:rPr>
          <w:rFonts w:ascii="仿宋" w:hAnsi="仿宋" w:eastAsia="仿宋" w:cs="宋体"/>
          <w:b/>
          <w:bCs/>
          <w:sz w:val="20"/>
        </w:rPr>
      </w:pPr>
      <w:r>
        <w:rPr>
          <w:rFonts w:hint="eastAsia" w:ascii="仿宋" w:hAnsi="仿宋" w:eastAsia="仿宋" w:cs="宋体"/>
          <w:b/>
          <w:bCs/>
          <w:sz w:val="20"/>
        </w:rPr>
        <w:t>国有资本经营预算财政拨款支出决算表</w:t>
      </w:r>
    </w:p>
    <w:p>
      <w:pPr>
        <w:jc w:val="right"/>
        <w:rPr>
          <w:rFonts w:ascii="仿宋" w:hAnsi="仿宋" w:eastAsia="仿宋" w:cs="宋体"/>
          <w:b/>
          <w:bCs/>
          <w:sz w:val="20"/>
        </w:rPr>
      </w:pPr>
      <w:r>
        <w:rPr>
          <w:rFonts w:hint="eastAsia" w:ascii="仿宋" w:hAnsi="仿宋" w:eastAsia="仿宋" w:cs="宋体"/>
          <w:b/>
          <w:bCs/>
          <w:sz w:val="20"/>
        </w:rPr>
        <w:t>公开09表</w:t>
      </w:r>
    </w:p>
    <w:p>
      <w:pPr>
        <w:rPr>
          <w:rFonts w:ascii="仿宋" w:hAnsi="仿宋" w:eastAsia="仿宋" w:cs="宋体"/>
          <w:b/>
          <w:bCs/>
          <w:sz w:val="20"/>
        </w:rPr>
      </w:pPr>
      <w:r>
        <w:rPr>
          <w:rFonts w:hint="eastAsia" w:ascii="仿宋" w:hAnsi="仿宋" w:eastAsia="仿宋" w:cs="宋体"/>
          <w:b/>
          <w:bCs/>
          <w:sz w:val="20"/>
        </w:rPr>
        <w:t>编制部门：西安市阎良区人民政府办公室                           金额单位：万元</w:t>
      </w:r>
    </w:p>
    <w:tbl>
      <w:tblPr>
        <w:tblStyle w:val="7"/>
        <w:tblW w:w="8318" w:type="dxa"/>
        <w:tblInd w:w="0" w:type="dxa"/>
        <w:tblLayout w:type="fixed"/>
        <w:tblCellMar>
          <w:top w:w="15" w:type="dxa"/>
          <w:left w:w="15" w:type="dxa"/>
          <w:bottom w:w="15" w:type="dxa"/>
          <w:right w:w="15" w:type="dxa"/>
        </w:tblCellMar>
      </w:tblPr>
      <w:tblGrid>
        <w:gridCol w:w="1935"/>
        <w:gridCol w:w="2100"/>
        <w:gridCol w:w="1183"/>
        <w:gridCol w:w="1534"/>
        <w:gridCol w:w="1566"/>
      </w:tblGrid>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项    目</w:t>
            </w:r>
          </w:p>
        </w:tc>
        <w:tc>
          <w:tcPr>
            <w:tcW w:w="428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本年支出</w:t>
            </w:r>
          </w:p>
        </w:tc>
      </w:tr>
      <w:tr>
        <w:tblPrEx>
          <w:tblCellMar>
            <w:top w:w="15" w:type="dxa"/>
            <w:left w:w="15" w:type="dxa"/>
            <w:bottom w:w="15" w:type="dxa"/>
            <w:right w:w="15" w:type="dxa"/>
          </w:tblCellMar>
        </w:tblPrEx>
        <w:trPr>
          <w:trHeight w:val="889"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kern w:val="0"/>
                <w:sz w:val="20"/>
              </w:rPr>
            </w:pPr>
            <w:r>
              <w:rPr>
                <w:rFonts w:hint="eastAsia" w:ascii="仿宋" w:hAnsi="仿宋" w:eastAsia="仿宋" w:cs="宋体"/>
                <w:b/>
                <w:color w:val="000000"/>
                <w:kern w:val="0"/>
                <w:sz w:val="20"/>
              </w:rPr>
              <w:t>功能分类</w:t>
            </w:r>
          </w:p>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科目编码</w:t>
            </w:r>
          </w:p>
        </w:tc>
        <w:tc>
          <w:tcPr>
            <w:tcW w:w="21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科目名称</w:t>
            </w:r>
          </w:p>
        </w:tc>
        <w:tc>
          <w:tcPr>
            <w:tcW w:w="11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小计</w:t>
            </w:r>
          </w:p>
        </w:tc>
        <w:tc>
          <w:tcPr>
            <w:tcW w:w="15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基本支出</w:t>
            </w:r>
          </w:p>
        </w:tc>
        <w:tc>
          <w:tcPr>
            <w:tcW w:w="15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项目支出</w:t>
            </w:r>
          </w:p>
        </w:tc>
      </w:tr>
      <w:tr>
        <w:tblPrEx>
          <w:tblCellMar>
            <w:top w:w="15" w:type="dxa"/>
            <w:left w:w="15" w:type="dxa"/>
            <w:bottom w:w="15" w:type="dxa"/>
            <w:right w:w="15" w:type="dxa"/>
          </w:tblCellMar>
        </w:tblPrEx>
        <w:trPr>
          <w:trHeight w:val="491" w:hRule="atLeast"/>
        </w:trPr>
        <w:tc>
          <w:tcPr>
            <w:tcW w:w="403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宋体"/>
                <w:b/>
                <w:color w:val="000000"/>
                <w:sz w:val="20"/>
              </w:rPr>
            </w:pPr>
            <w:r>
              <w:rPr>
                <w:rFonts w:hint="eastAsia" w:ascii="仿宋" w:hAnsi="仿宋" w:eastAsia="仿宋" w:cs="宋体"/>
                <w:b/>
                <w:color w:val="000000"/>
                <w:kern w:val="0"/>
                <w:sz w:val="20"/>
              </w:rPr>
              <w:t>合计</w:t>
            </w:r>
          </w:p>
        </w:tc>
        <w:tc>
          <w:tcPr>
            <w:tcW w:w="118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color w:val="000000"/>
                <w:sz w:val="20"/>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b/>
                <w:color w:val="000000"/>
                <w:sz w:val="20"/>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仿宋" w:hAnsi="仿宋" w:eastAsia="仿宋" w:cs="宋体"/>
                <w:color w:val="000000"/>
                <w:sz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仿宋" w:hAnsi="仿宋" w:eastAsia="仿宋" w:cs="宋体"/>
                <w:color w:val="000000"/>
                <w:sz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bottom"/>
          </w:tcPr>
          <w:p>
            <w:pPr>
              <w:rPr>
                <w:rFonts w:ascii="仿宋" w:hAnsi="仿宋" w:eastAsia="仿宋" w:cs="宋体"/>
                <w:color w:val="000000"/>
                <w:sz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r>
      <w:tr>
        <w:tblPrEx>
          <w:tblCellMar>
            <w:top w:w="15" w:type="dxa"/>
            <w:left w:w="15" w:type="dxa"/>
            <w:bottom w:w="15" w:type="dxa"/>
            <w:right w:w="15" w:type="dxa"/>
          </w:tblCellMar>
        </w:tblPrEx>
        <w:trPr>
          <w:trHeight w:val="491"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r>
      <w:tr>
        <w:tblPrEx>
          <w:tblCellMar>
            <w:top w:w="15" w:type="dxa"/>
            <w:left w:w="15" w:type="dxa"/>
            <w:bottom w:w="15" w:type="dxa"/>
            <w:right w:w="15" w:type="dxa"/>
          </w:tblCellMar>
        </w:tblPrEx>
        <w:trPr>
          <w:trHeight w:val="514" w:hRule="atLeast"/>
        </w:trPr>
        <w:tc>
          <w:tcPr>
            <w:tcW w:w="1935" w:type="dxa"/>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宋体"/>
                <w:color w:val="000000"/>
                <w:sz w:val="20"/>
              </w:rPr>
            </w:pPr>
          </w:p>
        </w:tc>
        <w:tc>
          <w:tcPr>
            <w:tcW w:w="2100"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183"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34" w:type="dxa"/>
            <w:tcBorders>
              <w:top w:val="single" w:color="000000" w:sz="4" w:space="0"/>
              <w:left w:val="single" w:color="000000" w:sz="4" w:space="0"/>
              <w:bottom w:val="single" w:color="000000" w:sz="4" w:space="0"/>
              <w:right w:val="single" w:color="000000" w:sz="4" w:space="0"/>
            </w:tcBorders>
            <w:vAlign w:val="center"/>
          </w:tcPr>
          <w:p>
            <w:pPr>
              <w:jc w:val="right"/>
              <w:rPr>
                <w:rFonts w:ascii="仿宋" w:hAnsi="仿宋" w:eastAsia="仿宋" w:cs="宋体"/>
                <w:color w:val="000000"/>
                <w:sz w:val="20"/>
              </w:rPr>
            </w:pPr>
          </w:p>
        </w:tc>
        <w:tc>
          <w:tcPr>
            <w:tcW w:w="1566"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 w:val="20"/>
              </w:rPr>
            </w:pPr>
          </w:p>
        </w:tc>
      </w:tr>
    </w:tbl>
    <w:p>
      <w:pPr>
        <w:widowControl/>
        <w:ind w:left="400" w:hanging="400" w:hangingChars="200"/>
        <w:jc w:val="left"/>
        <w:rPr>
          <w:rFonts w:ascii="仿宋" w:hAnsi="仿宋" w:eastAsia="仿宋" w:cs="黑体"/>
          <w:sz w:val="20"/>
        </w:rPr>
      </w:pPr>
      <w:r>
        <w:rPr>
          <w:rFonts w:hint="eastAsia" w:ascii="仿宋" w:hAnsi="仿宋" w:eastAsia="仿宋" w:cs="宋体"/>
          <w:sz w:val="20"/>
        </w:rPr>
        <w:t>注：本表反映部门本年度国有资本经营预算财政拨款支出情况。</w:t>
      </w:r>
      <w:r>
        <w:rPr>
          <w:rFonts w:hint="eastAsia" w:ascii="仿宋" w:hAnsi="仿宋" w:eastAsia="仿宋" w:cs="宋体"/>
          <w:color w:val="000000"/>
          <w:kern w:val="0"/>
          <w:sz w:val="20"/>
        </w:rPr>
        <w:t>本表金额转换为万元时，因四舍五入可能存在尾差。</w:t>
      </w:r>
    </w:p>
    <w:p>
      <w:pPr>
        <w:jc w:val="center"/>
        <w:rPr>
          <w:rFonts w:ascii="黑体" w:hAnsi="宋体" w:eastAsia="黑体"/>
          <w:color w:val="000000"/>
          <w:kern w:val="0"/>
          <w:sz w:val="44"/>
          <w:szCs w:val="44"/>
        </w:rPr>
      </w:pPr>
    </w:p>
    <w:p>
      <w:pPr>
        <w:rPr>
          <w:rFonts w:ascii="黑体" w:hAnsi="宋体" w:eastAsia="黑体"/>
          <w:color w:val="000000"/>
          <w:kern w:val="0"/>
          <w:sz w:val="44"/>
          <w:szCs w:val="44"/>
        </w:rPr>
      </w:pPr>
    </w:p>
    <w:p>
      <w:pPr>
        <w:rPr>
          <w:rFonts w:ascii="黑体" w:hAnsi="宋体" w:eastAsia="黑体"/>
          <w:color w:val="000000"/>
          <w:kern w:val="0"/>
          <w:sz w:val="44"/>
          <w:szCs w:val="44"/>
        </w:rPr>
      </w:pPr>
    </w:p>
    <w:p>
      <w:pPr>
        <w:jc w:val="center"/>
        <w:rPr>
          <w:rFonts w:asciiTheme="majorEastAsia" w:hAnsiTheme="majorEastAsia" w:eastAsiaTheme="majorEastAsia" w:cstheme="majorEastAsia"/>
          <w:b/>
          <w:bCs/>
          <w:color w:val="000000"/>
          <w:kern w:val="0"/>
          <w:sz w:val="44"/>
          <w:szCs w:val="44"/>
        </w:rPr>
      </w:pPr>
      <w:r>
        <w:rPr>
          <w:rFonts w:hint="eastAsia" w:asciiTheme="majorEastAsia" w:hAnsiTheme="majorEastAsia" w:eastAsiaTheme="majorEastAsia" w:cstheme="majorEastAsia"/>
          <w:b/>
          <w:bCs/>
          <w:color w:val="000000"/>
          <w:kern w:val="0"/>
          <w:sz w:val="44"/>
          <w:szCs w:val="44"/>
        </w:rPr>
        <w:t>第三部分 2020年部门决算情况说明</w:t>
      </w:r>
    </w:p>
    <w:p>
      <w:pPr>
        <w:spacing w:line="560" w:lineRule="exact"/>
        <w:rPr>
          <w:rFonts w:ascii="仿宋" w:hAnsi="仿宋" w:eastAsia="仿宋"/>
          <w:color w:val="000000"/>
          <w:kern w:val="0"/>
          <w:szCs w:val="32"/>
        </w:rPr>
      </w:pPr>
    </w:p>
    <w:p>
      <w:pPr>
        <w:widowControl/>
        <w:spacing w:line="560" w:lineRule="exact"/>
        <w:ind w:firstLine="643" w:firstLineChars="200"/>
        <w:jc w:val="left"/>
        <w:rPr>
          <w:rFonts w:ascii="仿宋" w:hAnsi="仿宋" w:eastAsia="仿宋" w:cstheme="minorEastAsia"/>
          <w:b/>
          <w:bCs/>
          <w:color w:val="000000"/>
          <w:kern w:val="0"/>
          <w:szCs w:val="32"/>
        </w:rPr>
      </w:pPr>
      <w:r>
        <w:rPr>
          <w:rFonts w:hint="eastAsia" w:ascii="仿宋" w:hAnsi="仿宋" w:eastAsia="仿宋" w:cstheme="minorEastAsia"/>
          <w:b/>
          <w:bCs/>
          <w:color w:val="000000"/>
          <w:kern w:val="0"/>
          <w:szCs w:val="32"/>
        </w:rPr>
        <w:t xml:space="preserve">一、收入支出决算总体情况说明 </w:t>
      </w:r>
    </w:p>
    <w:p>
      <w:pPr>
        <w:widowControl/>
        <w:spacing w:line="560" w:lineRule="exact"/>
        <w:ind w:firstLine="640" w:firstLineChars="200"/>
        <w:jc w:val="left"/>
        <w:rPr>
          <w:rFonts w:ascii="仿宋" w:hAnsi="仿宋" w:eastAsia="仿宋"/>
          <w:szCs w:val="32"/>
        </w:rPr>
      </w:pPr>
      <w:r>
        <w:rPr>
          <w:rFonts w:hint="eastAsia" w:ascii="仿宋" w:hAnsi="仿宋" w:eastAsia="仿宋"/>
          <w:szCs w:val="32"/>
        </w:rPr>
        <w:t>2020年度收入合计644.06万元，总体情况及比上年减少546万元，</w:t>
      </w:r>
      <w:r>
        <w:rPr>
          <w:rFonts w:hint="eastAsia" w:ascii="仿宋" w:hAnsi="仿宋" w:eastAsia="仿宋" w:cs="仿宋"/>
          <w:szCs w:val="32"/>
        </w:rPr>
        <w:t>主要原因是项目减少，</w:t>
      </w:r>
      <w:r>
        <w:rPr>
          <w:rFonts w:hint="eastAsia" w:ascii="仿宋" w:hAnsi="仿宋" w:eastAsia="仿宋" w:cs="仿宋"/>
          <w:color w:val="000000"/>
          <w:szCs w:val="32"/>
        </w:rPr>
        <w:t>人员减少，经费减少。</w:t>
      </w:r>
    </w:p>
    <w:p>
      <w:pPr>
        <w:widowControl/>
        <w:spacing w:line="560" w:lineRule="exact"/>
        <w:ind w:firstLine="640" w:firstLineChars="200"/>
        <w:jc w:val="left"/>
        <w:rPr>
          <w:rFonts w:ascii="仿宋" w:hAnsi="仿宋" w:eastAsia="仿宋" w:cs="仿宋"/>
          <w:color w:val="000000"/>
          <w:szCs w:val="32"/>
        </w:rPr>
      </w:pPr>
      <w:r>
        <w:rPr>
          <w:rFonts w:hint="eastAsia" w:ascii="仿宋" w:hAnsi="仿宋" w:eastAsia="仿宋"/>
          <w:szCs w:val="32"/>
        </w:rPr>
        <w:t>2020年度支出合计644.06万元，总体情况及比上年减少546万元，</w:t>
      </w:r>
      <w:r>
        <w:rPr>
          <w:rFonts w:hint="eastAsia" w:ascii="仿宋" w:hAnsi="仿宋" w:eastAsia="仿宋" w:cs="仿宋"/>
          <w:szCs w:val="32"/>
        </w:rPr>
        <w:t>主要原因是项目减少，</w:t>
      </w:r>
      <w:r>
        <w:rPr>
          <w:rFonts w:hint="eastAsia" w:ascii="仿宋" w:hAnsi="仿宋" w:eastAsia="仿宋" w:cs="仿宋"/>
          <w:color w:val="000000"/>
          <w:szCs w:val="32"/>
        </w:rPr>
        <w:t>人员减少，经费减少。</w:t>
      </w:r>
    </w:p>
    <w:p>
      <w:pPr>
        <w:widowControl/>
        <w:ind w:firstLine="640" w:firstLineChars="200"/>
        <w:jc w:val="left"/>
        <w:rPr>
          <w:rFonts w:ascii="仿宋" w:hAnsi="仿宋" w:eastAsia="仿宋"/>
          <w:szCs w:val="32"/>
        </w:rPr>
      </w:pPr>
      <w:r>
        <w:rPr>
          <w:rFonts w:ascii="仿宋" w:hAnsi="仿宋" w:eastAsia="仿宋"/>
          <w:szCs w:val="32"/>
        </w:rPr>
        <w:drawing>
          <wp:inline distT="0" distB="0" distL="0" distR="0">
            <wp:extent cx="4057650" cy="2743200"/>
            <wp:effectExtent l="19050" t="0" r="1905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widowControl/>
        <w:spacing w:line="560" w:lineRule="exact"/>
        <w:ind w:firstLine="640" w:firstLineChars="200"/>
        <w:jc w:val="left"/>
        <w:rPr>
          <w:rFonts w:ascii="仿宋" w:hAnsi="仿宋" w:eastAsia="仿宋"/>
          <w:color w:val="000000"/>
          <w:kern w:val="0"/>
          <w:szCs w:val="32"/>
        </w:rPr>
      </w:pPr>
      <w:r>
        <w:rPr>
          <w:rFonts w:hint="eastAsia" w:ascii="仿宋" w:hAnsi="仿宋" w:eastAsia="仿宋"/>
          <w:color w:val="000000"/>
          <w:kern w:val="0"/>
          <w:szCs w:val="32"/>
        </w:rPr>
        <w:t>二</w:t>
      </w:r>
      <w:r>
        <w:rPr>
          <w:rFonts w:hint="eastAsia" w:ascii="仿宋" w:hAnsi="仿宋" w:eastAsia="仿宋" w:cstheme="minorEastAsia"/>
          <w:b/>
          <w:bCs/>
          <w:color w:val="000000"/>
          <w:kern w:val="0"/>
          <w:szCs w:val="32"/>
        </w:rPr>
        <w:t>、收入决算情况说明</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cs="仿宋_GB2312"/>
          <w:color w:val="000000"/>
          <w:kern w:val="0"/>
          <w:szCs w:val="32"/>
        </w:rPr>
        <w:t>2020年</w:t>
      </w:r>
      <w:r>
        <w:rPr>
          <w:rFonts w:hint="eastAsia" w:ascii="仿宋" w:hAnsi="仿宋" w:eastAsia="仿宋"/>
          <w:szCs w:val="32"/>
        </w:rPr>
        <w:t>度</w:t>
      </w:r>
      <w:r>
        <w:rPr>
          <w:rFonts w:ascii="仿宋" w:hAnsi="仿宋" w:eastAsia="仿宋" w:cs="仿宋_GB2312"/>
          <w:color w:val="000000"/>
          <w:kern w:val="0"/>
          <w:szCs w:val="32"/>
        </w:rPr>
        <w:t>收入合计</w:t>
      </w:r>
      <w:r>
        <w:rPr>
          <w:rFonts w:hint="eastAsia" w:ascii="仿宋" w:hAnsi="仿宋" w:eastAsia="仿宋" w:cs="仿宋_GB2312"/>
          <w:color w:val="000000"/>
          <w:kern w:val="0"/>
          <w:szCs w:val="32"/>
        </w:rPr>
        <w:t>644.06</w:t>
      </w:r>
      <w:r>
        <w:rPr>
          <w:rFonts w:ascii="仿宋" w:hAnsi="仿宋" w:eastAsia="仿宋" w:cs="仿宋_GB2312"/>
          <w:color w:val="000000"/>
          <w:kern w:val="0"/>
          <w:szCs w:val="32"/>
        </w:rPr>
        <w:t>万元，其中：财政拨款收入</w:t>
      </w:r>
      <w:r>
        <w:rPr>
          <w:rFonts w:hint="eastAsia" w:ascii="仿宋" w:hAnsi="仿宋" w:eastAsia="仿宋" w:cs="仿宋_GB2312"/>
          <w:color w:val="000000"/>
          <w:kern w:val="0"/>
          <w:szCs w:val="32"/>
        </w:rPr>
        <w:t>644.06</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100</w:t>
      </w:r>
      <w:r>
        <w:rPr>
          <w:rFonts w:ascii="仿宋" w:hAnsi="仿宋" w:eastAsia="仿宋" w:cs="仿宋_GB2312"/>
          <w:color w:val="000000"/>
          <w:kern w:val="0"/>
          <w:szCs w:val="32"/>
        </w:rPr>
        <w:t>%；事业收入</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0</w:t>
      </w:r>
      <w:r>
        <w:rPr>
          <w:rFonts w:ascii="仿宋" w:hAnsi="仿宋" w:eastAsia="仿宋" w:cs="仿宋_GB2312"/>
          <w:color w:val="000000"/>
          <w:kern w:val="0"/>
          <w:szCs w:val="32"/>
        </w:rPr>
        <w:t>%；经营收入</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0</w:t>
      </w:r>
      <w:r>
        <w:rPr>
          <w:rFonts w:ascii="仿宋" w:hAnsi="仿宋" w:eastAsia="仿宋" w:cs="仿宋_GB2312"/>
          <w:color w:val="000000"/>
          <w:kern w:val="0"/>
          <w:szCs w:val="32"/>
        </w:rPr>
        <w:t>%；其他收入</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0</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p>
    <w:p>
      <w:pPr>
        <w:widowControl/>
        <w:ind w:firstLine="640" w:firstLineChars="200"/>
        <w:jc w:val="left"/>
        <w:rPr>
          <w:rFonts w:ascii="仿宋" w:hAnsi="仿宋" w:eastAsia="仿宋"/>
          <w:szCs w:val="32"/>
        </w:rPr>
      </w:pPr>
      <w:r>
        <w:rPr>
          <w:rFonts w:ascii="仿宋" w:hAnsi="仿宋" w:eastAsia="仿宋"/>
          <w:szCs w:val="32"/>
        </w:rPr>
        <w:drawing>
          <wp:inline distT="0" distB="0" distL="0" distR="0">
            <wp:extent cx="4572000" cy="2743200"/>
            <wp:effectExtent l="19050" t="0" r="1905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hint="eastAsia" w:ascii="仿宋" w:hAnsi="仿宋" w:eastAsia="仿宋"/>
          <w:color w:val="000000"/>
          <w:kern w:val="0"/>
          <w:szCs w:val="32"/>
        </w:rPr>
        <w:t>三、</w:t>
      </w:r>
      <w:r>
        <w:rPr>
          <w:rFonts w:hint="eastAsia" w:ascii="仿宋" w:hAnsi="仿宋" w:eastAsia="仿宋" w:cstheme="minorEastAsia"/>
          <w:b/>
          <w:bCs/>
          <w:color w:val="000000"/>
          <w:kern w:val="0"/>
          <w:szCs w:val="32"/>
        </w:rPr>
        <w:t xml:space="preserve">支出决算情况说明 </w:t>
      </w:r>
      <w:r>
        <w:rPr>
          <w:rFonts w:hint="eastAsia" w:ascii="仿宋" w:hAnsi="仿宋" w:eastAsia="仿宋"/>
          <w:color w:val="000000"/>
          <w:kern w:val="0"/>
          <w:szCs w:val="32"/>
        </w:rPr>
        <w:t xml:space="preserve"> </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cs="仿宋_GB2312"/>
          <w:color w:val="000000"/>
          <w:kern w:val="0"/>
          <w:szCs w:val="32"/>
        </w:rPr>
        <w:t>2020年</w:t>
      </w:r>
      <w:r>
        <w:rPr>
          <w:rFonts w:hint="eastAsia" w:ascii="仿宋" w:hAnsi="仿宋" w:eastAsia="仿宋"/>
          <w:szCs w:val="32"/>
        </w:rPr>
        <w:t>度</w:t>
      </w:r>
      <w:r>
        <w:rPr>
          <w:rFonts w:ascii="仿宋" w:hAnsi="仿宋" w:eastAsia="仿宋" w:cs="仿宋_GB2312"/>
          <w:color w:val="000000"/>
          <w:kern w:val="0"/>
          <w:szCs w:val="32"/>
        </w:rPr>
        <w:t>支出合计</w:t>
      </w:r>
      <w:r>
        <w:rPr>
          <w:rFonts w:hint="eastAsia" w:ascii="仿宋" w:hAnsi="仿宋" w:eastAsia="仿宋" w:cs="仿宋_GB2312"/>
          <w:color w:val="000000"/>
          <w:kern w:val="0"/>
          <w:szCs w:val="32"/>
        </w:rPr>
        <w:t>644.06</w:t>
      </w:r>
      <w:r>
        <w:rPr>
          <w:rFonts w:ascii="仿宋" w:hAnsi="仿宋" w:eastAsia="仿宋" w:cs="仿宋_GB2312"/>
          <w:color w:val="000000"/>
          <w:kern w:val="0"/>
          <w:szCs w:val="32"/>
        </w:rPr>
        <w:t>万元，其中：基本支出</w:t>
      </w:r>
      <w:r>
        <w:rPr>
          <w:rFonts w:hint="eastAsia" w:ascii="仿宋" w:hAnsi="仿宋" w:eastAsia="仿宋" w:cs="仿宋_GB2312"/>
          <w:color w:val="000000"/>
          <w:kern w:val="0"/>
          <w:szCs w:val="32"/>
        </w:rPr>
        <w:t>484.06</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75.16</w:t>
      </w:r>
      <w:r>
        <w:rPr>
          <w:rFonts w:ascii="仿宋" w:hAnsi="仿宋" w:eastAsia="仿宋" w:cs="仿宋_GB2312"/>
          <w:color w:val="000000"/>
          <w:kern w:val="0"/>
          <w:szCs w:val="32"/>
        </w:rPr>
        <w:t>%；项目支出</w:t>
      </w:r>
      <w:r>
        <w:rPr>
          <w:rFonts w:hint="eastAsia" w:ascii="仿宋" w:hAnsi="仿宋" w:eastAsia="仿宋" w:cs="仿宋_GB2312"/>
          <w:color w:val="000000"/>
          <w:kern w:val="0"/>
          <w:szCs w:val="32"/>
        </w:rPr>
        <w:t>160</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24.84</w:t>
      </w:r>
      <w:r>
        <w:rPr>
          <w:rFonts w:ascii="仿宋" w:hAnsi="仿宋" w:eastAsia="仿宋" w:cs="仿宋_GB2312"/>
          <w:color w:val="000000"/>
          <w:kern w:val="0"/>
          <w:szCs w:val="32"/>
        </w:rPr>
        <w:t>%；经营支出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0</w:t>
      </w:r>
      <w:r>
        <w:rPr>
          <w:rFonts w:ascii="仿宋" w:hAnsi="仿宋" w:eastAsia="仿宋" w:cs="仿宋_GB2312"/>
          <w:color w:val="000000"/>
          <w:kern w:val="0"/>
          <w:szCs w:val="32"/>
        </w:rPr>
        <w:t>%。</w:t>
      </w:r>
    </w:p>
    <w:p>
      <w:pPr>
        <w:widowControl/>
        <w:ind w:firstLine="640" w:firstLineChars="200"/>
        <w:jc w:val="left"/>
        <w:rPr>
          <w:rFonts w:ascii="仿宋" w:hAnsi="仿宋" w:eastAsia="仿宋"/>
          <w:szCs w:val="32"/>
        </w:rPr>
      </w:pPr>
      <w:r>
        <w:rPr>
          <w:rFonts w:ascii="仿宋" w:hAnsi="仿宋" w:eastAsia="仿宋"/>
          <w:szCs w:val="32"/>
        </w:rPr>
        <w:drawing>
          <wp:inline distT="0" distB="0" distL="0" distR="0">
            <wp:extent cx="4572000" cy="2743200"/>
            <wp:effectExtent l="19050" t="0" r="1905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widowControl/>
        <w:spacing w:line="560" w:lineRule="exact"/>
        <w:ind w:firstLine="640" w:firstLineChars="200"/>
        <w:jc w:val="left"/>
        <w:rPr>
          <w:rFonts w:ascii="仿宋" w:hAnsi="仿宋" w:eastAsia="仿宋" w:cstheme="minorEastAsia"/>
          <w:b/>
          <w:bCs/>
          <w:color w:val="000000"/>
          <w:kern w:val="0"/>
          <w:szCs w:val="32"/>
        </w:rPr>
      </w:pPr>
      <w:r>
        <w:rPr>
          <w:rFonts w:hint="eastAsia" w:ascii="仿宋" w:hAnsi="仿宋" w:eastAsia="仿宋"/>
          <w:color w:val="000000"/>
          <w:kern w:val="0"/>
          <w:szCs w:val="32"/>
        </w:rPr>
        <w:t>四</w:t>
      </w:r>
      <w:r>
        <w:rPr>
          <w:rFonts w:hint="eastAsia" w:ascii="仿宋" w:hAnsi="仿宋" w:eastAsia="仿宋" w:cstheme="minorEastAsia"/>
          <w:b/>
          <w:bCs/>
          <w:color w:val="000000"/>
          <w:kern w:val="0"/>
          <w:szCs w:val="32"/>
        </w:rPr>
        <w:t xml:space="preserve">、财政拨款收入支出决算总体情况说明  </w:t>
      </w:r>
    </w:p>
    <w:p>
      <w:pPr>
        <w:widowControl/>
        <w:spacing w:line="560" w:lineRule="exact"/>
        <w:ind w:firstLine="640" w:firstLineChars="200"/>
        <w:jc w:val="left"/>
        <w:rPr>
          <w:rFonts w:ascii="仿宋" w:hAnsi="仿宋" w:eastAsia="仿宋" w:cs="仿宋"/>
          <w:color w:val="000000"/>
          <w:szCs w:val="32"/>
        </w:rPr>
      </w:pPr>
      <w:r>
        <w:rPr>
          <w:rFonts w:hint="eastAsia" w:ascii="仿宋" w:hAnsi="仿宋" w:eastAsia="仿宋"/>
          <w:szCs w:val="32"/>
        </w:rPr>
        <w:t>2020年度</w:t>
      </w:r>
      <w:r>
        <w:rPr>
          <w:rFonts w:ascii="仿宋" w:hAnsi="仿宋" w:eastAsia="仿宋" w:cs="仿宋_GB2312"/>
          <w:color w:val="000000"/>
          <w:kern w:val="0"/>
          <w:szCs w:val="32"/>
        </w:rPr>
        <w:t>财政拨款</w:t>
      </w:r>
      <w:r>
        <w:rPr>
          <w:rFonts w:hint="eastAsia" w:ascii="仿宋" w:hAnsi="仿宋" w:eastAsia="仿宋"/>
          <w:szCs w:val="32"/>
        </w:rPr>
        <w:t>收入总体情况，与2019年相比减少546</w:t>
      </w:r>
      <w:r>
        <w:rPr>
          <w:rFonts w:ascii="仿宋" w:hAnsi="仿宋" w:eastAsia="仿宋" w:cs="仿宋_GB2312"/>
          <w:color w:val="000000"/>
          <w:kern w:val="0"/>
          <w:szCs w:val="32"/>
        </w:rPr>
        <w:t>万元</w:t>
      </w:r>
      <w:r>
        <w:rPr>
          <w:rFonts w:hint="eastAsia" w:ascii="仿宋" w:hAnsi="仿宋" w:eastAsia="仿宋" w:cs="仿宋_GB2312"/>
          <w:color w:val="000000"/>
          <w:kern w:val="0"/>
          <w:szCs w:val="32"/>
        </w:rPr>
        <w:t>，</w:t>
      </w:r>
      <w:r>
        <w:rPr>
          <w:rFonts w:hint="eastAsia" w:ascii="仿宋" w:hAnsi="仿宋" w:eastAsia="仿宋"/>
          <w:szCs w:val="32"/>
        </w:rPr>
        <w:t>比上年减少45.88%，</w:t>
      </w:r>
      <w:r>
        <w:rPr>
          <w:rFonts w:hint="eastAsia" w:ascii="仿宋" w:hAnsi="仿宋" w:eastAsia="仿宋" w:cs="仿宋"/>
          <w:szCs w:val="32"/>
        </w:rPr>
        <w:t>主要原因是机构改革项目减少，</w:t>
      </w:r>
      <w:r>
        <w:rPr>
          <w:rFonts w:hint="eastAsia" w:ascii="仿宋" w:hAnsi="仿宋" w:eastAsia="仿宋" w:cs="仿宋"/>
          <w:color w:val="000000"/>
          <w:szCs w:val="32"/>
        </w:rPr>
        <w:t>人员减少，经费减少。</w:t>
      </w:r>
    </w:p>
    <w:p>
      <w:pPr>
        <w:widowControl/>
        <w:spacing w:line="560" w:lineRule="exact"/>
        <w:ind w:firstLine="640" w:firstLineChars="200"/>
        <w:jc w:val="left"/>
        <w:rPr>
          <w:rFonts w:ascii="仿宋" w:hAnsi="仿宋" w:eastAsia="仿宋"/>
          <w:szCs w:val="32"/>
        </w:rPr>
      </w:pPr>
    </w:p>
    <w:p>
      <w:pPr>
        <w:widowControl/>
        <w:spacing w:line="560" w:lineRule="exact"/>
        <w:ind w:firstLine="640" w:firstLineChars="200"/>
        <w:jc w:val="left"/>
        <w:rPr>
          <w:rFonts w:ascii="仿宋" w:hAnsi="仿宋" w:eastAsia="仿宋" w:cs="仿宋"/>
          <w:color w:val="000000"/>
          <w:szCs w:val="32"/>
        </w:rPr>
      </w:pPr>
      <w:r>
        <w:rPr>
          <w:rFonts w:hint="eastAsia" w:ascii="仿宋" w:hAnsi="仿宋" w:eastAsia="仿宋"/>
          <w:szCs w:val="32"/>
        </w:rPr>
        <w:t>2020年度</w:t>
      </w:r>
      <w:r>
        <w:rPr>
          <w:rFonts w:ascii="仿宋" w:hAnsi="仿宋" w:eastAsia="仿宋" w:cs="仿宋_GB2312"/>
          <w:color w:val="000000"/>
          <w:kern w:val="0"/>
          <w:szCs w:val="32"/>
        </w:rPr>
        <w:t>财政拨款</w:t>
      </w:r>
      <w:r>
        <w:rPr>
          <w:rFonts w:hint="eastAsia" w:ascii="仿宋" w:hAnsi="仿宋" w:eastAsia="仿宋"/>
          <w:szCs w:val="32"/>
        </w:rPr>
        <w:t>支出总体情况，与2019年相比减少589.24</w:t>
      </w:r>
      <w:r>
        <w:rPr>
          <w:rFonts w:ascii="仿宋" w:hAnsi="仿宋" w:eastAsia="仿宋" w:cs="仿宋_GB2312"/>
          <w:color w:val="000000"/>
          <w:kern w:val="0"/>
          <w:szCs w:val="32"/>
        </w:rPr>
        <w:t>万元</w:t>
      </w:r>
      <w:r>
        <w:rPr>
          <w:rFonts w:hint="eastAsia" w:ascii="仿宋" w:hAnsi="仿宋" w:eastAsia="仿宋" w:cs="仿宋_GB2312"/>
          <w:color w:val="000000"/>
          <w:kern w:val="0"/>
          <w:szCs w:val="32"/>
        </w:rPr>
        <w:t>，</w:t>
      </w:r>
      <w:r>
        <w:rPr>
          <w:rFonts w:hint="eastAsia" w:ascii="仿宋" w:hAnsi="仿宋" w:eastAsia="仿宋"/>
          <w:szCs w:val="32"/>
        </w:rPr>
        <w:t>比上年减少47.78%，</w:t>
      </w:r>
      <w:r>
        <w:rPr>
          <w:rFonts w:hint="eastAsia" w:ascii="仿宋" w:hAnsi="仿宋" w:eastAsia="仿宋" w:cs="仿宋"/>
          <w:szCs w:val="32"/>
        </w:rPr>
        <w:t>主要原因是机构改革项目减少，</w:t>
      </w:r>
      <w:r>
        <w:rPr>
          <w:rFonts w:hint="eastAsia" w:ascii="仿宋" w:hAnsi="仿宋" w:eastAsia="仿宋" w:cs="仿宋"/>
          <w:color w:val="000000"/>
          <w:szCs w:val="32"/>
        </w:rPr>
        <w:t>人员减少，经费减少。</w:t>
      </w:r>
    </w:p>
    <w:p>
      <w:pPr>
        <w:widowControl/>
        <w:ind w:firstLine="640" w:firstLineChars="200"/>
        <w:jc w:val="left"/>
        <w:rPr>
          <w:rFonts w:ascii="仿宋" w:hAnsi="仿宋" w:eastAsia="仿宋"/>
          <w:szCs w:val="32"/>
        </w:rPr>
      </w:pPr>
      <w:r>
        <w:rPr>
          <w:rFonts w:ascii="仿宋" w:hAnsi="仿宋" w:eastAsia="仿宋"/>
          <w:szCs w:val="32"/>
        </w:rPr>
        <w:drawing>
          <wp:inline distT="0" distB="0" distL="0" distR="0">
            <wp:extent cx="4572000" cy="2743200"/>
            <wp:effectExtent l="19050" t="0" r="1905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widowControl/>
        <w:spacing w:line="560" w:lineRule="exact"/>
        <w:ind w:firstLine="643" w:firstLineChars="200"/>
        <w:jc w:val="left"/>
        <w:rPr>
          <w:rFonts w:ascii="仿宋" w:hAnsi="仿宋" w:eastAsia="仿宋" w:cstheme="minorEastAsia"/>
          <w:b/>
          <w:bCs/>
          <w:color w:val="000000"/>
          <w:kern w:val="0"/>
          <w:szCs w:val="32"/>
        </w:rPr>
      </w:pPr>
      <w:r>
        <w:rPr>
          <w:rFonts w:hint="eastAsia" w:ascii="仿宋" w:hAnsi="仿宋" w:eastAsia="仿宋" w:cstheme="minorEastAsia"/>
          <w:b/>
          <w:bCs/>
          <w:color w:val="000000"/>
          <w:kern w:val="0"/>
          <w:szCs w:val="32"/>
        </w:rPr>
        <w:t>五、一般公共预算财政拨款支出决算情况说明</w:t>
      </w:r>
    </w:p>
    <w:p>
      <w:pPr>
        <w:widowControl/>
        <w:spacing w:line="560" w:lineRule="exact"/>
        <w:ind w:firstLine="643" w:firstLineChars="200"/>
        <w:jc w:val="left"/>
        <w:rPr>
          <w:rFonts w:ascii="仿宋" w:hAnsi="仿宋" w:eastAsia="仿宋" w:cs="楷体_GB2312"/>
          <w:b/>
          <w:color w:val="000000"/>
          <w:kern w:val="0"/>
          <w:szCs w:val="32"/>
        </w:rPr>
      </w:pPr>
      <w:r>
        <w:rPr>
          <w:rFonts w:ascii="仿宋" w:hAnsi="仿宋" w:eastAsia="仿宋" w:cs="楷体_GB2312"/>
          <w:b/>
          <w:color w:val="000000"/>
          <w:kern w:val="0"/>
          <w:szCs w:val="32"/>
        </w:rPr>
        <w:t>（一）财政拨款支出决算总体情况</w:t>
      </w:r>
      <w:r>
        <w:rPr>
          <w:rFonts w:hint="eastAsia" w:ascii="仿宋" w:hAnsi="仿宋" w:eastAsia="仿宋" w:cs="楷体_GB2312"/>
          <w:b/>
          <w:color w:val="000000"/>
          <w:kern w:val="0"/>
          <w:szCs w:val="32"/>
        </w:rPr>
        <w:t>说明</w:t>
      </w:r>
      <w:r>
        <w:rPr>
          <w:rFonts w:ascii="仿宋" w:hAnsi="仿宋" w:eastAsia="仿宋" w:cs="楷体_GB2312"/>
          <w:b/>
          <w:color w:val="000000"/>
          <w:kern w:val="0"/>
          <w:szCs w:val="32"/>
        </w:rPr>
        <w:t>。</w:t>
      </w:r>
    </w:p>
    <w:p>
      <w:pPr>
        <w:widowControl/>
        <w:spacing w:line="560" w:lineRule="exact"/>
        <w:ind w:firstLine="640" w:firstLineChars="200"/>
        <w:jc w:val="left"/>
        <w:rPr>
          <w:rFonts w:ascii="仿宋" w:hAnsi="仿宋" w:eastAsia="仿宋" w:cs="仿宋"/>
          <w:color w:val="000000"/>
          <w:szCs w:val="32"/>
        </w:rPr>
      </w:pPr>
      <w:r>
        <w:rPr>
          <w:rFonts w:hint="eastAsia" w:ascii="仿宋" w:hAnsi="仿宋" w:eastAsia="仿宋" w:cs="仿宋_GB2312"/>
          <w:color w:val="000000"/>
          <w:kern w:val="0"/>
          <w:szCs w:val="32"/>
        </w:rPr>
        <w:t>2020年</w:t>
      </w:r>
      <w:r>
        <w:rPr>
          <w:rFonts w:hint="eastAsia" w:ascii="仿宋" w:hAnsi="仿宋" w:eastAsia="仿宋"/>
          <w:szCs w:val="32"/>
        </w:rPr>
        <w:t>度</w:t>
      </w:r>
      <w:r>
        <w:rPr>
          <w:rFonts w:ascii="仿宋" w:hAnsi="仿宋" w:eastAsia="仿宋" w:cs="仿宋_GB2312"/>
          <w:color w:val="000000"/>
          <w:kern w:val="0"/>
          <w:szCs w:val="32"/>
        </w:rPr>
        <w:t>财政拨款支出</w:t>
      </w:r>
      <w:r>
        <w:rPr>
          <w:rFonts w:hint="eastAsia" w:ascii="仿宋" w:hAnsi="仿宋" w:eastAsia="仿宋" w:cs="仿宋_GB2312"/>
          <w:color w:val="000000"/>
          <w:kern w:val="0"/>
          <w:szCs w:val="32"/>
        </w:rPr>
        <w:t>644.06</w:t>
      </w:r>
      <w:r>
        <w:rPr>
          <w:rFonts w:ascii="仿宋" w:hAnsi="仿宋" w:eastAsia="仿宋" w:cs="仿宋_GB2312"/>
          <w:color w:val="000000"/>
          <w:kern w:val="0"/>
          <w:szCs w:val="32"/>
        </w:rPr>
        <w:t>万元，占本年支出合计的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%。与</w:t>
      </w:r>
      <w:r>
        <w:rPr>
          <w:rFonts w:hint="eastAsia" w:ascii="仿宋" w:hAnsi="仿宋" w:eastAsia="仿宋" w:cs="仿宋_GB2312"/>
          <w:color w:val="000000"/>
          <w:kern w:val="0"/>
          <w:szCs w:val="32"/>
        </w:rPr>
        <w:t>上年</w:t>
      </w:r>
      <w:r>
        <w:rPr>
          <w:rFonts w:ascii="仿宋" w:hAnsi="仿宋" w:eastAsia="仿宋" w:cs="仿宋_GB2312"/>
          <w:color w:val="000000"/>
          <w:kern w:val="0"/>
          <w:szCs w:val="32"/>
        </w:rPr>
        <w:t>相比，财政拨款支出</w:t>
      </w:r>
      <w:r>
        <w:rPr>
          <w:rFonts w:hint="eastAsia" w:ascii="仿宋" w:hAnsi="仿宋" w:eastAsia="仿宋" w:cs="仿宋_GB2312"/>
          <w:color w:val="000000"/>
          <w:kern w:val="0"/>
          <w:szCs w:val="32"/>
        </w:rPr>
        <w:t>减少589.24</w:t>
      </w:r>
      <w:r>
        <w:rPr>
          <w:rFonts w:ascii="仿宋" w:hAnsi="仿宋" w:eastAsia="仿宋" w:cs="仿宋_GB2312"/>
          <w:color w:val="000000"/>
          <w:kern w:val="0"/>
          <w:szCs w:val="32"/>
        </w:rPr>
        <w:t>万元，</w:t>
      </w:r>
      <w:r>
        <w:rPr>
          <w:rFonts w:hint="eastAsia" w:ascii="仿宋" w:hAnsi="仿宋" w:eastAsia="仿宋"/>
          <w:szCs w:val="32"/>
        </w:rPr>
        <w:t>比上年减少47.78%，</w:t>
      </w:r>
      <w:r>
        <w:rPr>
          <w:rFonts w:hint="eastAsia" w:ascii="仿宋" w:hAnsi="仿宋" w:eastAsia="仿宋" w:cs="仿宋"/>
          <w:szCs w:val="32"/>
        </w:rPr>
        <w:t>主要原因是机构改革项目减少，</w:t>
      </w:r>
      <w:r>
        <w:rPr>
          <w:rFonts w:hint="eastAsia" w:ascii="仿宋" w:hAnsi="仿宋" w:eastAsia="仿宋" w:cs="仿宋"/>
          <w:color w:val="000000"/>
          <w:szCs w:val="32"/>
        </w:rPr>
        <w:t>人员减少，经费减少。</w:t>
      </w:r>
    </w:p>
    <w:p>
      <w:pPr>
        <w:widowControl/>
        <w:ind w:firstLine="640" w:firstLineChars="200"/>
        <w:jc w:val="left"/>
        <w:rPr>
          <w:rFonts w:ascii="仿宋" w:hAnsi="仿宋" w:eastAsia="仿宋"/>
          <w:szCs w:val="32"/>
        </w:rPr>
      </w:pPr>
      <w:r>
        <w:rPr>
          <w:rFonts w:ascii="仿宋" w:hAnsi="仿宋" w:eastAsia="仿宋"/>
          <w:szCs w:val="32"/>
        </w:rPr>
        <w:drawing>
          <wp:inline distT="0" distB="0" distL="0" distR="0">
            <wp:extent cx="4572000" cy="2743200"/>
            <wp:effectExtent l="19050" t="0" r="1905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widowControl/>
        <w:spacing w:line="560" w:lineRule="exact"/>
        <w:ind w:firstLine="643" w:firstLineChars="200"/>
        <w:jc w:val="left"/>
        <w:rPr>
          <w:rFonts w:ascii="仿宋" w:hAnsi="仿宋" w:eastAsia="仿宋" w:cs="楷体_GB2312"/>
          <w:b/>
          <w:color w:val="000000"/>
          <w:kern w:val="0"/>
          <w:szCs w:val="32"/>
        </w:rPr>
      </w:pPr>
      <w:r>
        <w:rPr>
          <w:rFonts w:hint="eastAsia" w:ascii="仿宋" w:hAnsi="仿宋" w:eastAsia="仿宋" w:cs="楷体_GB2312"/>
          <w:b/>
          <w:color w:val="000000"/>
          <w:kern w:val="0"/>
          <w:szCs w:val="32"/>
        </w:rPr>
        <w:t>（二）</w:t>
      </w:r>
      <w:r>
        <w:rPr>
          <w:rFonts w:ascii="仿宋" w:hAnsi="仿宋" w:eastAsia="仿宋" w:cs="楷体_GB2312"/>
          <w:b/>
          <w:color w:val="000000"/>
          <w:kern w:val="0"/>
          <w:szCs w:val="32"/>
        </w:rPr>
        <w:t>财政拨款支出决算具体情况</w:t>
      </w:r>
      <w:r>
        <w:rPr>
          <w:rFonts w:hint="eastAsia" w:ascii="仿宋" w:hAnsi="仿宋" w:eastAsia="仿宋" w:cs="楷体_GB2312"/>
          <w:b/>
          <w:color w:val="000000"/>
          <w:kern w:val="0"/>
          <w:szCs w:val="32"/>
        </w:rPr>
        <w:t>说明</w:t>
      </w:r>
      <w:r>
        <w:rPr>
          <w:rFonts w:ascii="仿宋" w:hAnsi="仿宋" w:eastAsia="仿宋" w:cs="楷体_GB2312"/>
          <w:b/>
          <w:color w:val="000000"/>
          <w:kern w:val="0"/>
          <w:szCs w:val="32"/>
        </w:rPr>
        <w:t>。</w:t>
      </w:r>
    </w:p>
    <w:p>
      <w:pPr>
        <w:widowControl/>
        <w:spacing w:line="560" w:lineRule="exact"/>
        <w:ind w:firstLine="640" w:firstLineChars="200"/>
        <w:jc w:val="left"/>
        <w:rPr>
          <w:rFonts w:ascii="仿宋" w:hAnsi="仿宋" w:eastAsia="仿宋"/>
          <w:szCs w:val="32"/>
        </w:rPr>
      </w:pPr>
      <w:r>
        <w:rPr>
          <w:rFonts w:hint="eastAsia" w:ascii="仿宋" w:hAnsi="仿宋" w:eastAsia="仿宋" w:cs="仿宋_GB2312"/>
          <w:color w:val="000000"/>
          <w:kern w:val="0"/>
          <w:szCs w:val="32"/>
        </w:rPr>
        <w:t>2020年</w:t>
      </w:r>
      <w:r>
        <w:rPr>
          <w:rFonts w:hint="eastAsia" w:ascii="仿宋" w:hAnsi="仿宋" w:eastAsia="仿宋"/>
          <w:szCs w:val="32"/>
        </w:rPr>
        <w:t>度</w:t>
      </w:r>
      <w:r>
        <w:rPr>
          <w:rFonts w:ascii="仿宋" w:hAnsi="仿宋" w:eastAsia="仿宋" w:cs="仿宋_GB2312"/>
          <w:color w:val="000000"/>
          <w:kern w:val="0"/>
          <w:szCs w:val="32"/>
        </w:rPr>
        <w:t>财政拨款支出年初预算为</w:t>
      </w:r>
      <w:r>
        <w:rPr>
          <w:rFonts w:hint="eastAsia" w:ascii="仿宋" w:hAnsi="仿宋" w:eastAsia="仿宋" w:cs="仿宋_GB2312"/>
          <w:color w:val="000000"/>
          <w:kern w:val="0"/>
          <w:szCs w:val="32"/>
        </w:rPr>
        <w:t>543.32</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644.06</w:t>
      </w:r>
      <w:r>
        <w:rPr>
          <w:rFonts w:ascii="仿宋" w:hAnsi="仿宋" w:eastAsia="仿宋" w:cs="仿宋_GB2312"/>
          <w:color w:val="000000"/>
          <w:kern w:val="0"/>
          <w:szCs w:val="32"/>
        </w:rPr>
        <w:t>万元，完成年初预算的</w:t>
      </w:r>
      <w:r>
        <w:rPr>
          <w:rFonts w:hint="eastAsia" w:ascii="仿宋" w:hAnsi="仿宋" w:eastAsia="仿宋" w:cs="仿宋_GB2312"/>
          <w:color w:val="000000"/>
          <w:kern w:val="0"/>
          <w:szCs w:val="32"/>
        </w:rPr>
        <w:t>118.54</w:t>
      </w:r>
      <w:r>
        <w:rPr>
          <w:rFonts w:ascii="仿宋" w:hAnsi="仿宋" w:eastAsia="仿宋" w:cs="仿宋_GB2312"/>
          <w:color w:val="000000"/>
          <w:kern w:val="0"/>
          <w:szCs w:val="32"/>
        </w:rPr>
        <w:t>%。</w:t>
      </w:r>
      <w:r>
        <w:rPr>
          <w:rFonts w:hint="eastAsia" w:ascii="仿宋" w:hAnsi="仿宋" w:eastAsia="仿宋" w:cs="仿宋_GB2312"/>
          <w:color w:val="000000"/>
          <w:kern w:val="0"/>
          <w:szCs w:val="32"/>
        </w:rPr>
        <w:t>按照政府功能分类科目，</w:t>
      </w:r>
      <w:r>
        <w:rPr>
          <w:rFonts w:ascii="仿宋" w:hAnsi="仿宋" w:eastAsia="仿宋" w:cs="仿宋_GB2312"/>
          <w:color w:val="000000"/>
          <w:kern w:val="0"/>
          <w:szCs w:val="32"/>
        </w:rPr>
        <w:t xml:space="preserve">其中： </w:t>
      </w:r>
    </w:p>
    <w:p>
      <w:pPr>
        <w:widowControl/>
        <w:spacing w:line="560" w:lineRule="exact"/>
        <w:ind w:firstLine="643" w:firstLineChars="200"/>
        <w:jc w:val="left"/>
        <w:rPr>
          <w:rFonts w:ascii="仿宋" w:hAnsi="仿宋" w:eastAsia="仿宋" w:cs="仿宋_GB2312"/>
          <w:b/>
          <w:color w:val="000000"/>
          <w:kern w:val="0"/>
          <w:szCs w:val="32"/>
        </w:rPr>
      </w:pPr>
      <w:r>
        <w:rPr>
          <w:rFonts w:ascii="仿宋" w:hAnsi="仿宋" w:eastAsia="仿宋" w:cs="仿宋_GB2312"/>
          <w:b/>
          <w:color w:val="000000"/>
          <w:kern w:val="0"/>
          <w:szCs w:val="32"/>
        </w:rPr>
        <w:t>1.一般公共服务支出（类）</w:t>
      </w:r>
      <w:r>
        <w:rPr>
          <w:rFonts w:hint="eastAsia" w:ascii="仿宋" w:hAnsi="仿宋" w:eastAsia="仿宋" w:cs="仿宋_GB2312"/>
          <w:b/>
          <w:color w:val="000000"/>
          <w:kern w:val="0"/>
          <w:szCs w:val="32"/>
        </w:rPr>
        <w:t>政府办公厅（室）及相关机构事务</w:t>
      </w:r>
      <w:r>
        <w:rPr>
          <w:rFonts w:ascii="仿宋" w:hAnsi="仿宋" w:eastAsia="仿宋" w:cs="仿宋_GB2312"/>
          <w:b/>
          <w:color w:val="000000"/>
          <w:kern w:val="0"/>
          <w:szCs w:val="32"/>
        </w:rPr>
        <w:t xml:space="preserve">（款）行政运行（项）。 </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年初预算为</w:t>
      </w:r>
      <w:r>
        <w:rPr>
          <w:rFonts w:hint="eastAsia" w:ascii="仿宋" w:hAnsi="仿宋" w:eastAsia="仿宋" w:cs="仿宋_GB2312"/>
          <w:color w:val="000000"/>
          <w:kern w:val="0"/>
          <w:szCs w:val="32"/>
        </w:rPr>
        <w:t>383.32</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484.06</w:t>
      </w:r>
      <w:r>
        <w:rPr>
          <w:rFonts w:ascii="仿宋" w:hAnsi="仿宋" w:eastAsia="仿宋" w:cs="仿宋_GB2312"/>
          <w:color w:val="000000"/>
          <w:kern w:val="0"/>
          <w:szCs w:val="32"/>
        </w:rPr>
        <w:t>万元，完成年初预算的</w:t>
      </w:r>
      <w:r>
        <w:rPr>
          <w:rFonts w:hint="eastAsia" w:ascii="仿宋" w:hAnsi="仿宋" w:eastAsia="仿宋" w:cs="仿宋_GB2312"/>
          <w:color w:val="000000"/>
          <w:kern w:val="0"/>
          <w:szCs w:val="32"/>
        </w:rPr>
        <w:t>126.28</w:t>
      </w:r>
      <w:r>
        <w:rPr>
          <w:rFonts w:ascii="仿宋" w:hAnsi="仿宋" w:eastAsia="仿宋" w:cs="仿宋_GB2312"/>
          <w:color w:val="000000"/>
          <w:kern w:val="0"/>
          <w:szCs w:val="32"/>
        </w:rPr>
        <w:t>%。决算数大于预算数的主要原因是</w:t>
      </w:r>
      <w:r>
        <w:rPr>
          <w:rFonts w:hint="eastAsia" w:ascii="仿宋" w:hAnsi="仿宋" w:eastAsia="仿宋" w:cs="仿宋_GB2312"/>
          <w:color w:val="000000"/>
          <w:kern w:val="0"/>
          <w:szCs w:val="32"/>
        </w:rPr>
        <w:t>人员工资和社会保险、公积金基数的调整及目标奖的发放。</w:t>
      </w:r>
    </w:p>
    <w:p>
      <w:pPr>
        <w:widowControl/>
        <w:spacing w:line="560" w:lineRule="exact"/>
        <w:ind w:firstLine="643" w:firstLineChars="200"/>
        <w:jc w:val="left"/>
        <w:rPr>
          <w:rFonts w:ascii="仿宋" w:hAnsi="仿宋" w:eastAsia="仿宋" w:cs="仿宋_GB2312"/>
          <w:b/>
          <w:color w:val="000000"/>
          <w:kern w:val="0"/>
          <w:szCs w:val="32"/>
        </w:rPr>
      </w:pPr>
      <w:r>
        <w:rPr>
          <w:rFonts w:hint="eastAsia" w:ascii="仿宋" w:hAnsi="仿宋" w:eastAsia="仿宋" w:cs="仿宋_GB2312"/>
          <w:b/>
          <w:color w:val="000000"/>
          <w:kern w:val="0"/>
          <w:szCs w:val="32"/>
        </w:rPr>
        <w:t>2</w:t>
      </w:r>
      <w:r>
        <w:rPr>
          <w:rFonts w:ascii="仿宋" w:hAnsi="仿宋" w:eastAsia="仿宋" w:cs="仿宋_GB2312"/>
          <w:b/>
          <w:color w:val="000000"/>
          <w:kern w:val="0"/>
          <w:szCs w:val="32"/>
        </w:rPr>
        <w:t>.一般公共服务支出（类）</w:t>
      </w:r>
      <w:r>
        <w:rPr>
          <w:rFonts w:hint="eastAsia" w:ascii="仿宋" w:hAnsi="仿宋" w:eastAsia="仿宋" w:cs="仿宋_GB2312"/>
          <w:b/>
          <w:color w:val="000000"/>
          <w:kern w:val="0"/>
          <w:szCs w:val="32"/>
        </w:rPr>
        <w:t>政府办公厅（室）及相关机构事务</w:t>
      </w:r>
      <w:r>
        <w:rPr>
          <w:rFonts w:ascii="仿宋" w:hAnsi="仿宋" w:eastAsia="仿宋" w:cs="仿宋_GB2312"/>
          <w:b/>
          <w:color w:val="000000"/>
          <w:kern w:val="0"/>
          <w:szCs w:val="32"/>
        </w:rPr>
        <w:t>（款）</w:t>
      </w:r>
      <w:r>
        <w:rPr>
          <w:rFonts w:hint="eastAsia" w:ascii="仿宋" w:hAnsi="仿宋" w:eastAsia="仿宋" w:cs="仿宋_GB2312"/>
          <w:b/>
          <w:color w:val="000000"/>
          <w:kern w:val="0"/>
          <w:szCs w:val="32"/>
        </w:rPr>
        <w:t>事业运行</w:t>
      </w:r>
      <w:r>
        <w:rPr>
          <w:rFonts w:ascii="仿宋" w:hAnsi="仿宋" w:eastAsia="仿宋" w:cs="仿宋_GB2312"/>
          <w:b/>
          <w:color w:val="000000"/>
          <w:kern w:val="0"/>
          <w:szCs w:val="32"/>
        </w:rPr>
        <w:t xml:space="preserve">（项）。 </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年初预算为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w:t>
      </w:r>
      <w:r>
        <w:rPr>
          <w:rFonts w:hint="eastAsia" w:ascii="仿宋" w:hAnsi="仿宋" w:eastAsia="仿宋" w:cs="仿宋_GB2312"/>
          <w:color w:val="000000"/>
          <w:kern w:val="0"/>
          <w:szCs w:val="32"/>
        </w:rPr>
        <w:t>调整预算为62.5万元，</w:t>
      </w:r>
      <w:r>
        <w:rPr>
          <w:rFonts w:ascii="仿宋" w:hAnsi="仿宋" w:eastAsia="仿宋" w:cs="仿宋_GB2312"/>
          <w:color w:val="000000"/>
          <w:kern w:val="0"/>
          <w:szCs w:val="32"/>
        </w:rPr>
        <w:t>支出决算为</w:t>
      </w:r>
      <w:r>
        <w:rPr>
          <w:rFonts w:hint="eastAsia" w:ascii="仿宋" w:hAnsi="仿宋" w:eastAsia="仿宋" w:cs="仿宋_GB2312"/>
          <w:color w:val="000000"/>
          <w:kern w:val="0"/>
          <w:szCs w:val="32"/>
        </w:rPr>
        <w:t>62.5</w:t>
      </w:r>
      <w:r>
        <w:rPr>
          <w:rFonts w:ascii="仿宋" w:hAnsi="仿宋" w:eastAsia="仿宋" w:cs="仿宋_GB2312"/>
          <w:color w:val="000000"/>
          <w:kern w:val="0"/>
          <w:szCs w:val="32"/>
        </w:rPr>
        <w:t>万元，完成</w:t>
      </w:r>
      <w:r>
        <w:rPr>
          <w:rFonts w:hint="eastAsia" w:ascii="仿宋" w:hAnsi="仿宋" w:eastAsia="仿宋" w:cs="仿宋_GB2312"/>
          <w:color w:val="000000"/>
          <w:kern w:val="0"/>
          <w:szCs w:val="32"/>
        </w:rPr>
        <w:t>调整</w:t>
      </w:r>
      <w:r>
        <w:rPr>
          <w:rFonts w:ascii="仿宋" w:hAnsi="仿宋" w:eastAsia="仿宋" w:cs="仿宋_GB2312"/>
          <w:color w:val="000000"/>
          <w:kern w:val="0"/>
          <w:szCs w:val="32"/>
        </w:rPr>
        <w:t>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与</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持平。</w:t>
      </w:r>
    </w:p>
    <w:p>
      <w:pPr>
        <w:widowControl/>
        <w:spacing w:line="560" w:lineRule="exact"/>
        <w:ind w:firstLine="643" w:firstLineChars="200"/>
        <w:jc w:val="left"/>
        <w:rPr>
          <w:rFonts w:ascii="仿宋" w:hAnsi="仿宋" w:eastAsia="仿宋"/>
          <w:szCs w:val="32"/>
        </w:rPr>
      </w:pPr>
      <w:r>
        <w:rPr>
          <w:rFonts w:hint="eastAsia" w:ascii="仿宋" w:hAnsi="仿宋" w:eastAsia="仿宋" w:cs="仿宋_GB2312"/>
          <w:b/>
          <w:color w:val="000000"/>
          <w:kern w:val="0"/>
          <w:szCs w:val="32"/>
        </w:rPr>
        <w:t>3</w:t>
      </w:r>
      <w:r>
        <w:rPr>
          <w:rFonts w:ascii="仿宋" w:hAnsi="仿宋" w:eastAsia="仿宋" w:cs="仿宋_GB2312"/>
          <w:b/>
          <w:color w:val="000000"/>
          <w:kern w:val="0"/>
          <w:szCs w:val="32"/>
        </w:rPr>
        <w:t>.一般公共服务支出（类）</w:t>
      </w:r>
      <w:r>
        <w:rPr>
          <w:rFonts w:hint="eastAsia" w:ascii="仿宋" w:hAnsi="仿宋" w:eastAsia="仿宋" w:cs="仿宋_GB2312"/>
          <w:b/>
          <w:color w:val="000000"/>
          <w:kern w:val="0"/>
          <w:szCs w:val="32"/>
        </w:rPr>
        <w:t>政府办公厅（室）及相关机构事务</w:t>
      </w:r>
      <w:r>
        <w:rPr>
          <w:rFonts w:ascii="仿宋" w:hAnsi="仿宋" w:eastAsia="仿宋" w:cs="仿宋_GB2312"/>
          <w:b/>
          <w:color w:val="000000"/>
          <w:kern w:val="0"/>
          <w:szCs w:val="32"/>
        </w:rPr>
        <w:t>（款）</w:t>
      </w:r>
      <w:r>
        <w:rPr>
          <w:rFonts w:hint="eastAsia" w:ascii="仿宋" w:hAnsi="仿宋" w:eastAsia="仿宋" w:cs="仿宋_GB2312"/>
          <w:b/>
          <w:color w:val="000000"/>
          <w:kern w:val="0"/>
          <w:szCs w:val="32"/>
        </w:rPr>
        <w:t>其他政府办公厅（室）及相关机构事务支出</w:t>
      </w:r>
      <w:r>
        <w:rPr>
          <w:rFonts w:ascii="仿宋" w:hAnsi="仿宋" w:eastAsia="仿宋" w:cs="仿宋_GB2312"/>
          <w:b/>
          <w:color w:val="000000"/>
          <w:kern w:val="0"/>
          <w:szCs w:val="32"/>
        </w:rPr>
        <w:t xml:space="preserve">（项）。 </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年初预算为</w:t>
      </w:r>
      <w:r>
        <w:rPr>
          <w:rFonts w:hint="eastAsia" w:ascii="仿宋" w:hAnsi="仿宋" w:eastAsia="仿宋" w:cs="仿宋_GB2312"/>
          <w:color w:val="000000"/>
          <w:kern w:val="0"/>
          <w:szCs w:val="32"/>
        </w:rPr>
        <w:t>160</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160</w:t>
      </w:r>
      <w:r>
        <w:rPr>
          <w:rFonts w:ascii="仿宋" w:hAnsi="仿宋" w:eastAsia="仿宋" w:cs="仿宋_GB2312"/>
          <w:color w:val="000000"/>
          <w:kern w:val="0"/>
          <w:szCs w:val="32"/>
        </w:rPr>
        <w:t>万元，完成年初预算的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与</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持平。</w:t>
      </w:r>
    </w:p>
    <w:p>
      <w:pPr>
        <w:widowControl/>
        <w:spacing w:line="560" w:lineRule="exact"/>
        <w:ind w:firstLine="643" w:firstLineChars="200"/>
        <w:jc w:val="left"/>
        <w:rPr>
          <w:rFonts w:ascii="仿宋" w:hAnsi="仿宋" w:eastAsia="仿宋" w:cs="仿宋_GB2312"/>
          <w:b/>
          <w:color w:val="000000"/>
          <w:kern w:val="0"/>
          <w:szCs w:val="32"/>
        </w:rPr>
      </w:pPr>
      <w:r>
        <w:rPr>
          <w:rFonts w:hint="eastAsia" w:ascii="仿宋" w:hAnsi="仿宋" w:eastAsia="仿宋" w:cs="仿宋_GB2312"/>
          <w:b/>
          <w:color w:val="000000"/>
          <w:kern w:val="0"/>
          <w:szCs w:val="32"/>
        </w:rPr>
        <w:t>4.社会保障和就业支出</w:t>
      </w:r>
      <w:r>
        <w:rPr>
          <w:rFonts w:ascii="仿宋" w:hAnsi="仿宋" w:eastAsia="仿宋" w:cs="仿宋_GB2312"/>
          <w:b/>
          <w:color w:val="000000"/>
          <w:kern w:val="0"/>
          <w:szCs w:val="32"/>
        </w:rPr>
        <w:t>（类</w:t>
      </w:r>
      <w:r>
        <w:rPr>
          <w:rFonts w:hint="eastAsia" w:ascii="仿宋" w:hAnsi="仿宋" w:eastAsia="仿宋" w:cs="仿宋_GB2312"/>
          <w:b/>
          <w:color w:val="000000"/>
          <w:kern w:val="0"/>
          <w:szCs w:val="32"/>
        </w:rPr>
        <w:t>）行政事业单位离退休</w:t>
      </w:r>
      <w:r>
        <w:rPr>
          <w:rFonts w:ascii="仿宋" w:hAnsi="仿宋" w:eastAsia="仿宋" w:cs="仿宋_GB2312"/>
          <w:b/>
          <w:color w:val="000000"/>
          <w:kern w:val="0"/>
          <w:szCs w:val="32"/>
        </w:rPr>
        <w:t>（</w:t>
      </w:r>
      <w:r>
        <w:rPr>
          <w:rFonts w:hint="eastAsia" w:ascii="仿宋" w:hAnsi="仿宋" w:eastAsia="仿宋" w:cs="仿宋_GB2312"/>
          <w:b/>
          <w:color w:val="000000"/>
          <w:kern w:val="0"/>
          <w:szCs w:val="32"/>
        </w:rPr>
        <w:t>款</w:t>
      </w:r>
      <w:r>
        <w:rPr>
          <w:rFonts w:ascii="仿宋" w:hAnsi="仿宋" w:eastAsia="仿宋" w:cs="仿宋_GB2312"/>
          <w:b/>
          <w:color w:val="000000"/>
          <w:kern w:val="0"/>
          <w:szCs w:val="32"/>
        </w:rPr>
        <w:t>）</w:t>
      </w:r>
      <w:r>
        <w:rPr>
          <w:rFonts w:hint="eastAsia" w:ascii="仿宋" w:hAnsi="仿宋" w:eastAsia="仿宋" w:cs="仿宋_GB2312"/>
          <w:b/>
          <w:color w:val="000000"/>
          <w:kern w:val="0"/>
          <w:szCs w:val="32"/>
        </w:rPr>
        <w:t>机关事业单位基本养老保险缴费支出</w:t>
      </w:r>
      <w:r>
        <w:rPr>
          <w:rFonts w:ascii="仿宋" w:hAnsi="仿宋" w:eastAsia="仿宋" w:cs="仿宋_GB2312"/>
          <w:b/>
          <w:color w:val="000000"/>
          <w:kern w:val="0"/>
          <w:szCs w:val="32"/>
        </w:rPr>
        <w:t>（</w:t>
      </w:r>
      <w:r>
        <w:rPr>
          <w:rFonts w:hint="eastAsia" w:ascii="仿宋" w:hAnsi="仿宋" w:eastAsia="仿宋" w:cs="仿宋_GB2312"/>
          <w:b/>
          <w:color w:val="000000"/>
          <w:kern w:val="0"/>
          <w:szCs w:val="32"/>
        </w:rPr>
        <w:t>项</w:t>
      </w:r>
      <w:r>
        <w:rPr>
          <w:rFonts w:ascii="仿宋" w:hAnsi="仿宋" w:eastAsia="仿宋" w:cs="仿宋_GB2312"/>
          <w:b/>
          <w:color w:val="000000"/>
          <w:kern w:val="0"/>
          <w:szCs w:val="32"/>
        </w:rPr>
        <w:t>）</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年初预算为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w:t>
      </w:r>
      <w:r>
        <w:rPr>
          <w:rFonts w:hint="eastAsia" w:ascii="仿宋" w:hAnsi="仿宋" w:eastAsia="仿宋" w:cs="仿宋_GB2312"/>
          <w:color w:val="000000"/>
          <w:kern w:val="0"/>
          <w:szCs w:val="32"/>
        </w:rPr>
        <w:t>调整预算为33.17万元，</w:t>
      </w:r>
      <w:r>
        <w:rPr>
          <w:rFonts w:ascii="仿宋" w:hAnsi="仿宋" w:eastAsia="仿宋" w:cs="仿宋_GB2312"/>
          <w:color w:val="000000"/>
          <w:kern w:val="0"/>
          <w:szCs w:val="32"/>
        </w:rPr>
        <w:t>支出决算为</w:t>
      </w:r>
      <w:r>
        <w:rPr>
          <w:rFonts w:hint="eastAsia" w:ascii="仿宋" w:hAnsi="仿宋" w:eastAsia="仿宋" w:cs="仿宋_GB2312"/>
          <w:color w:val="000000"/>
          <w:kern w:val="0"/>
          <w:szCs w:val="32"/>
        </w:rPr>
        <w:t>33.17</w:t>
      </w:r>
      <w:r>
        <w:rPr>
          <w:rFonts w:ascii="仿宋" w:hAnsi="仿宋" w:eastAsia="仿宋" w:cs="仿宋_GB2312"/>
          <w:color w:val="000000"/>
          <w:kern w:val="0"/>
          <w:szCs w:val="32"/>
        </w:rPr>
        <w:t>万元，完成</w:t>
      </w:r>
      <w:r>
        <w:rPr>
          <w:rFonts w:hint="eastAsia" w:ascii="仿宋" w:hAnsi="仿宋" w:eastAsia="仿宋" w:cs="仿宋_GB2312"/>
          <w:color w:val="000000"/>
          <w:kern w:val="0"/>
          <w:szCs w:val="32"/>
        </w:rPr>
        <w:t>调整</w:t>
      </w:r>
      <w:r>
        <w:rPr>
          <w:rFonts w:ascii="仿宋" w:hAnsi="仿宋" w:eastAsia="仿宋" w:cs="仿宋_GB2312"/>
          <w:color w:val="000000"/>
          <w:kern w:val="0"/>
          <w:szCs w:val="32"/>
        </w:rPr>
        <w:t>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与</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持平。</w:t>
      </w:r>
    </w:p>
    <w:p>
      <w:pPr>
        <w:widowControl/>
        <w:spacing w:line="560" w:lineRule="exact"/>
        <w:ind w:firstLine="643" w:firstLineChars="200"/>
        <w:jc w:val="left"/>
        <w:rPr>
          <w:rFonts w:ascii="仿宋" w:hAnsi="仿宋" w:eastAsia="仿宋" w:cs="仿宋_GB2312"/>
          <w:b/>
          <w:color w:val="000000"/>
          <w:kern w:val="0"/>
          <w:szCs w:val="32"/>
        </w:rPr>
      </w:pPr>
      <w:r>
        <w:rPr>
          <w:rFonts w:hint="eastAsia" w:ascii="仿宋" w:hAnsi="仿宋" w:eastAsia="仿宋" w:cs="仿宋_GB2312"/>
          <w:b/>
          <w:color w:val="000000"/>
          <w:kern w:val="0"/>
          <w:szCs w:val="32"/>
        </w:rPr>
        <w:t>5.卫生健康支出</w:t>
      </w:r>
      <w:r>
        <w:rPr>
          <w:rFonts w:ascii="仿宋" w:hAnsi="仿宋" w:eastAsia="仿宋" w:cs="仿宋_GB2312"/>
          <w:b/>
          <w:color w:val="000000"/>
          <w:kern w:val="0"/>
          <w:szCs w:val="32"/>
        </w:rPr>
        <w:t>（类</w:t>
      </w:r>
      <w:r>
        <w:rPr>
          <w:rFonts w:hint="eastAsia" w:ascii="仿宋" w:hAnsi="仿宋" w:eastAsia="仿宋" w:cs="仿宋_GB2312"/>
          <w:b/>
          <w:color w:val="000000"/>
          <w:kern w:val="0"/>
          <w:szCs w:val="32"/>
        </w:rPr>
        <w:t>）行政事业单位医疗</w:t>
      </w:r>
      <w:r>
        <w:rPr>
          <w:rFonts w:ascii="仿宋" w:hAnsi="仿宋" w:eastAsia="仿宋" w:cs="仿宋_GB2312"/>
          <w:b/>
          <w:color w:val="000000"/>
          <w:kern w:val="0"/>
          <w:szCs w:val="32"/>
        </w:rPr>
        <w:t>（</w:t>
      </w:r>
      <w:r>
        <w:rPr>
          <w:rFonts w:hint="eastAsia" w:ascii="仿宋" w:hAnsi="仿宋" w:eastAsia="仿宋" w:cs="仿宋_GB2312"/>
          <w:b/>
          <w:color w:val="000000"/>
          <w:kern w:val="0"/>
          <w:szCs w:val="32"/>
        </w:rPr>
        <w:t>款</w:t>
      </w:r>
      <w:r>
        <w:rPr>
          <w:rFonts w:ascii="仿宋" w:hAnsi="仿宋" w:eastAsia="仿宋" w:cs="仿宋_GB2312"/>
          <w:b/>
          <w:color w:val="000000"/>
          <w:kern w:val="0"/>
          <w:szCs w:val="32"/>
        </w:rPr>
        <w:t>）</w:t>
      </w:r>
      <w:r>
        <w:rPr>
          <w:rFonts w:hint="eastAsia" w:ascii="仿宋" w:hAnsi="仿宋" w:eastAsia="仿宋" w:cs="仿宋_GB2312"/>
          <w:b/>
          <w:color w:val="000000"/>
          <w:kern w:val="0"/>
          <w:szCs w:val="32"/>
        </w:rPr>
        <w:t>行政单位医疗</w:t>
      </w:r>
      <w:r>
        <w:rPr>
          <w:rFonts w:ascii="仿宋" w:hAnsi="仿宋" w:eastAsia="仿宋" w:cs="仿宋_GB2312"/>
          <w:b/>
          <w:color w:val="000000"/>
          <w:kern w:val="0"/>
          <w:szCs w:val="32"/>
        </w:rPr>
        <w:t>（</w:t>
      </w:r>
      <w:r>
        <w:rPr>
          <w:rFonts w:hint="eastAsia" w:ascii="仿宋" w:hAnsi="仿宋" w:eastAsia="仿宋" w:cs="仿宋_GB2312"/>
          <w:b/>
          <w:color w:val="000000"/>
          <w:kern w:val="0"/>
          <w:szCs w:val="32"/>
        </w:rPr>
        <w:t>项</w:t>
      </w:r>
      <w:r>
        <w:rPr>
          <w:rFonts w:ascii="仿宋" w:hAnsi="仿宋" w:eastAsia="仿宋" w:cs="仿宋_GB2312"/>
          <w:b/>
          <w:color w:val="000000"/>
          <w:kern w:val="0"/>
          <w:szCs w:val="32"/>
        </w:rPr>
        <w:t>）</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年初预算为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8.36</w:t>
      </w:r>
      <w:r>
        <w:rPr>
          <w:rFonts w:ascii="仿宋" w:hAnsi="仿宋" w:eastAsia="仿宋" w:cs="仿宋_GB2312"/>
          <w:color w:val="000000"/>
          <w:kern w:val="0"/>
          <w:szCs w:val="32"/>
        </w:rPr>
        <w:t>万元，完成</w:t>
      </w:r>
      <w:r>
        <w:rPr>
          <w:rFonts w:hint="eastAsia" w:ascii="仿宋" w:hAnsi="仿宋" w:eastAsia="仿宋" w:cs="仿宋_GB2312"/>
          <w:color w:val="000000"/>
          <w:kern w:val="0"/>
          <w:szCs w:val="32"/>
        </w:rPr>
        <w:t>调整</w:t>
      </w:r>
      <w:r>
        <w:rPr>
          <w:rFonts w:ascii="仿宋" w:hAnsi="仿宋" w:eastAsia="仿宋" w:cs="仿宋_GB2312"/>
          <w:color w:val="000000"/>
          <w:kern w:val="0"/>
          <w:szCs w:val="32"/>
        </w:rPr>
        <w:t>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%。完成</w:t>
      </w:r>
      <w:r>
        <w:rPr>
          <w:rFonts w:hint="eastAsia" w:ascii="仿宋" w:hAnsi="仿宋" w:eastAsia="仿宋" w:cs="仿宋_GB2312"/>
          <w:color w:val="000000"/>
          <w:kern w:val="0"/>
          <w:szCs w:val="32"/>
        </w:rPr>
        <w:t>调整</w:t>
      </w:r>
      <w:r>
        <w:rPr>
          <w:rFonts w:ascii="仿宋" w:hAnsi="仿宋" w:eastAsia="仿宋" w:cs="仿宋_GB2312"/>
          <w:color w:val="000000"/>
          <w:kern w:val="0"/>
          <w:szCs w:val="32"/>
        </w:rPr>
        <w:t>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与</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持平。</w:t>
      </w:r>
    </w:p>
    <w:p>
      <w:pPr>
        <w:spacing w:line="560" w:lineRule="exact"/>
        <w:ind w:firstLine="643" w:firstLineChars="200"/>
        <w:rPr>
          <w:rFonts w:ascii="仿宋" w:hAnsi="仿宋" w:eastAsia="仿宋" w:cstheme="minorEastAsia"/>
          <w:b/>
          <w:bCs/>
          <w:szCs w:val="32"/>
        </w:rPr>
      </w:pPr>
      <w:r>
        <w:rPr>
          <w:rFonts w:hint="eastAsia" w:ascii="仿宋" w:hAnsi="仿宋" w:eastAsia="仿宋" w:cstheme="minorEastAsia"/>
          <w:b/>
          <w:bCs/>
          <w:color w:val="000000"/>
          <w:kern w:val="0"/>
          <w:szCs w:val="32"/>
        </w:rPr>
        <w:t xml:space="preserve">六、一般公共预算财政拨款基本支出决算情况说明 </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cs="仿宋_GB2312"/>
          <w:color w:val="000000"/>
          <w:kern w:val="0"/>
          <w:szCs w:val="32"/>
        </w:rPr>
        <w:t>2020年</w:t>
      </w:r>
      <w:r>
        <w:rPr>
          <w:rFonts w:hint="eastAsia" w:ascii="仿宋" w:hAnsi="仿宋" w:eastAsia="仿宋"/>
          <w:szCs w:val="32"/>
        </w:rPr>
        <w:t>度</w:t>
      </w:r>
      <w:r>
        <w:rPr>
          <w:rFonts w:ascii="仿宋" w:hAnsi="仿宋" w:eastAsia="仿宋" w:cs="仿宋_GB2312"/>
          <w:color w:val="000000"/>
          <w:kern w:val="0"/>
          <w:szCs w:val="32"/>
        </w:rPr>
        <w:t>一般公共预算财政拨款基本支出</w:t>
      </w:r>
      <w:r>
        <w:rPr>
          <w:rFonts w:hint="eastAsia" w:ascii="仿宋" w:hAnsi="仿宋" w:eastAsia="仿宋" w:cs="仿宋_GB2312"/>
          <w:color w:val="000000"/>
          <w:kern w:val="0"/>
          <w:szCs w:val="32"/>
        </w:rPr>
        <w:t>484.06</w:t>
      </w:r>
      <w:r>
        <w:rPr>
          <w:rFonts w:ascii="仿宋" w:hAnsi="仿宋" w:eastAsia="仿宋" w:cs="仿宋_GB2312"/>
          <w:color w:val="000000"/>
          <w:kern w:val="0"/>
          <w:szCs w:val="32"/>
        </w:rPr>
        <w:t>万元，包括：人员经费支出</w:t>
      </w:r>
      <w:r>
        <w:rPr>
          <w:rFonts w:hint="eastAsia" w:ascii="仿宋" w:hAnsi="仿宋" w:eastAsia="仿宋" w:cs="仿宋_GB2312"/>
          <w:color w:val="000000"/>
          <w:kern w:val="0"/>
          <w:szCs w:val="32"/>
        </w:rPr>
        <w:t>450.29</w:t>
      </w:r>
      <w:r>
        <w:rPr>
          <w:rFonts w:ascii="仿宋" w:hAnsi="仿宋" w:eastAsia="仿宋" w:cs="仿宋_GB2312"/>
          <w:color w:val="000000"/>
          <w:kern w:val="0"/>
          <w:szCs w:val="32"/>
        </w:rPr>
        <w:t>万元和公用经费支出</w:t>
      </w:r>
      <w:r>
        <w:rPr>
          <w:rFonts w:hint="eastAsia" w:ascii="仿宋" w:hAnsi="仿宋" w:eastAsia="仿宋" w:cs="仿宋_GB2312"/>
          <w:color w:val="000000"/>
          <w:kern w:val="0"/>
          <w:szCs w:val="32"/>
        </w:rPr>
        <w:t>33.77</w:t>
      </w:r>
      <w:r>
        <w:rPr>
          <w:rFonts w:ascii="仿宋" w:hAnsi="仿宋" w:eastAsia="仿宋" w:cs="仿宋_GB2312"/>
          <w:color w:val="000000"/>
          <w:kern w:val="0"/>
          <w:szCs w:val="32"/>
        </w:rPr>
        <w:t>万元。</w:t>
      </w:r>
    </w:p>
    <w:p>
      <w:pPr>
        <w:widowControl/>
        <w:spacing w:line="560" w:lineRule="exact"/>
        <w:ind w:firstLine="643" w:firstLineChars="200"/>
        <w:jc w:val="left"/>
        <w:rPr>
          <w:rFonts w:ascii="仿宋" w:hAnsi="仿宋" w:eastAsia="仿宋" w:cs="仿宋_GB2312"/>
          <w:color w:val="000000"/>
          <w:kern w:val="0"/>
          <w:szCs w:val="32"/>
        </w:rPr>
      </w:pPr>
      <w:r>
        <w:rPr>
          <w:rFonts w:ascii="仿宋" w:hAnsi="仿宋" w:eastAsia="仿宋" w:cs="仿宋_GB2312"/>
          <w:b/>
          <w:bCs/>
          <w:color w:val="000000"/>
          <w:kern w:val="0"/>
          <w:szCs w:val="32"/>
        </w:rPr>
        <w:t>人员经费</w:t>
      </w:r>
      <w:r>
        <w:rPr>
          <w:rFonts w:hint="eastAsia" w:ascii="仿宋" w:hAnsi="仿宋" w:eastAsia="仿宋" w:cs="仿宋_GB2312"/>
          <w:color w:val="000000"/>
          <w:kern w:val="0"/>
          <w:szCs w:val="32"/>
        </w:rPr>
        <w:t>450.29</w:t>
      </w:r>
      <w:r>
        <w:rPr>
          <w:rFonts w:ascii="仿宋" w:hAnsi="仿宋" w:eastAsia="仿宋" w:cs="仿宋_GB2312"/>
          <w:color w:val="000000"/>
          <w:kern w:val="0"/>
          <w:szCs w:val="32"/>
        </w:rPr>
        <w:t>万元，主要包括基本工资</w:t>
      </w:r>
      <w:r>
        <w:rPr>
          <w:rFonts w:hint="eastAsia" w:ascii="仿宋" w:hAnsi="仿宋" w:eastAsia="仿宋" w:cs="仿宋_GB2312"/>
          <w:color w:val="000000"/>
          <w:kern w:val="0"/>
          <w:szCs w:val="32"/>
        </w:rPr>
        <w:t>103.52万元、津贴补贴95.66万元、奖金125.07万元、绩效工资19.58万元、机关事业基本养老保险缴费33.17万元、职业年金缴费7.62万元、职工基本医疗保险缴费8.36万元、住房公积金54.97万元、对个人和家庭的补助2.34万元。</w:t>
      </w:r>
    </w:p>
    <w:p>
      <w:pPr>
        <w:widowControl/>
        <w:spacing w:line="560" w:lineRule="exact"/>
        <w:ind w:firstLine="643" w:firstLineChars="200"/>
        <w:jc w:val="left"/>
        <w:rPr>
          <w:rFonts w:ascii="仿宋" w:hAnsi="仿宋" w:eastAsia="仿宋"/>
          <w:szCs w:val="32"/>
        </w:rPr>
      </w:pPr>
      <w:r>
        <w:rPr>
          <w:rFonts w:ascii="仿宋" w:hAnsi="仿宋" w:eastAsia="仿宋" w:cs="仿宋_GB2312"/>
          <w:b/>
          <w:bCs/>
          <w:color w:val="000000"/>
          <w:kern w:val="0"/>
          <w:szCs w:val="32"/>
        </w:rPr>
        <w:t>公用经费</w:t>
      </w:r>
      <w:r>
        <w:rPr>
          <w:rFonts w:hint="eastAsia" w:ascii="仿宋" w:hAnsi="仿宋" w:eastAsia="仿宋" w:cs="仿宋_GB2312"/>
          <w:color w:val="000000"/>
          <w:kern w:val="0"/>
          <w:szCs w:val="32"/>
        </w:rPr>
        <w:t>33.77</w:t>
      </w:r>
      <w:r>
        <w:rPr>
          <w:rFonts w:ascii="仿宋" w:hAnsi="仿宋" w:eastAsia="仿宋" w:cs="仿宋_GB2312"/>
          <w:color w:val="000000"/>
          <w:kern w:val="0"/>
          <w:szCs w:val="32"/>
        </w:rPr>
        <w:t>万元，主要包括</w:t>
      </w:r>
      <w:r>
        <w:rPr>
          <w:rFonts w:hint="eastAsia" w:ascii="仿宋" w:hAnsi="仿宋" w:eastAsia="仿宋" w:cs="仿宋_GB2312"/>
          <w:color w:val="000000"/>
          <w:kern w:val="0"/>
          <w:szCs w:val="32"/>
        </w:rPr>
        <w:t>（单位支出涉及的款级科目）差旅费1.02万元、工会经费7万元、公务用车运行维护费14.45万元、其他交通费11.3万元。</w:t>
      </w:r>
    </w:p>
    <w:p>
      <w:pPr>
        <w:spacing w:line="560" w:lineRule="exact"/>
        <w:ind w:firstLine="643" w:firstLineChars="200"/>
        <w:rPr>
          <w:rFonts w:ascii="仿宋" w:hAnsi="仿宋" w:eastAsia="仿宋" w:cstheme="minorEastAsia"/>
          <w:b/>
          <w:bCs/>
          <w:color w:val="000000"/>
          <w:kern w:val="0"/>
          <w:szCs w:val="32"/>
        </w:rPr>
      </w:pPr>
      <w:r>
        <w:rPr>
          <w:rFonts w:hint="eastAsia" w:ascii="仿宋" w:hAnsi="仿宋" w:eastAsia="仿宋" w:cstheme="minorEastAsia"/>
          <w:b/>
          <w:bCs/>
          <w:color w:val="000000"/>
          <w:kern w:val="0"/>
          <w:szCs w:val="32"/>
        </w:rPr>
        <w:t xml:space="preserve">七、一般公共预算财政拨款“三公”经费及会议费、培训费支出决算情况说明 </w:t>
      </w:r>
    </w:p>
    <w:p>
      <w:pPr>
        <w:widowControl/>
        <w:spacing w:line="560" w:lineRule="exact"/>
        <w:ind w:firstLine="643" w:firstLineChars="200"/>
        <w:jc w:val="left"/>
        <w:rPr>
          <w:rFonts w:ascii="仿宋" w:hAnsi="仿宋" w:eastAsia="仿宋"/>
          <w:szCs w:val="32"/>
        </w:rPr>
      </w:pPr>
      <w:r>
        <w:rPr>
          <w:rFonts w:ascii="仿宋" w:hAnsi="仿宋" w:eastAsia="仿宋" w:cs="楷体_GB2312"/>
          <w:b/>
          <w:color w:val="000000"/>
          <w:kern w:val="0"/>
          <w:szCs w:val="32"/>
        </w:rPr>
        <w:t>（一）“三公”经费财政拨款支出决算总体情况</w:t>
      </w:r>
      <w:r>
        <w:rPr>
          <w:rFonts w:hint="eastAsia" w:ascii="仿宋" w:hAnsi="仿宋" w:eastAsia="仿宋" w:cs="楷体_GB2312"/>
          <w:b/>
          <w:color w:val="000000"/>
          <w:kern w:val="0"/>
          <w:szCs w:val="32"/>
        </w:rPr>
        <w:t>说明</w:t>
      </w:r>
      <w:r>
        <w:rPr>
          <w:rFonts w:ascii="仿宋" w:hAnsi="仿宋" w:eastAsia="仿宋" w:cs="楷体_GB2312"/>
          <w:b/>
          <w:color w:val="000000"/>
          <w:kern w:val="0"/>
          <w:szCs w:val="32"/>
        </w:rPr>
        <w:t xml:space="preserve">。 </w:t>
      </w:r>
    </w:p>
    <w:p>
      <w:pPr>
        <w:widowControl/>
        <w:spacing w:line="560" w:lineRule="exact"/>
        <w:ind w:firstLine="640" w:firstLineChars="200"/>
        <w:jc w:val="left"/>
        <w:rPr>
          <w:rFonts w:ascii="仿宋" w:hAnsi="仿宋" w:eastAsia="仿宋"/>
          <w:szCs w:val="32"/>
        </w:rPr>
      </w:pPr>
      <w:r>
        <w:rPr>
          <w:rFonts w:hint="eastAsia" w:ascii="仿宋" w:hAnsi="仿宋" w:eastAsia="仿宋" w:cs="仿宋_GB2312"/>
          <w:color w:val="000000"/>
          <w:kern w:val="0"/>
          <w:szCs w:val="32"/>
        </w:rPr>
        <w:t>2020年</w:t>
      </w:r>
      <w:r>
        <w:rPr>
          <w:rFonts w:hint="eastAsia" w:ascii="仿宋" w:hAnsi="仿宋" w:eastAsia="仿宋"/>
          <w:szCs w:val="32"/>
        </w:rPr>
        <w:t>度</w:t>
      </w:r>
      <w:r>
        <w:rPr>
          <w:rFonts w:ascii="仿宋" w:hAnsi="仿宋" w:eastAsia="仿宋" w:cs="仿宋_GB2312"/>
          <w:color w:val="000000"/>
          <w:kern w:val="0"/>
          <w:szCs w:val="32"/>
        </w:rPr>
        <w:t>“三公”经费财政拨款支出预算为</w:t>
      </w:r>
      <w:r>
        <w:rPr>
          <w:rFonts w:hint="eastAsia" w:ascii="仿宋" w:hAnsi="仿宋" w:eastAsia="仿宋" w:cs="仿宋_GB2312"/>
          <w:color w:val="000000"/>
          <w:kern w:val="0"/>
          <w:szCs w:val="32"/>
        </w:rPr>
        <w:t>19.38</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14.45</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74.56</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减少4.93万元，</w:t>
      </w:r>
      <w:r>
        <w:rPr>
          <w:rFonts w:ascii="仿宋" w:hAnsi="仿宋" w:eastAsia="仿宋" w:cs="仿宋_GB2312"/>
          <w:color w:val="000000"/>
          <w:kern w:val="0"/>
          <w:szCs w:val="32"/>
        </w:rPr>
        <w:t>主要原因是</w:t>
      </w:r>
      <w:r>
        <w:rPr>
          <w:rFonts w:hint="eastAsia" w:ascii="仿宋" w:hAnsi="仿宋" w:eastAsia="仿宋"/>
          <w:szCs w:val="32"/>
        </w:rPr>
        <w:t>严格执行八项规定要求和机关文件精神，压缩开支</w:t>
      </w:r>
      <w:r>
        <w:rPr>
          <w:rFonts w:hint="eastAsia" w:ascii="仿宋" w:hAnsi="仿宋" w:eastAsia="仿宋" w:cs="仿宋_GB2312"/>
          <w:color w:val="000000"/>
          <w:kern w:val="0"/>
          <w:szCs w:val="32"/>
        </w:rPr>
        <w:t>。</w:t>
      </w:r>
    </w:p>
    <w:p>
      <w:pPr>
        <w:spacing w:line="560" w:lineRule="exact"/>
        <w:ind w:firstLine="643" w:firstLineChars="200"/>
        <w:rPr>
          <w:rFonts w:ascii="仿宋" w:hAnsi="仿宋" w:eastAsia="仿宋" w:cs="楷体_GB2312"/>
          <w:b/>
          <w:color w:val="000000"/>
          <w:kern w:val="0"/>
          <w:szCs w:val="32"/>
        </w:rPr>
      </w:pPr>
      <w:r>
        <w:rPr>
          <w:rFonts w:hint="eastAsia" w:ascii="仿宋" w:hAnsi="仿宋" w:eastAsia="仿宋" w:cs="楷体_GB2312"/>
          <w:b/>
          <w:color w:val="000000"/>
          <w:kern w:val="0"/>
          <w:szCs w:val="32"/>
        </w:rPr>
        <w:t>（二）</w:t>
      </w:r>
      <w:r>
        <w:rPr>
          <w:rFonts w:ascii="仿宋" w:hAnsi="仿宋" w:eastAsia="仿宋" w:cs="楷体_GB2312"/>
          <w:b/>
          <w:color w:val="000000"/>
          <w:kern w:val="0"/>
          <w:szCs w:val="32"/>
        </w:rPr>
        <w:t>“三公”经费财政拨款支出决算具体情况</w:t>
      </w:r>
      <w:r>
        <w:rPr>
          <w:rFonts w:hint="eastAsia" w:ascii="仿宋" w:hAnsi="仿宋" w:eastAsia="仿宋" w:cs="楷体_GB2312"/>
          <w:b/>
          <w:color w:val="000000"/>
          <w:kern w:val="0"/>
          <w:szCs w:val="32"/>
        </w:rPr>
        <w:t>说明</w:t>
      </w:r>
      <w:r>
        <w:rPr>
          <w:rFonts w:ascii="仿宋" w:hAnsi="仿宋" w:eastAsia="仿宋" w:cs="楷体_GB2312"/>
          <w:b/>
          <w:color w:val="000000"/>
          <w:kern w:val="0"/>
          <w:szCs w:val="32"/>
        </w:rPr>
        <w:t>。</w:t>
      </w:r>
    </w:p>
    <w:p>
      <w:pPr>
        <w:widowControl/>
        <w:spacing w:line="560" w:lineRule="exact"/>
        <w:ind w:firstLine="640" w:firstLineChars="200"/>
        <w:jc w:val="left"/>
        <w:rPr>
          <w:rFonts w:ascii="仿宋" w:hAnsi="仿宋" w:eastAsia="仿宋"/>
          <w:szCs w:val="32"/>
        </w:rPr>
      </w:pPr>
      <w:r>
        <w:rPr>
          <w:rFonts w:hint="eastAsia" w:ascii="仿宋" w:hAnsi="仿宋" w:eastAsia="仿宋" w:cs="仿宋_GB2312"/>
          <w:color w:val="000000"/>
          <w:kern w:val="0"/>
          <w:szCs w:val="32"/>
        </w:rPr>
        <w:t>2020年</w:t>
      </w:r>
      <w:r>
        <w:rPr>
          <w:rFonts w:hint="eastAsia" w:ascii="仿宋" w:hAnsi="仿宋" w:eastAsia="仿宋"/>
          <w:szCs w:val="32"/>
        </w:rPr>
        <w:t>度</w:t>
      </w:r>
      <w:r>
        <w:rPr>
          <w:rFonts w:ascii="仿宋" w:hAnsi="仿宋" w:eastAsia="仿宋" w:cs="仿宋_GB2312"/>
          <w:color w:val="000000"/>
          <w:kern w:val="0"/>
          <w:szCs w:val="32"/>
        </w:rPr>
        <w:t>“三公”经费财政拨款支出决算中，因公出国（境）费支出决算</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0</w:t>
      </w:r>
      <w:r>
        <w:rPr>
          <w:rFonts w:ascii="仿宋" w:hAnsi="仿宋" w:eastAsia="仿宋" w:cs="仿宋_GB2312"/>
          <w:color w:val="000000"/>
          <w:kern w:val="0"/>
          <w:szCs w:val="32"/>
        </w:rPr>
        <w:t>%；公务用车购置</w:t>
      </w:r>
      <w:r>
        <w:rPr>
          <w:rFonts w:hint="eastAsia" w:ascii="仿宋" w:hAnsi="仿宋" w:eastAsia="仿宋" w:cs="仿宋_GB2312"/>
          <w:color w:val="000000"/>
          <w:kern w:val="0"/>
          <w:szCs w:val="32"/>
        </w:rPr>
        <w:t>费支出0万元，占0</w:t>
      </w:r>
      <w:r>
        <w:rPr>
          <w:rFonts w:ascii="仿宋" w:hAnsi="仿宋" w:eastAsia="仿宋" w:cs="仿宋_GB2312"/>
          <w:color w:val="000000"/>
          <w:kern w:val="0"/>
          <w:szCs w:val="32"/>
        </w:rPr>
        <w:t>%；公务用车运行</w:t>
      </w:r>
      <w:r>
        <w:rPr>
          <w:rFonts w:hint="eastAsia" w:ascii="仿宋" w:hAnsi="仿宋" w:eastAsia="仿宋"/>
          <w:szCs w:val="32"/>
        </w:rPr>
        <w:t>维护</w:t>
      </w:r>
      <w:r>
        <w:rPr>
          <w:rFonts w:ascii="仿宋" w:hAnsi="仿宋" w:eastAsia="仿宋" w:cs="仿宋_GB2312"/>
          <w:color w:val="000000"/>
          <w:kern w:val="0"/>
          <w:szCs w:val="32"/>
        </w:rPr>
        <w:t>费支出决算</w:t>
      </w:r>
      <w:r>
        <w:rPr>
          <w:rFonts w:hint="eastAsia" w:ascii="仿宋" w:hAnsi="仿宋" w:eastAsia="仿宋" w:cs="仿宋_GB2312"/>
          <w:color w:val="000000"/>
          <w:kern w:val="0"/>
          <w:szCs w:val="32"/>
        </w:rPr>
        <w:t>14.45</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100</w:t>
      </w:r>
      <w:r>
        <w:rPr>
          <w:rFonts w:ascii="仿宋" w:hAnsi="仿宋" w:eastAsia="仿宋" w:cs="仿宋_GB2312"/>
          <w:color w:val="000000"/>
          <w:kern w:val="0"/>
          <w:szCs w:val="32"/>
        </w:rPr>
        <w:t>%；公务接待费支出决算</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万元，占</w:t>
      </w:r>
      <w:r>
        <w:rPr>
          <w:rFonts w:hint="eastAsia" w:ascii="仿宋" w:hAnsi="仿宋" w:eastAsia="仿宋" w:cs="仿宋_GB2312"/>
          <w:color w:val="000000"/>
          <w:kern w:val="0"/>
          <w:szCs w:val="32"/>
        </w:rPr>
        <w:t>0</w:t>
      </w:r>
      <w:r>
        <w:rPr>
          <w:rFonts w:ascii="仿宋" w:hAnsi="仿宋" w:eastAsia="仿宋" w:cs="仿宋_GB2312"/>
          <w:color w:val="000000"/>
          <w:kern w:val="0"/>
          <w:szCs w:val="32"/>
        </w:rPr>
        <w:t>%。具体情况如下：</w:t>
      </w:r>
    </w:p>
    <w:p>
      <w:pPr>
        <w:spacing w:line="560" w:lineRule="exact"/>
        <w:ind w:firstLine="643" w:firstLineChars="200"/>
        <w:rPr>
          <w:rFonts w:ascii="仿宋" w:hAnsi="仿宋" w:eastAsia="仿宋"/>
          <w:b/>
          <w:bCs/>
          <w:szCs w:val="32"/>
        </w:rPr>
      </w:pPr>
      <w:r>
        <w:rPr>
          <w:rFonts w:hint="eastAsia" w:ascii="仿宋" w:hAnsi="仿宋" w:eastAsia="仿宋"/>
          <w:b/>
          <w:bCs/>
          <w:szCs w:val="32"/>
        </w:rPr>
        <w:t>1.因公出国（境）支出情况</w:t>
      </w:r>
      <w:r>
        <w:rPr>
          <w:rFonts w:hint="eastAsia" w:ascii="仿宋" w:hAnsi="仿宋" w:eastAsia="仿宋" w:cs="楷体_GB2312"/>
          <w:b/>
          <w:color w:val="000000"/>
          <w:kern w:val="0"/>
          <w:szCs w:val="32"/>
        </w:rPr>
        <w:t>说明</w:t>
      </w:r>
      <w:r>
        <w:rPr>
          <w:rFonts w:hint="eastAsia" w:ascii="仿宋" w:hAnsi="仿宋" w:eastAsia="仿宋"/>
          <w:b/>
          <w:bCs/>
          <w:szCs w:val="32"/>
        </w:rPr>
        <w:t>。</w:t>
      </w:r>
    </w:p>
    <w:p>
      <w:pPr>
        <w:widowControl/>
        <w:spacing w:line="560" w:lineRule="exact"/>
        <w:ind w:firstLine="640" w:firstLineChars="200"/>
        <w:jc w:val="left"/>
        <w:rPr>
          <w:rFonts w:ascii="仿宋" w:hAnsi="仿宋" w:eastAsia="仿宋"/>
          <w:szCs w:val="32"/>
        </w:rPr>
      </w:pPr>
      <w:r>
        <w:rPr>
          <w:rFonts w:hint="eastAsia" w:ascii="仿宋" w:hAnsi="仿宋" w:eastAsia="仿宋"/>
          <w:szCs w:val="32"/>
        </w:rPr>
        <w:t>2020年度因公出国（境）团组</w:t>
      </w:r>
      <w:r>
        <w:rPr>
          <w:rFonts w:hint="eastAsia" w:ascii="仿宋" w:hAnsi="仿宋" w:eastAsia="仿宋" w:cs="仿宋_GB2312"/>
          <w:szCs w:val="32"/>
        </w:rPr>
        <w:t>0个，0人次，</w:t>
      </w:r>
      <w:r>
        <w:rPr>
          <w:rFonts w:ascii="仿宋" w:hAnsi="仿宋" w:eastAsia="仿宋" w:cs="仿宋_GB2312"/>
          <w:color w:val="000000"/>
          <w:kern w:val="0"/>
          <w:szCs w:val="32"/>
        </w:rPr>
        <w:t>预算为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0</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持平都为0，</w:t>
      </w:r>
      <w:r>
        <w:rPr>
          <w:rFonts w:ascii="仿宋" w:hAnsi="仿宋" w:eastAsia="仿宋" w:cs="仿宋_GB2312"/>
          <w:color w:val="000000"/>
          <w:kern w:val="0"/>
          <w:szCs w:val="32"/>
        </w:rPr>
        <w:t>主要原因是</w:t>
      </w:r>
      <w:r>
        <w:rPr>
          <w:rFonts w:hint="eastAsia" w:ascii="仿宋" w:hAnsi="仿宋" w:eastAsia="仿宋"/>
          <w:szCs w:val="32"/>
        </w:rPr>
        <w:t>严格执行八项规定要求和机关文件精神，压缩开支，减少不必要的支出</w:t>
      </w:r>
      <w:r>
        <w:rPr>
          <w:rFonts w:hint="eastAsia" w:ascii="仿宋" w:hAnsi="仿宋" w:eastAsia="仿宋" w:cs="仿宋_GB2312"/>
          <w:color w:val="000000"/>
          <w:kern w:val="0"/>
          <w:szCs w:val="32"/>
        </w:rPr>
        <w:t>。</w:t>
      </w:r>
    </w:p>
    <w:p>
      <w:pPr>
        <w:widowControl/>
        <w:spacing w:line="560" w:lineRule="exact"/>
        <w:ind w:firstLine="643" w:firstLineChars="200"/>
        <w:jc w:val="left"/>
        <w:rPr>
          <w:rFonts w:ascii="仿宋" w:hAnsi="仿宋" w:eastAsia="仿宋"/>
          <w:b/>
          <w:bCs/>
          <w:szCs w:val="32"/>
        </w:rPr>
      </w:pPr>
      <w:r>
        <w:rPr>
          <w:rFonts w:hint="eastAsia" w:ascii="仿宋" w:hAnsi="仿宋" w:eastAsia="仿宋"/>
          <w:b/>
          <w:bCs/>
          <w:szCs w:val="32"/>
        </w:rPr>
        <w:t>2.公务用车购置费用支出情况</w:t>
      </w:r>
      <w:r>
        <w:rPr>
          <w:rFonts w:hint="eastAsia" w:ascii="仿宋" w:hAnsi="仿宋" w:eastAsia="仿宋" w:cs="楷体_GB2312"/>
          <w:b/>
          <w:color w:val="000000"/>
          <w:kern w:val="0"/>
          <w:szCs w:val="32"/>
        </w:rPr>
        <w:t>说明</w:t>
      </w:r>
      <w:r>
        <w:rPr>
          <w:rFonts w:hint="eastAsia" w:ascii="仿宋" w:hAnsi="仿宋" w:eastAsia="仿宋"/>
          <w:b/>
          <w:bCs/>
          <w:szCs w:val="32"/>
        </w:rPr>
        <w:t>。</w:t>
      </w:r>
    </w:p>
    <w:p>
      <w:pPr>
        <w:widowControl/>
        <w:spacing w:line="560" w:lineRule="exact"/>
        <w:ind w:firstLine="640" w:firstLineChars="200"/>
        <w:jc w:val="left"/>
        <w:rPr>
          <w:rFonts w:ascii="仿宋" w:hAnsi="仿宋" w:eastAsia="仿宋"/>
          <w:szCs w:val="32"/>
        </w:rPr>
      </w:pPr>
      <w:r>
        <w:rPr>
          <w:rFonts w:hint="eastAsia" w:ascii="仿宋" w:hAnsi="仿宋" w:eastAsia="仿宋"/>
          <w:szCs w:val="32"/>
        </w:rPr>
        <w:t>2020年度购置车辆</w:t>
      </w:r>
      <w:r>
        <w:rPr>
          <w:rFonts w:hint="eastAsia" w:ascii="仿宋" w:hAnsi="仿宋" w:eastAsia="仿宋" w:cs="仿宋_GB2312"/>
          <w:szCs w:val="32"/>
        </w:rPr>
        <w:t>0台，</w:t>
      </w:r>
      <w:r>
        <w:rPr>
          <w:rFonts w:ascii="仿宋" w:hAnsi="仿宋" w:eastAsia="仿宋" w:cs="仿宋_GB2312"/>
          <w:color w:val="000000"/>
          <w:kern w:val="0"/>
          <w:szCs w:val="32"/>
        </w:rPr>
        <w:t>预算为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w:t>
      </w:r>
      <w:r>
        <w:rPr>
          <w:rFonts w:hint="eastAsia" w:ascii="仿宋" w:hAnsi="仿宋" w:eastAsia="仿宋" w:cs="仿宋_GB2312"/>
          <w:szCs w:val="32"/>
        </w:rPr>
        <w:t>0</w:t>
      </w:r>
      <w:r>
        <w:rPr>
          <w:rFonts w:ascii="仿宋" w:hAnsi="仿宋" w:eastAsia="仿宋" w:cs="仿宋_GB2312"/>
          <w:color w:val="000000"/>
          <w:kern w:val="0"/>
          <w:szCs w:val="32"/>
        </w:rPr>
        <w:t>，完成预算的</w:t>
      </w:r>
      <w:r>
        <w:rPr>
          <w:rFonts w:hint="eastAsia" w:ascii="仿宋" w:hAnsi="仿宋" w:eastAsia="仿宋" w:cs="仿宋_GB2312"/>
          <w:color w:val="000000"/>
          <w:kern w:val="0"/>
          <w:szCs w:val="32"/>
        </w:rPr>
        <w:t>0%，</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持平都为0，</w:t>
      </w:r>
      <w:r>
        <w:rPr>
          <w:rFonts w:ascii="仿宋" w:hAnsi="仿宋" w:eastAsia="仿宋" w:cs="仿宋_GB2312"/>
          <w:color w:val="000000"/>
          <w:kern w:val="0"/>
          <w:szCs w:val="32"/>
        </w:rPr>
        <w:t>主要原因是</w:t>
      </w:r>
      <w:r>
        <w:rPr>
          <w:rFonts w:hint="eastAsia" w:ascii="仿宋" w:hAnsi="仿宋" w:eastAsia="仿宋"/>
          <w:szCs w:val="32"/>
        </w:rPr>
        <w:t>严格执行八项规定要求和机关文件精神，压缩开支，减少不必要的购置</w:t>
      </w:r>
      <w:r>
        <w:rPr>
          <w:rFonts w:hint="eastAsia" w:ascii="仿宋" w:hAnsi="仿宋" w:eastAsia="仿宋" w:cs="仿宋_GB2312"/>
          <w:color w:val="000000"/>
          <w:kern w:val="0"/>
          <w:szCs w:val="32"/>
        </w:rPr>
        <w:t>。</w:t>
      </w:r>
    </w:p>
    <w:p>
      <w:pPr>
        <w:widowControl/>
        <w:spacing w:line="560" w:lineRule="exact"/>
        <w:ind w:firstLine="643" w:firstLineChars="200"/>
        <w:jc w:val="left"/>
        <w:rPr>
          <w:rFonts w:ascii="仿宋" w:hAnsi="仿宋" w:eastAsia="仿宋"/>
          <w:b/>
          <w:bCs/>
          <w:szCs w:val="32"/>
        </w:rPr>
      </w:pPr>
      <w:r>
        <w:rPr>
          <w:rFonts w:hint="eastAsia" w:ascii="仿宋" w:hAnsi="仿宋" w:eastAsia="仿宋"/>
          <w:b/>
          <w:bCs/>
          <w:szCs w:val="32"/>
        </w:rPr>
        <w:t>3.公务用车运行维护费用支出情况</w:t>
      </w:r>
      <w:r>
        <w:rPr>
          <w:rFonts w:hint="eastAsia" w:ascii="仿宋" w:hAnsi="仿宋" w:eastAsia="仿宋" w:cs="楷体_GB2312"/>
          <w:b/>
          <w:color w:val="000000"/>
          <w:kern w:val="0"/>
          <w:szCs w:val="32"/>
        </w:rPr>
        <w:t>说明</w:t>
      </w:r>
      <w:r>
        <w:rPr>
          <w:rFonts w:hint="eastAsia" w:ascii="仿宋" w:hAnsi="仿宋" w:eastAsia="仿宋"/>
          <w:b/>
          <w:bCs/>
          <w:szCs w:val="32"/>
        </w:rPr>
        <w:t>。</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szCs w:val="32"/>
        </w:rPr>
        <w:t>2020年度</w:t>
      </w:r>
      <w:r>
        <w:rPr>
          <w:rFonts w:hint="eastAsia" w:ascii="仿宋" w:hAnsi="仿宋" w:eastAsia="仿宋" w:cs="仿宋_GB2312"/>
          <w:szCs w:val="32"/>
        </w:rPr>
        <w:t>公务用车运行维护费</w:t>
      </w:r>
      <w:r>
        <w:rPr>
          <w:rFonts w:ascii="仿宋" w:hAnsi="仿宋" w:eastAsia="仿宋" w:cs="仿宋_GB2312"/>
          <w:color w:val="000000"/>
          <w:kern w:val="0"/>
          <w:szCs w:val="32"/>
        </w:rPr>
        <w:t>预算为</w:t>
      </w:r>
      <w:r>
        <w:rPr>
          <w:rFonts w:hint="eastAsia" w:ascii="仿宋" w:hAnsi="仿宋" w:eastAsia="仿宋" w:cs="仿宋_GB2312"/>
          <w:color w:val="000000"/>
          <w:kern w:val="0"/>
          <w:szCs w:val="32"/>
        </w:rPr>
        <w:t>17.1</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14.45</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84.5%，决</w:t>
      </w:r>
      <w:r>
        <w:rPr>
          <w:rFonts w:ascii="仿宋" w:hAnsi="仿宋" w:eastAsia="仿宋" w:cs="仿宋_GB2312"/>
          <w:color w:val="000000"/>
          <w:kern w:val="0"/>
          <w:szCs w:val="32"/>
        </w:rPr>
        <w:t>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减少2.65万元，</w:t>
      </w:r>
      <w:r>
        <w:rPr>
          <w:rFonts w:hint="eastAsia" w:ascii="仿宋" w:hAnsi="仿宋" w:eastAsia="仿宋"/>
          <w:szCs w:val="32"/>
        </w:rPr>
        <w:t>严格执行八项规定要求和机关文件精神，压缩开支，</w:t>
      </w:r>
      <w:r>
        <w:rPr>
          <w:rFonts w:hint="eastAsia" w:ascii="仿宋" w:hAnsi="仿宋" w:eastAsia="仿宋" w:cs="仿宋_GB2312"/>
          <w:color w:val="000000"/>
          <w:kern w:val="0"/>
          <w:szCs w:val="32"/>
        </w:rPr>
        <w:t>。</w:t>
      </w:r>
    </w:p>
    <w:p>
      <w:pPr>
        <w:spacing w:line="560" w:lineRule="exact"/>
        <w:ind w:firstLine="643" w:firstLineChars="200"/>
        <w:rPr>
          <w:rFonts w:ascii="仿宋" w:hAnsi="仿宋" w:eastAsia="仿宋"/>
          <w:b/>
          <w:bCs/>
          <w:szCs w:val="32"/>
        </w:rPr>
      </w:pPr>
      <w:r>
        <w:rPr>
          <w:rFonts w:hint="eastAsia" w:ascii="仿宋" w:hAnsi="仿宋" w:eastAsia="仿宋"/>
          <w:b/>
          <w:bCs/>
          <w:szCs w:val="32"/>
        </w:rPr>
        <w:t>4.公务接待费支出情况</w:t>
      </w:r>
      <w:r>
        <w:rPr>
          <w:rFonts w:hint="eastAsia" w:ascii="仿宋" w:hAnsi="仿宋" w:eastAsia="仿宋" w:cs="楷体_GB2312"/>
          <w:b/>
          <w:color w:val="000000"/>
          <w:kern w:val="0"/>
          <w:szCs w:val="32"/>
        </w:rPr>
        <w:t>说明</w:t>
      </w:r>
      <w:r>
        <w:rPr>
          <w:rFonts w:hint="eastAsia" w:ascii="仿宋" w:hAnsi="仿宋" w:eastAsia="仿宋"/>
          <w:b/>
          <w:bCs/>
          <w:szCs w:val="32"/>
        </w:rPr>
        <w:t>。</w:t>
      </w:r>
    </w:p>
    <w:p>
      <w:pPr>
        <w:spacing w:line="560" w:lineRule="exact"/>
        <w:ind w:firstLine="320" w:firstLineChars="100"/>
        <w:rPr>
          <w:rFonts w:ascii="仿宋" w:hAnsi="仿宋" w:eastAsia="仿宋" w:cs="仿宋_GB2312"/>
          <w:color w:val="000000"/>
          <w:kern w:val="0"/>
          <w:szCs w:val="32"/>
        </w:rPr>
      </w:pPr>
      <w:r>
        <w:rPr>
          <w:rFonts w:hint="eastAsia" w:ascii="仿宋" w:hAnsi="仿宋" w:eastAsia="仿宋"/>
          <w:szCs w:val="32"/>
        </w:rPr>
        <w:t>2020年度公务接待</w:t>
      </w:r>
      <w:r>
        <w:rPr>
          <w:rFonts w:hint="eastAsia" w:ascii="仿宋" w:hAnsi="仿宋" w:eastAsia="仿宋" w:cs="仿宋_GB2312"/>
          <w:szCs w:val="32"/>
        </w:rPr>
        <w:t>0批次，0人次，</w:t>
      </w:r>
      <w:r>
        <w:rPr>
          <w:rFonts w:ascii="仿宋" w:hAnsi="仿宋" w:eastAsia="仿宋" w:cs="仿宋_GB2312"/>
          <w:color w:val="000000"/>
          <w:kern w:val="0"/>
          <w:szCs w:val="32"/>
        </w:rPr>
        <w:t>预算为</w:t>
      </w:r>
      <w:r>
        <w:rPr>
          <w:rFonts w:hint="eastAsia" w:ascii="仿宋" w:hAnsi="仿宋" w:eastAsia="仿宋" w:cs="仿宋_GB2312"/>
          <w:color w:val="000000"/>
          <w:kern w:val="0"/>
          <w:szCs w:val="32"/>
        </w:rPr>
        <w:t>2.28</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0%，决</w:t>
      </w:r>
      <w:r>
        <w:rPr>
          <w:rFonts w:ascii="仿宋" w:hAnsi="仿宋" w:eastAsia="仿宋" w:cs="仿宋_GB2312"/>
          <w:color w:val="000000"/>
          <w:kern w:val="0"/>
          <w:szCs w:val="32"/>
        </w:rPr>
        <w:t>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减少2.28万元，</w:t>
      </w:r>
      <w:r>
        <w:rPr>
          <w:rFonts w:ascii="仿宋" w:hAnsi="仿宋" w:eastAsia="仿宋" w:cs="仿宋_GB2312"/>
          <w:color w:val="000000"/>
          <w:kern w:val="0"/>
          <w:szCs w:val="32"/>
        </w:rPr>
        <w:t>主要原因是</w:t>
      </w:r>
      <w:r>
        <w:rPr>
          <w:rFonts w:hint="eastAsia" w:ascii="仿宋" w:hAnsi="仿宋" w:eastAsia="仿宋"/>
          <w:szCs w:val="32"/>
        </w:rPr>
        <w:t>严格执行八项规定要求和机关文件精神，压缩开支，减少没必要的开支</w:t>
      </w:r>
      <w:r>
        <w:rPr>
          <w:rFonts w:hint="eastAsia" w:ascii="仿宋" w:hAnsi="仿宋" w:eastAsia="仿宋" w:cs="仿宋_GB2312"/>
          <w:color w:val="000000"/>
          <w:kern w:val="0"/>
          <w:szCs w:val="32"/>
        </w:rPr>
        <w:t>。</w:t>
      </w:r>
    </w:p>
    <w:p>
      <w:pPr>
        <w:ind w:firstLine="320" w:firstLineChars="100"/>
        <w:rPr>
          <w:rFonts w:ascii="仿宋" w:hAnsi="仿宋" w:eastAsia="仿宋" w:cs="仿宋_GB2312"/>
          <w:color w:val="000000"/>
          <w:kern w:val="0"/>
          <w:szCs w:val="32"/>
        </w:rPr>
      </w:pPr>
      <w:r>
        <w:rPr>
          <w:rFonts w:ascii="仿宋" w:hAnsi="仿宋" w:eastAsia="仿宋" w:cs="仿宋_GB2312"/>
          <w:color w:val="000000"/>
          <w:kern w:val="0"/>
          <w:szCs w:val="32"/>
        </w:rPr>
        <w:drawing>
          <wp:inline distT="0" distB="0" distL="0" distR="0">
            <wp:extent cx="4572000" cy="2743200"/>
            <wp:effectExtent l="19050" t="0" r="1905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560" w:lineRule="exact"/>
        <w:ind w:firstLine="643" w:firstLineChars="200"/>
        <w:rPr>
          <w:rFonts w:ascii="仿宋" w:hAnsi="仿宋" w:eastAsia="仿宋" w:cs="楷体_GB2312"/>
          <w:b/>
          <w:color w:val="000000"/>
          <w:kern w:val="0"/>
          <w:szCs w:val="32"/>
        </w:rPr>
      </w:pPr>
      <w:r>
        <w:rPr>
          <w:rFonts w:hint="eastAsia" w:ascii="仿宋" w:hAnsi="仿宋" w:eastAsia="仿宋" w:cs="楷体_GB2312"/>
          <w:b/>
          <w:color w:val="000000"/>
          <w:kern w:val="0"/>
          <w:szCs w:val="32"/>
        </w:rPr>
        <w:t>（三）培训费支出情况说明。</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szCs w:val="32"/>
        </w:rPr>
        <w:t>2020年度</w:t>
      </w:r>
      <w:r>
        <w:rPr>
          <w:rFonts w:hint="eastAsia" w:ascii="仿宋" w:hAnsi="仿宋" w:eastAsia="仿宋" w:cs="仿宋_GB2312"/>
          <w:szCs w:val="32"/>
        </w:rPr>
        <w:t>培训费</w:t>
      </w:r>
      <w:r>
        <w:rPr>
          <w:rFonts w:ascii="仿宋" w:hAnsi="仿宋" w:eastAsia="仿宋" w:cs="仿宋_GB2312"/>
          <w:color w:val="000000"/>
          <w:kern w:val="0"/>
          <w:szCs w:val="32"/>
        </w:rPr>
        <w:t>预算为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0</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持平，</w:t>
      </w:r>
      <w:r>
        <w:rPr>
          <w:rFonts w:ascii="仿宋" w:hAnsi="仿宋" w:eastAsia="仿宋" w:cs="仿宋_GB2312"/>
          <w:color w:val="000000"/>
          <w:kern w:val="0"/>
          <w:szCs w:val="32"/>
        </w:rPr>
        <w:t>主要原因是</w:t>
      </w:r>
      <w:r>
        <w:rPr>
          <w:rFonts w:hint="eastAsia" w:ascii="仿宋" w:hAnsi="仿宋" w:eastAsia="仿宋"/>
          <w:szCs w:val="32"/>
        </w:rPr>
        <w:t>严格执行八项规定要求和机关文件精神，压缩开支，减少没必要的开支</w:t>
      </w:r>
      <w:r>
        <w:rPr>
          <w:rFonts w:hint="eastAsia" w:ascii="仿宋" w:hAnsi="仿宋" w:eastAsia="仿宋" w:cs="仿宋_GB2312"/>
          <w:color w:val="000000"/>
          <w:kern w:val="0"/>
          <w:szCs w:val="32"/>
        </w:rPr>
        <w:t>。</w:t>
      </w:r>
    </w:p>
    <w:p>
      <w:pPr>
        <w:spacing w:line="560" w:lineRule="exact"/>
        <w:ind w:firstLine="643" w:firstLineChars="200"/>
        <w:rPr>
          <w:rFonts w:ascii="仿宋" w:hAnsi="仿宋" w:eastAsia="仿宋" w:cs="楷体_GB2312"/>
          <w:b/>
          <w:color w:val="000000"/>
          <w:kern w:val="0"/>
          <w:szCs w:val="32"/>
        </w:rPr>
      </w:pPr>
      <w:r>
        <w:rPr>
          <w:rFonts w:hint="eastAsia" w:ascii="仿宋" w:hAnsi="仿宋" w:eastAsia="仿宋" w:cs="楷体_GB2312"/>
          <w:b/>
          <w:color w:val="000000"/>
          <w:kern w:val="0"/>
          <w:szCs w:val="32"/>
        </w:rPr>
        <w:t>（四）会议费支出情况说明。</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szCs w:val="32"/>
        </w:rPr>
        <w:t>2020年度</w:t>
      </w:r>
      <w:r>
        <w:rPr>
          <w:rFonts w:hint="eastAsia" w:ascii="仿宋" w:hAnsi="仿宋" w:eastAsia="仿宋" w:cs="仿宋_GB2312"/>
          <w:szCs w:val="32"/>
        </w:rPr>
        <w:t>会议费</w:t>
      </w:r>
      <w:r>
        <w:rPr>
          <w:rFonts w:ascii="仿宋" w:hAnsi="仿宋" w:eastAsia="仿宋" w:cs="仿宋_GB2312"/>
          <w:color w:val="000000"/>
          <w:kern w:val="0"/>
          <w:szCs w:val="32"/>
        </w:rPr>
        <w:t>预算为</w:t>
      </w:r>
      <w:r>
        <w:rPr>
          <w:rFonts w:hint="eastAsia" w:ascii="仿宋" w:hAnsi="仿宋" w:eastAsia="仿宋" w:cs="仿宋_GB2312"/>
          <w:color w:val="000000"/>
          <w:kern w:val="0"/>
          <w:szCs w:val="32"/>
        </w:rPr>
        <w:t>0.71</w:t>
      </w:r>
      <w:r>
        <w:rPr>
          <w:rFonts w:ascii="仿宋" w:hAnsi="仿宋" w:eastAsia="仿宋" w:cs="仿宋_GB2312"/>
          <w:color w:val="000000"/>
          <w:kern w:val="0"/>
          <w:szCs w:val="32"/>
        </w:rPr>
        <w:t>万元，支出决算为</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0</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减少0.71万元，</w:t>
      </w:r>
      <w:r>
        <w:rPr>
          <w:rFonts w:ascii="仿宋" w:hAnsi="仿宋" w:eastAsia="仿宋" w:cs="仿宋_GB2312"/>
          <w:color w:val="000000"/>
          <w:kern w:val="0"/>
          <w:szCs w:val="32"/>
        </w:rPr>
        <w:t>主要原因是</w:t>
      </w:r>
      <w:r>
        <w:rPr>
          <w:rFonts w:hint="eastAsia" w:ascii="仿宋" w:hAnsi="仿宋" w:eastAsia="仿宋"/>
          <w:szCs w:val="32"/>
        </w:rPr>
        <w:t>严格执行八项规定要求和机关文件精神，压缩开支，减少没必要的开支</w:t>
      </w:r>
      <w:r>
        <w:rPr>
          <w:rFonts w:hint="eastAsia" w:ascii="仿宋" w:hAnsi="仿宋" w:eastAsia="仿宋" w:cs="仿宋_GB2312"/>
          <w:color w:val="000000"/>
          <w:kern w:val="0"/>
          <w:szCs w:val="32"/>
        </w:rPr>
        <w:t>。</w:t>
      </w:r>
    </w:p>
    <w:p>
      <w:pPr>
        <w:widowControl/>
        <w:spacing w:line="560" w:lineRule="exact"/>
        <w:ind w:firstLine="643" w:firstLineChars="200"/>
        <w:jc w:val="left"/>
        <w:rPr>
          <w:rFonts w:ascii="仿宋" w:hAnsi="仿宋" w:eastAsia="仿宋" w:cstheme="minorEastAsia"/>
          <w:b/>
          <w:bCs/>
          <w:color w:val="000000"/>
          <w:kern w:val="0"/>
          <w:szCs w:val="32"/>
        </w:rPr>
      </w:pPr>
      <w:r>
        <w:rPr>
          <w:rFonts w:hint="eastAsia" w:ascii="仿宋" w:hAnsi="仿宋" w:eastAsia="仿宋" w:cstheme="minorEastAsia"/>
          <w:b/>
          <w:bCs/>
          <w:color w:val="000000"/>
          <w:kern w:val="0"/>
          <w:szCs w:val="32"/>
        </w:rPr>
        <w:t xml:space="preserve">八、政府性基金预算财政拨款收入支出情况说明 </w:t>
      </w:r>
    </w:p>
    <w:p>
      <w:pPr>
        <w:spacing w:line="560" w:lineRule="exact"/>
        <w:ind w:firstLine="640"/>
        <w:rPr>
          <w:rFonts w:ascii="仿宋" w:hAnsi="仿宋" w:eastAsia="仿宋" w:cs="仿宋_GB2312"/>
          <w:szCs w:val="32"/>
        </w:rPr>
      </w:pPr>
      <w:r>
        <w:rPr>
          <w:rFonts w:hint="eastAsia" w:ascii="仿宋" w:hAnsi="仿宋" w:eastAsia="仿宋" w:cs="仿宋_GB2312"/>
          <w:szCs w:val="32"/>
        </w:rPr>
        <w:t>本部门无政府性基金决算收支，并已公开空表</w:t>
      </w:r>
    </w:p>
    <w:p>
      <w:pPr>
        <w:widowControl/>
        <w:spacing w:line="560" w:lineRule="exact"/>
        <w:ind w:firstLine="643" w:firstLineChars="200"/>
        <w:jc w:val="left"/>
        <w:rPr>
          <w:rFonts w:ascii="仿宋" w:hAnsi="仿宋" w:eastAsia="仿宋" w:cstheme="minorEastAsia"/>
          <w:b/>
          <w:bCs/>
          <w:color w:val="000000"/>
          <w:kern w:val="0"/>
          <w:szCs w:val="32"/>
        </w:rPr>
      </w:pPr>
      <w:r>
        <w:rPr>
          <w:rFonts w:hint="eastAsia" w:ascii="仿宋" w:hAnsi="仿宋" w:eastAsia="仿宋" w:cstheme="minorEastAsia"/>
          <w:b/>
          <w:bCs/>
          <w:color w:val="000000"/>
          <w:kern w:val="0"/>
          <w:szCs w:val="32"/>
        </w:rPr>
        <w:t>九、国有资本经营财政拨款收入支出情况说明</w:t>
      </w:r>
    </w:p>
    <w:p>
      <w:pPr>
        <w:spacing w:line="560" w:lineRule="exact"/>
        <w:ind w:firstLine="640"/>
        <w:rPr>
          <w:rFonts w:ascii="仿宋" w:hAnsi="仿宋" w:eastAsia="仿宋" w:cs="仿宋_GB2312"/>
          <w:szCs w:val="32"/>
        </w:rPr>
      </w:pPr>
      <w:r>
        <w:rPr>
          <w:rFonts w:hint="eastAsia" w:ascii="仿宋" w:hAnsi="仿宋" w:eastAsia="仿宋" w:cs="仿宋_GB2312"/>
          <w:szCs w:val="32"/>
        </w:rPr>
        <w:t>本部门无国有资本经营决算拨款收支</w:t>
      </w:r>
    </w:p>
    <w:p>
      <w:pPr>
        <w:widowControl/>
        <w:spacing w:line="560" w:lineRule="exact"/>
        <w:ind w:firstLine="643" w:firstLineChars="200"/>
        <w:jc w:val="left"/>
        <w:rPr>
          <w:rFonts w:ascii="仿宋" w:hAnsi="仿宋" w:eastAsia="仿宋" w:cstheme="minorEastAsia"/>
          <w:b/>
          <w:bCs/>
          <w:color w:val="000000"/>
          <w:kern w:val="0"/>
          <w:szCs w:val="32"/>
        </w:rPr>
      </w:pPr>
      <w:r>
        <w:rPr>
          <w:rFonts w:hint="eastAsia" w:ascii="仿宋" w:hAnsi="仿宋" w:eastAsia="仿宋" w:cstheme="minorEastAsia"/>
          <w:b/>
          <w:bCs/>
          <w:color w:val="000000"/>
          <w:kern w:val="0"/>
          <w:szCs w:val="32"/>
        </w:rPr>
        <w:t>十、机关运行经费支出情况说明</w:t>
      </w:r>
    </w:p>
    <w:p>
      <w:pPr>
        <w:widowControl/>
        <w:spacing w:line="560" w:lineRule="exact"/>
        <w:ind w:left="1616" w:leftChars="304" w:hanging="643" w:hangingChars="200"/>
        <w:jc w:val="left"/>
        <w:rPr>
          <w:rFonts w:ascii="仿宋" w:hAnsi="仿宋" w:eastAsia="仿宋" w:cs="楷体_GB2312"/>
          <w:b/>
          <w:color w:val="000000"/>
          <w:kern w:val="0"/>
          <w:szCs w:val="32"/>
        </w:rPr>
      </w:pPr>
      <w:r>
        <w:rPr>
          <w:rFonts w:hint="eastAsia" w:ascii="仿宋" w:hAnsi="仿宋" w:eastAsia="仿宋" w:cs="楷体_GB2312"/>
          <w:b/>
          <w:color w:val="000000"/>
          <w:kern w:val="0"/>
          <w:szCs w:val="32"/>
        </w:rPr>
        <w:t>（一）</w:t>
      </w:r>
      <w:r>
        <w:rPr>
          <w:rFonts w:ascii="仿宋" w:hAnsi="仿宋" w:eastAsia="仿宋" w:cs="楷体_GB2312"/>
          <w:b/>
          <w:color w:val="000000"/>
          <w:kern w:val="0"/>
          <w:szCs w:val="32"/>
        </w:rPr>
        <w:t>预算绩效管理工作开展情况</w:t>
      </w:r>
      <w:r>
        <w:rPr>
          <w:rFonts w:hint="eastAsia" w:ascii="仿宋" w:hAnsi="仿宋" w:eastAsia="仿宋" w:cs="楷体_GB2312"/>
          <w:b/>
          <w:color w:val="000000"/>
          <w:kern w:val="0"/>
          <w:szCs w:val="32"/>
        </w:rPr>
        <w:t>说明</w:t>
      </w:r>
      <w:r>
        <w:rPr>
          <w:rFonts w:ascii="仿宋" w:hAnsi="仿宋" w:eastAsia="仿宋" w:cs="楷体_GB2312"/>
          <w:b/>
          <w:color w:val="000000"/>
          <w:kern w:val="0"/>
          <w:szCs w:val="32"/>
        </w:rPr>
        <w:t>。</w:t>
      </w:r>
      <w:r>
        <w:rPr>
          <w:rFonts w:hint="eastAsia" w:ascii="仿宋" w:hAnsi="仿宋" w:eastAsia="仿宋" w:cs="楷体_GB2312"/>
          <w:b/>
          <w:color w:val="000000"/>
          <w:kern w:val="0"/>
          <w:szCs w:val="32"/>
        </w:rPr>
        <w:t xml:space="preserve">     </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cs="仿宋_GB2312"/>
          <w:szCs w:val="32"/>
        </w:rPr>
        <w:t>2020年机关运行经费预算为34.88万元，支出决算为33.77万元，</w:t>
      </w:r>
      <w:r>
        <w:rPr>
          <w:rFonts w:ascii="仿宋" w:hAnsi="仿宋" w:eastAsia="仿宋" w:cs="仿宋_GB2312"/>
          <w:color w:val="000000"/>
          <w:kern w:val="0"/>
          <w:szCs w:val="32"/>
        </w:rPr>
        <w:t>完成预算的</w:t>
      </w:r>
      <w:r>
        <w:rPr>
          <w:rFonts w:hint="eastAsia" w:ascii="仿宋" w:hAnsi="仿宋" w:eastAsia="仿宋" w:cs="仿宋_GB2312"/>
          <w:color w:val="000000"/>
          <w:kern w:val="0"/>
          <w:szCs w:val="32"/>
        </w:rPr>
        <w:t>96.82</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r>
        <w:rPr>
          <w:rFonts w:ascii="仿宋" w:hAnsi="仿宋" w:eastAsia="仿宋" w:cs="仿宋_GB2312"/>
          <w:color w:val="000000"/>
          <w:kern w:val="0"/>
          <w:szCs w:val="32"/>
        </w:rPr>
        <w:t>决算数</w:t>
      </w:r>
      <w:r>
        <w:rPr>
          <w:rFonts w:hint="eastAsia" w:ascii="仿宋" w:hAnsi="仿宋" w:eastAsia="仿宋" w:cs="仿宋_GB2312"/>
          <w:color w:val="000000"/>
          <w:kern w:val="0"/>
          <w:szCs w:val="32"/>
        </w:rPr>
        <w:t>较</w:t>
      </w:r>
      <w:r>
        <w:rPr>
          <w:rFonts w:ascii="仿宋" w:hAnsi="仿宋" w:eastAsia="仿宋" w:cs="仿宋_GB2312"/>
          <w:color w:val="000000"/>
          <w:kern w:val="0"/>
          <w:szCs w:val="32"/>
        </w:rPr>
        <w:t>预算数</w:t>
      </w:r>
      <w:r>
        <w:rPr>
          <w:rFonts w:hint="eastAsia" w:ascii="仿宋" w:hAnsi="仿宋" w:eastAsia="仿宋" w:cs="仿宋_GB2312"/>
          <w:color w:val="000000"/>
          <w:kern w:val="0"/>
          <w:szCs w:val="32"/>
        </w:rPr>
        <w:t>减少1.11万元，</w:t>
      </w:r>
      <w:r>
        <w:rPr>
          <w:rFonts w:ascii="仿宋" w:hAnsi="仿宋" w:eastAsia="仿宋" w:cs="仿宋_GB2312"/>
          <w:color w:val="000000"/>
          <w:kern w:val="0"/>
          <w:szCs w:val="32"/>
        </w:rPr>
        <w:t>主要原因是</w:t>
      </w:r>
      <w:r>
        <w:rPr>
          <w:rFonts w:hint="eastAsia" w:ascii="仿宋" w:hAnsi="仿宋" w:eastAsia="仿宋"/>
          <w:szCs w:val="32"/>
        </w:rPr>
        <w:t>严格执行八项规定要求和机关文件精神，压缩开支，减少没必要的开支</w:t>
      </w:r>
      <w:r>
        <w:rPr>
          <w:rFonts w:hint="eastAsia" w:ascii="仿宋" w:hAnsi="仿宋" w:eastAsia="仿宋" w:cs="仿宋_GB2312"/>
          <w:color w:val="000000"/>
          <w:kern w:val="0"/>
          <w:szCs w:val="32"/>
        </w:rPr>
        <w:t>。</w:t>
      </w:r>
    </w:p>
    <w:p>
      <w:pPr>
        <w:widowControl/>
        <w:spacing w:line="560" w:lineRule="exact"/>
        <w:ind w:firstLine="643" w:firstLineChars="200"/>
        <w:jc w:val="left"/>
        <w:rPr>
          <w:rFonts w:ascii="仿宋" w:hAnsi="仿宋" w:eastAsia="仿宋" w:cstheme="minorEastAsia"/>
          <w:b/>
          <w:bCs/>
          <w:color w:val="000000"/>
          <w:kern w:val="0"/>
          <w:szCs w:val="32"/>
        </w:rPr>
      </w:pPr>
      <w:r>
        <w:rPr>
          <w:rFonts w:hint="eastAsia" w:ascii="仿宋" w:hAnsi="仿宋" w:eastAsia="仿宋" w:cstheme="minorEastAsia"/>
          <w:b/>
          <w:bCs/>
          <w:color w:val="000000"/>
          <w:kern w:val="0"/>
          <w:szCs w:val="32"/>
        </w:rPr>
        <w:t>十一、政府采购支出情况说明</w:t>
      </w:r>
    </w:p>
    <w:p>
      <w:pPr>
        <w:spacing w:line="560" w:lineRule="exact"/>
        <w:ind w:firstLine="640"/>
        <w:rPr>
          <w:rFonts w:ascii="仿宋" w:hAnsi="仿宋" w:eastAsia="仿宋" w:cs="仿宋_GB2312"/>
          <w:szCs w:val="32"/>
        </w:rPr>
      </w:pPr>
      <w:r>
        <w:rPr>
          <w:rFonts w:hint="eastAsia" w:ascii="仿宋" w:hAnsi="仿宋" w:eastAsia="仿宋" w:cs="仿宋_GB2312"/>
          <w:szCs w:val="32"/>
        </w:rPr>
        <w:t>2020年本部门无政府采购支出</w:t>
      </w:r>
    </w:p>
    <w:p>
      <w:pPr>
        <w:spacing w:line="560" w:lineRule="exact"/>
        <w:ind w:firstLine="640"/>
        <w:rPr>
          <w:rFonts w:ascii="仿宋" w:hAnsi="仿宋" w:eastAsia="仿宋" w:cstheme="minorEastAsia"/>
          <w:b/>
          <w:bCs/>
          <w:color w:val="000000"/>
          <w:kern w:val="0"/>
          <w:szCs w:val="32"/>
        </w:rPr>
      </w:pPr>
      <w:r>
        <w:rPr>
          <w:rFonts w:hint="eastAsia" w:ascii="仿宋" w:hAnsi="仿宋" w:eastAsia="仿宋" w:cstheme="minorEastAsia"/>
          <w:b/>
          <w:bCs/>
          <w:color w:val="000000"/>
          <w:kern w:val="0"/>
          <w:szCs w:val="32"/>
        </w:rPr>
        <w:t>十二、国有资产占用及购置情况说明</w:t>
      </w:r>
    </w:p>
    <w:p>
      <w:pPr>
        <w:widowControl/>
        <w:spacing w:line="560" w:lineRule="exact"/>
        <w:ind w:firstLine="640" w:firstLineChars="200"/>
        <w:jc w:val="left"/>
        <w:rPr>
          <w:rFonts w:ascii="仿宋" w:hAnsi="仿宋" w:eastAsia="仿宋" w:cs="仿宋_GB2312"/>
          <w:szCs w:val="32"/>
        </w:rPr>
      </w:pPr>
      <w:r>
        <w:rPr>
          <w:rFonts w:hint="eastAsia" w:ascii="仿宋" w:hAnsi="仿宋" w:eastAsia="仿宋" w:cs="仿宋_GB2312"/>
          <w:szCs w:val="32"/>
        </w:rPr>
        <w:t xml:space="preserve">截至 </w:t>
      </w:r>
      <w:r>
        <w:rPr>
          <w:rFonts w:ascii="仿宋" w:hAnsi="仿宋" w:eastAsia="仿宋" w:cs="仿宋_GB2312"/>
          <w:szCs w:val="32"/>
        </w:rPr>
        <w:t>2020</w:t>
      </w:r>
      <w:r>
        <w:rPr>
          <w:rFonts w:hint="eastAsia" w:ascii="仿宋" w:hAnsi="仿宋" w:eastAsia="仿宋" w:cs="仿宋_GB2312"/>
          <w:szCs w:val="32"/>
        </w:rPr>
        <w:t>年末，本部门机关及所属单位实有车辆6，其中副部（省）级以上领导用车0辆，主要领导干部用车0辆，机要通信用车2，应急保障用车3辆，执法执勤用车0辆，特种专业技术用车0辆，离退休干部用车0辆，其他用车1辆。单价</w:t>
      </w:r>
      <w:r>
        <w:rPr>
          <w:rFonts w:ascii="仿宋" w:hAnsi="仿宋" w:eastAsia="仿宋" w:cs="仿宋_GB2312"/>
          <w:szCs w:val="32"/>
        </w:rPr>
        <w:t>50</w:t>
      </w:r>
      <w:r>
        <w:rPr>
          <w:rFonts w:hint="eastAsia" w:ascii="仿宋" w:hAnsi="仿宋" w:eastAsia="仿宋" w:cs="仿宋_GB2312"/>
          <w:szCs w:val="32"/>
        </w:rPr>
        <w:t>万元以上的通用设备0台（套）；单价</w:t>
      </w:r>
      <w:r>
        <w:rPr>
          <w:rFonts w:ascii="仿宋" w:hAnsi="仿宋" w:eastAsia="仿宋" w:cs="仿宋_GB2312"/>
          <w:szCs w:val="32"/>
        </w:rPr>
        <w:t xml:space="preserve"> 100</w:t>
      </w:r>
      <w:r>
        <w:rPr>
          <w:rFonts w:hint="eastAsia" w:ascii="仿宋" w:hAnsi="仿宋" w:eastAsia="仿宋" w:cs="仿宋_GB2312"/>
          <w:szCs w:val="32"/>
        </w:rPr>
        <w:t>万元以上的专用设备0台（套）。</w:t>
      </w:r>
      <w:r>
        <w:rPr>
          <w:rFonts w:ascii="仿宋" w:hAnsi="仿宋" w:eastAsia="仿宋" w:cs="仿宋_GB2312"/>
          <w:szCs w:val="32"/>
        </w:rPr>
        <w:t>2020</w:t>
      </w:r>
      <w:r>
        <w:rPr>
          <w:rFonts w:hint="eastAsia" w:ascii="仿宋" w:hAnsi="仿宋" w:eastAsia="仿宋" w:cs="仿宋_GB2312"/>
          <w:szCs w:val="32"/>
        </w:rPr>
        <w:t xml:space="preserve">年当年购置车辆0辆；购置单价 </w:t>
      </w:r>
      <w:r>
        <w:rPr>
          <w:rFonts w:ascii="仿宋" w:hAnsi="仿宋" w:eastAsia="仿宋" w:cs="仿宋_GB2312"/>
          <w:szCs w:val="32"/>
        </w:rPr>
        <w:t>50</w:t>
      </w:r>
      <w:r>
        <w:rPr>
          <w:rFonts w:hint="eastAsia" w:ascii="仿宋" w:hAnsi="仿宋" w:eastAsia="仿宋" w:cs="仿宋_GB2312"/>
          <w:szCs w:val="32"/>
        </w:rPr>
        <w:t xml:space="preserve">万元 以上的通用设备0台（套）；购置单价 </w:t>
      </w:r>
      <w:r>
        <w:rPr>
          <w:rFonts w:ascii="仿宋" w:hAnsi="仿宋" w:eastAsia="仿宋" w:cs="仿宋_GB2312"/>
          <w:szCs w:val="32"/>
        </w:rPr>
        <w:t>100</w:t>
      </w:r>
      <w:r>
        <w:rPr>
          <w:rFonts w:hint="eastAsia" w:ascii="仿宋" w:hAnsi="仿宋" w:eastAsia="仿宋" w:cs="仿宋_GB2312"/>
          <w:szCs w:val="32"/>
        </w:rPr>
        <w:t>万元以上的专用设备0台（套）。</w:t>
      </w:r>
    </w:p>
    <w:p>
      <w:pPr>
        <w:widowControl/>
        <w:spacing w:line="560" w:lineRule="exact"/>
        <w:ind w:firstLine="643" w:firstLineChars="200"/>
        <w:jc w:val="left"/>
        <w:rPr>
          <w:rFonts w:ascii="仿宋" w:hAnsi="仿宋" w:eastAsia="仿宋" w:cstheme="minorEastAsia"/>
          <w:b/>
          <w:bCs/>
          <w:color w:val="000000"/>
          <w:kern w:val="0"/>
          <w:szCs w:val="32"/>
        </w:rPr>
      </w:pPr>
      <w:r>
        <w:rPr>
          <w:rFonts w:hint="eastAsia" w:ascii="仿宋" w:hAnsi="仿宋" w:eastAsia="仿宋" w:cstheme="minorEastAsia"/>
          <w:b/>
          <w:bCs/>
          <w:color w:val="000000"/>
          <w:kern w:val="0"/>
          <w:szCs w:val="32"/>
        </w:rPr>
        <w:t>十三、预算绩效情况说明</w:t>
      </w:r>
    </w:p>
    <w:p>
      <w:pPr>
        <w:widowControl/>
        <w:spacing w:line="560" w:lineRule="exact"/>
        <w:ind w:firstLine="643" w:firstLineChars="200"/>
        <w:jc w:val="left"/>
        <w:rPr>
          <w:rFonts w:ascii="仿宋" w:hAnsi="仿宋" w:eastAsia="仿宋" w:cs="楷体_GB2312"/>
          <w:b/>
          <w:color w:val="000000"/>
          <w:kern w:val="0"/>
          <w:szCs w:val="32"/>
        </w:rPr>
      </w:pPr>
      <w:r>
        <w:rPr>
          <w:rFonts w:hint="eastAsia" w:ascii="仿宋" w:hAnsi="仿宋" w:eastAsia="仿宋" w:cs="楷体_GB2312"/>
          <w:b/>
          <w:color w:val="000000"/>
          <w:kern w:val="0"/>
          <w:szCs w:val="32"/>
        </w:rPr>
        <w:t>（一）</w:t>
      </w:r>
      <w:r>
        <w:rPr>
          <w:rFonts w:ascii="仿宋" w:hAnsi="仿宋" w:eastAsia="仿宋" w:cs="楷体_GB2312"/>
          <w:b/>
          <w:color w:val="000000"/>
          <w:kern w:val="0"/>
          <w:szCs w:val="32"/>
        </w:rPr>
        <w:t>预算绩效管理工作开展情况</w:t>
      </w:r>
      <w:r>
        <w:rPr>
          <w:rFonts w:hint="eastAsia" w:ascii="仿宋" w:hAnsi="仿宋" w:eastAsia="仿宋" w:cs="楷体_GB2312"/>
          <w:b/>
          <w:color w:val="000000"/>
          <w:kern w:val="0"/>
          <w:szCs w:val="32"/>
        </w:rPr>
        <w:t>说明</w:t>
      </w:r>
      <w:r>
        <w:rPr>
          <w:rFonts w:ascii="仿宋" w:hAnsi="仿宋" w:eastAsia="仿宋" w:cs="楷体_GB2312"/>
          <w:b/>
          <w:color w:val="000000"/>
          <w:kern w:val="0"/>
          <w:szCs w:val="32"/>
        </w:rPr>
        <w:t>。</w:t>
      </w:r>
      <w:r>
        <w:rPr>
          <w:rFonts w:hint="eastAsia" w:ascii="仿宋" w:hAnsi="仿宋" w:eastAsia="仿宋" w:cs="楷体_GB2312"/>
          <w:b/>
          <w:color w:val="000000"/>
          <w:kern w:val="0"/>
          <w:szCs w:val="32"/>
        </w:rPr>
        <w:t xml:space="preserve">     </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cs="仿宋_GB2312"/>
          <w:szCs w:val="32"/>
        </w:rPr>
        <w:t>根据预算绩效管理要求，本部门组织对2</w:t>
      </w:r>
      <w:r>
        <w:rPr>
          <w:rFonts w:ascii="仿宋" w:hAnsi="仿宋" w:eastAsia="仿宋" w:cs="仿宋_GB2312"/>
          <w:szCs w:val="32"/>
        </w:rPr>
        <w:t>0</w:t>
      </w:r>
      <w:r>
        <w:rPr>
          <w:rFonts w:hint="eastAsia" w:ascii="仿宋" w:hAnsi="仿宋" w:eastAsia="仿宋" w:cs="仿宋_GB2312"/>
          <w:szCs w:val="32"/>
        </w:rPr>
        <w:t>20年一般公共预算3个项目支出开展了绩效自评</w:t>
      </w:r>
      <w:r>
        <w:rPr>
          <w:rFonts w:ascii="仿宋" w:hAnsi="仿宋" w:eastAsia="仿宋" w:cs="仿宋_GB2312"/>
          <w:szCs w:val="32"/>
        </w:rPr>
        <w:t>，其中，一级项目</w:t>
      </w:r>
      <w:r>
        <w:rPr>
          <w:rFonts w:hint="eastAsia" w:ascii="仿宋" w:hAnsi="仿宋" w:eastAsia="仿宋" w:cs="仿宋_GB2312"/>
          <w:szCs w:val="32"/>
        </w:rPr>
        <w:t>3</w:t>
      </w:r>
      <w:r>
        <w:rPr>
          <w:rFonts w:ascii="仿宋" w:hAnsi="仿宋" w:eastAsia="仿宋" w:cs="仿宋_GB2312"/>
          <w:szCs w:val="32"/>
        </w:rPr>
        <w:t>个，二级项目</w:t>
      </w:r>
      <w:r>
        <w:rPr>
          <w:rFonts w:hint="eastAsia" w:ascii="仿宋" w:hAnsi="仿宋" w:eastAsia="仿宋" w:cs="仿宋_GB2312"/>
          <w:szCs w:val="32"/>
        </w:rPr>
        <w:t>0</w:t>
      </w:r>
      <w:r>
        <w:rPr>
          <w:rFonts w:ascii="仿宋" w:hAnsi="仿宋" w:eastAsia="仿宋" w:cs="仿宋_GB2312"/>
          <w:szCs w:val="32"/>
        </w:rPr>
        <w:t>个，共涉及资金</w:t>
      </w:r>
      <w:r>
        <w:rPr>
          <w:rFonts w:hint="eastAsia" w:ascii="仿宋" w:hAnsi="仿宋" w:eastAsia="仿宋" w:cs="仿宋_GB2312"/>
          <w:szCs w:val="32"/>
        </w:rPr>
        <w:t>160</w:t>
      </w:r>
      <w:r>
        <w:rPr>
          <w:rFonts w:ascii="仿宋" w:hAnsi="仿宋" w:eastAsia="仿宋" w:cs="仿宋_GB2312"/>
          <w:szCs w:val="32"/>
        </w:rPr>
        <w:t>万元，占一般公共预算项目支出总额的</w:t>
      </w:r>
      <w:r>
        <w:rPr>
          <w:rFonts w:hint="eastAsia" w:ascii="仿宋" w:hAnsi="仿宋" w:eastAsia="仿宋" w:cs="仿宋_GB2312"/>
          <w:szCs w:val="32"/>
        </w:rPr>
        <w:t>100</w:t>
      </w:r>
      <w:r>
        <w:rPr>
          <w:rFonts w:ascii="仿宋" w:hAnsi="仿宋" w:eastAsia="仿宋" w:cs="仿宋_GB2312"/>
          <w:szCs w:val="32"/>
        </w:rPr>
        <w:t>%</w:t>
      </w:r>
      <w:r>
        <w:rPr>
          <w:rFonts w:hint="eastAsia" w:ascii="仿宋" w:hAnsi="仿宋" w:eastAsia="仿宋" w:cs="仿宋_GB2312"/>
          <w:szCs w:val="32"/>
        </w:rPr>
        <w:t>；</w:t>
      </w:r>
      <w:r>
        <w:rPr>
          <w:rFonts w:ascii="仿宋" w:hAnsi="仿宋" w:eastAsia="仿宋" w:cs="仿宋_GB2312"/>
          <w:color w:val="000000"/>
          <w:kern w:val="0"/>
          <w:szCs w:val="32"/>
        </w:rPr>
        <w:t>组织对 20</w:t>
      </w:r>
      <w:r>
        <w:rPr>
          <w:rFonts w:hint="eastAsia" w:ascii="仿宋" w:hAnsi="仿宋" w:eastAsia="仿宋" w:cs="仿宋_GB2312"/>
          <w:color w:val="000000"/>
          <w:kern w:val="0"/>
          <w:szCs w:val="32"/>
        </w:rPr>
        <w:t>20</w:t>
      </w:r>
      <w:r>
        <w:rPr>
          <w:rFonts w:ascii="仿宋" w:hAnsi="仿宋" w:eastAsia="仿宋" w:cs="仿宋_GB2312"/>
          <w:color w:val="000000"/>
          <w:kern w:val="0"/>
          <w:szCs w:val="32"/>
        </w:rPr>
        <w:t>年</w:t>
      </w:r>
      <w:r>
        <w:rPr>
          <w:rFonts w:hint="eastAsia" w:ascii="仿宋" w:hAnsi="仿宋" w:eastAsia="仿宋"/>
          <w:szCs w:val="32"/>
        </w:rPr>
        <w:t>度政府性</w:t>
      </w:r>
      <w:r>
        <w:rPr>
          <w:rFonts w:hint="eastAsia" w:ascii="仿宋" w:hAnsi="仿宋" w:eastAsia="仿宋" w:cs="仿宋_GB2312"/>
          <w:szCs w:val="32"/>
        </w:rPr>
        <w:t>基金预算0个项目支出开展了绩效自评</w:t>
      </w:r>
      <w:r>
        <w:rPr>
          <w:rFonts w:ascii="仿宋" w:hAnsi="仿宋" w:eastAsia="仿宋" w:cs="仿宋_GB2312"/>
          <w:color w:val="000000"/>
          <w:kern w:val="0"/>
          <w:szCs w:val="32"/>
        </w:rPr>
        <w:t>，</w:t>
      </w:r>
      <w:r>
        <w:rPr>
          <w:rFonts w:hint="eastAsia" w:ascii="仿宋" w:hAnsi="仿宋" w:eastAsia="仿宋" w:cs="仿宋_GB2312"/>
          <w:color w:val="000000"/>
          <w:kern w:val="0"/>
          <w:szCs w:val="32"/>
        </w:rPr>
        <w:t>涉及项目</w:t>
      </w:r>
      <w:r>
        <w:rPr>
          <w:rFonts w:hint="eastAsia" w:ascii="仿宋" w:hAnsi="仿宋" w:eastAsia="仿宋" w:cs="仿宋_GB2312"/>
          <w:szCs w:val="32"/>
        </w:rPr>
        <w:t>0</w:t>
      </w:r>
      <w:r>
        <w:rPr>
          <w:rFonts w:hint="eastAsia" w:ascii="仿宋" w:hAnsi="仿宋" w:eastAsia="仿宋" w:cs="仿宋_GB2312"/>
          <w:color w:val="000000"/>
          <w:kern w:val="0"/>
          <w:szCs w:val="32"/>
        </w:rPr>
        <w:t>个，</w:t>
      </w:r>
      <w:r>
        <w:rPr>
          <w:rFonts w:ascii="仿宋" w:hAnsi="仿宋" w:eastAsia="仿宋" w:cs="仿宋_GB2312"/>
          <w:color w:val="000000"/>
          <w:kern w:val="0"/>
          <w:szCs w:val="32"/>
        </w:rPr>
        <w:t>共涉及资金</w:t>
      </w:r>
      <w:r>
        <w:rPr>
          <w:rFonts w:hint="eastAsia" w:ascii="仿宋" w:hAnsi="仿宋" w:eastAsia="仿宋" w:cs="仿宋_GB2312"/>
          <w:color w:val="000000"/>
          <w:kern w:val="0"/>
          <w:szCs w:val="32"/>
        </w:rPr>
        <w:t>0</w:t>
      </w:r>
      <w:r>
        <w:rPr>
          <w:rFonts w:ascii="仿宋" w:hAnsi="仿宋" w:eastAsia="仿宋" w:cs="仿宋_GB2312"/>
          <w:color w:val="000000"/>
          <w:kern w:val="0"/>
          <w:szCs w:val="32"/>
        </w:rPr>
        <w:t>万元，占政府性基金预算项目支出总额的</w:t>
      </w:r>
      <w:r>
        <w:rPr>
          <w:rFonts w:hint="eastAsia" w:ascii="仿宋" w:hAnsi="仿宋" w:eastAsia="仿宋" w:cs="仿宋_GB2312"/>
          <w:color w:val="000000"/>
          <w:kern w:val="0"/>
          <w:szCs w:val="32"/>
        </w:rPr>
        <w:t>0</w:t>
      </w:r>
      <w:r>
        <w:rPr>
          <w:rFonts w:ascii="仿宋" w:hAnsi="仿宋" w:eastAsia="仿宋" w:cs="仿宋_GB2312"/>
          <w:color w:val="000000"/>
          <w:kern w:val="0"/>
          <w:szCs w:val="32"/>
        </w:rPr>
        <w:t>%</w:t>
      </w:r>
      <w:r>
        <w:rPr>
          <w:rFonts w:hint="eastAsia" w:ascii="仿宋" w:hAnsi="仿宋" w:eastAsia="仿宋" w:cs="仿宋_GB2312"/>
          <w:color w:val="000000"/>
          <w:kern w:val="0"/>
          <w:szCs w:val="32"/>
        </w:rPr>
        <w:t>。</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cs="仿宋_GB2312"/>
          <w:szCs w:val="32"/>
        </w:rPr>
        <w:t>本部门组织对2</w:t>
      </w:r>
      <w:r>
        <w:rPr>
          <w:rFonts w:ascii="仿宋" w:hAnsi="仿宋" w:eastAsia="仿宋" w:cs="仿宋_GB2312"/>
          <w:szCs w:val="32"/>
        </w:rPr>
        <w:t>0</w:t>
      </w:r>
      <w:r>
        <w:rPr>
          <w:rFonts w:hint="eastAsia" w:ascii="仿宋" w:hAnsi="仿宋" w:eastAsia="仿宋" w:cs="仿宋_GB2312"/>
          <w:szCs w:val="32"/>
        </w:rPr>
        <w:t>20年度部门整体进行了绩效自评，涉及资金</w:t>
      </w:r>
      <w:r>
        <w:rPr>
          <w:rFonts w:hint="eastAsia" w:ascii="仿宋" w:hAnsi="仿宋" w:eastAsia="仿宋" w:cs="仿宋_GB2312"/>
          <w:color w:val="000000"/>
          <w:kern w:val="0"/>
          <w:szCs w:val="32"/>
        </w:rPr>
        <w:t>543.32</w:t>
      </w:r>
      <w:r>
        <w:rPr>
          <w:rFonts w:hint="eastAsia" w:ascii="仿宋" w:hAnsi="仿宋" w:eastAsia="仿宋" w:cs="仿宋_GB2312"/>
          <w:szCs w:val="32"/>
        </w:rPr>
        <w:t>万元。</w:t>
      </w:r>
    </w:p>
    <w:p>
      <w:pPr>
        <w:widowControl/>
        <w:spacing w:line="560" w:lineRule="exact"/>
        <w:ind w:firstLine="643" w:firstLineChars="200"/>
        <w:jc w:val="left"/>
        <w:rPr>
          <w:rFonts w:ascii="仿宋" w:hAnsi="仿宋" w:eastAsia="仿宋" w:cs="楷体_GB2312"/>
          <w:b/>
          <w:color w:val="000000"/>
          <w:kern w:val="0"/>
          <w:szCs w:val="32"/>
        </w:rPr>
      </w:pPr>
      <w:r>
        <w:rPr>
          <w:rFonts w:hint="eastAsia" w:ascii="仿宋" w:hAnsi="仿宋" w:eastAsia="仿宋" w:cs="楷体_GB2312"/>
          <w:b/>
          <w:color w:val="000000"/>
          <w:kern w:val="0"/>
          <w:szCs w:val="32"/>
        </w:rPr>
        <w:t>（二）</w:t>
      </w:r>
      <w:r>
        <w:rPr>
          <w:rFonts w:ascii="仿宋" w:hAnsi="仿宋" w:eastAsia="仿宋" w:cs="楷体_GB2312"/>
          <w:b/>
          <w:color w:val="000000"/>
          <w:kern w:val="0"/>
          <w:szCs w:val="32"/>
        </w:rPr>
        <w:t>部门决算中项目绩效自评结果。</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cs="仿宋_GB2312"/>
          <w:szCs w:val="32"/>
        </w:rPr>
        <w:t>本部门在2020年度部门决算中反映的</w:t>
      </w:r>
      <w:r>
        <w:rPr>
          <w:rFonts w:hint="eastAsia" w:ascii="仿宋" w:hAnsi="仿宋" w:eastAsia="仿宋" w:cs="仿宋_GB2312"/>
          <w:color w:val="000000"/>
          <w:kern w:val="0"/>
          <w:szCs w:val="32"/>
        </w:rPr>
        <w:t>业务费</w:t>
      </w:r>
      <w:r>
        <w:rPr>
          <w:rFonts w:hint="eastAsia" w:ascii="仿宋" w:hAnsi="仿宋" w:eastAsia="仿宋" w:cs="仿宋_GB2312"/>
          <w:szCs w:val="32"/>
        </w:rPr>
        <w:t>项目、</w:t>
      </w:r>
      <w:r>
        <w:rPr>
          <w:rFonts w:hint="eastAsia" w:ascii="仿宋" w:hAnsi="仿宋" w:eastAsia="仿宋" w:cs="仿宋_GB2312"/>
          <w:color w:val="000000"/>
          <w:kern w:val="0"/>
          <w:szCs w:val="32"/>
        </w:rPr>
        <w:t>预备役经费</w:t>
      </w:r>
      <w:r>
        <w:rPr>
          <w:rFonts w:hint="eastAsia" w:ascii="仿宋" w:hAnsi="仿宋" w:eastAsia="仿宋" w:cs="仿宋_GB2312"/>
          <w:szCs w:val="32"/>
        </w:rPr>
        <w:t>项目、政务公开项目，共3个一级项目绩效自评结果。</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cs="仿宋_GB2312"/>
          <w:color w:val="000000"/>
          <w:kern w:val="0"/>
          <w:szCs w:val="32"/>
        </w:rPr>
        <w:t>1、业务费</w:t>
      </w:r>
      <w:r>
        <w:rPr>
          <w:rFonts w:ascii="仿宋" w:hAnsi="仿宋" w:eastAsia="仿宋" w:cs="仿宋_GB2312"/>
          <w:color w:val="000000"/>
          <w:kern w:val="0"/>
          <w:szCs w:val="32"/>
        </w:rPr>
        <w:t>项目绩效自评综述：根据年初设定的绩效目标，项目自评得分</w:t>
      </w:r>
      <w:r>
        <w:rPr>
          <w:rFonts w:hint="eastAsia" w:ascii="仿宋" w:hAnsi="仿宋" w:eastAsia="仿宋" w:cs="仿宋_GB2312"/>
          <w:color w:val="000000"/>
          <w:kern w:val="0"/>
          <w:szCs w:val="32"/>
        </w:rPr>
        <w:t>95</w:t>
      </w:r>
      <w:r>
        <w:rPr>
          <w:rFonts w:ascii="仿宋" w:hAnsi="仿宋" w:eastAsia="仿宋" w:cs="仿宋_GB2312"/>
          <w:color w:val="000000"/>
          <w:kern w:val="0"/>
          <w:szCs w:val="32"/>
        </w:rPr>
        <w:t>分。项目全年预算数</w:t>
      </w:r>
      <w:r>
        <w:rPr>
          <w:rFonts w:hint="eastAsia" w:ascii="仿宋" w:hAnsi="仿宋" w:eastAsia="仿宋" w:cs="仿宋_GB2312"/>
          <w:color w:val="000000"/>
          <w:kern w:val="0"/>
          <w:szCs w:val="32"/>
        </w:rPr>
        <w:t>94</w:t>
      </w:r>
      <w:r>
        <w:rPr>
          <w:rFonts w:ascii="仿宋" w:hAnsi="仿宋" w:eastAsia="仿宋" w:cs="仿宋_GB2312"/>
          <w:color w:val="000000"/>
          <w:kern w:val="0"/>
          <w:szCs w:val="32"/>
        </w:rPr>
        <w:t>万元，执行数</w:t>
      </w:r>
      <w:r>
        <w:rPr>
          <w:rFonts w:hint="eastAsia" w:ascii="仿宋" w:hAnsi="仿宋" w:eastAsia="仿宋" w:cs="仿宋_GB2312"/>
          <w:color w:val="000000"/>
          <w:kern w:val="0"/>
          <w:szCs w:val="32"/>
        </w:rPr>
        <w:t>94</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主要产出和效果：通过项目实施</w:t>
      </w:r>
      <w:r>
        <w:rPr>
          <w:rFonts w:hint="eastAsia" w:ascii="仿宋" w:hAnsi="仿宋" w:eastAsia="仿宋" w:cs="仿宋_GB2312"/>
          <w:color w:val="000000"/>
          <w:kern w:val="0"/>
          <w:szCs w:val="32"/>
        </w:rPr>
        <w:t>部门营商环境政策落实，同时做好宣传培训，提升环境改造，维持社会治安，保障区域稳定、做好宣传培训、按时发放临聘人员工资，保障了机关公务的正常运转。</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发现的问题及原因：</w:t>
      </w:r>
      <w:r>
        <w:rPr>
          <w:rFonts w:hint="eastAsia" w:ascii="仿宋" w:hAnsi="仿宋" w:eastAsia="仿宋" w:cs="仿宋_GB2312"/>
          <w:color w:val="000000"/>
          <w:kern w:val="0"/>
          <w:szCs w:val="32"/>
        </w:rPr>
        <w:t>加大宣传力度，提高干部群众服务意识，形成爱护环境的良好氛围</w:t>
      </w:r>
      <w:r>
        <w:rPr>
          <w:rFonts w:ascii="仿宋" w:hAnsi="仿宋" w:eastAsia="仿宋" w:cs="仿宋_GB2312"/>
          <w:color w:val="000000"/>
          <w:kern w:val="0"/>
          <w:szCs w:val="32"/>
        </w:rPr>
        <w:t>。</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下一步改进措施：</w:t>
      </w:r>
      <w:r>
        <w:rPr>
          <w:rFonts w:hint="eastAsia" w:ascii="仿宋" w:hAnsi="仿宋" w:eastAsia="仿宋" w:cs="仿宋_GB2312"/>
          <w:color w:val="000000"/>
          <w:kern w:val="0"/>
          <w:szCs w:val="32"/>
        </w:rPr>
        <w:t>将进一步提升环境的改变，维持社会治安，保障区域稳定。</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cs="仿宋_GB2312"/>
          <w:color w:val="000000"/>
          <w:kern w:val="0"/>
          <w:szCs w:val="32"/>
        </w:rPr>
        <w:t>2、预备役经费项目绩效</w:t>
      </w:r>
      <w:r>
        <w:rPr>
          <w:rFonts w:ascii="仿宋" w:hAnsi="仿宋" w:eastAsia="仿宋" w:cs="仿宋_GB2312"/>
          <w:color w:val="000000"/>
          <w:kern w:val="0"/>
          <w:szCs w:val="32"/>
        </w:rPr>
        <w:t>自评综述：根据年初设定的绩效目标，项目自评得分</w:t>
      </w:r>
      <w:r>
        <w:rPr>
          <w:rFonts w:hint="eastAsia" w:ascii="仿宋" w:hAnsi="仿宋" w:eastAsia="仿宋" w:cs="仿宋_GB2312"/>
          <w:color w:val="000000"/>
          <w:kern w:val="0"/>
          <w:szCs w:val="32"/>
        </w:rPr>
        <w:t>95</w:t>
      </w:r>
      <w:r>
        <w:rPr>
          <w:rFonts w:ascii="仿宋" w:hAnsi="仿宋" w:eastAsia="仿宋" w:cs="仿宋_GB2312"/>
          <w:color w:val="000000"/>
          <w:kern w:val="0"/>
          <w:szCs w:val="32"/>
        </w:rPr>
        <w:t>分。项目全年预算数</w:t>
      </w:r>
      <w:r>
        <w:rPr>
          <w:rFonts w:hint="eastAsia" w:ascii="仿宋" w:hAnsi="仿宋" w:eastAsia="仿宋" w:cs="仿宋_GB2312"/>
          <w:color w:val="000000"/>
          <w:kern w:val="0"/>
          <w:szCs w:val="32"/>
        </w:rPr>
        <w:t>60</w:t>
      </w:r>
      <w:r>
        <w:rPr>
          <w:rFonts w:ascii="仿宋" w:hAnsi="仿宋" w:eastAsia="仿宋" w:cs="仿宋_GB2312"/>
          <w:color w:val="000000"/>
          <w:kern w:val="0"/>
          <w:szCs w:val="32"/>
        </w:rPr>
        <w:t xml:space="preserve">万元，执行数 </w:t>
      </w:r>
      <w:r>
        <w:rPr>
          <w:rFonts w:hint="eastAsia" w:ascii="仿宋" w:hAnsi="仿宋" w:eastAsia="仿宋" w:cs="仿宋_GB2312"/>
          <w:color w:val="000000"/>
          <w:kern w:val="0"/>
          <w:szCs w:val="32"/>
        </w:rPr>
        <w:t>60</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主要产出和效果：通过项目实施</w:t>
      </w:r>
      <w:r>
        <w:rPr>
          <w:rFonts w:hint="eastAsia" w:ascii="仿宋" w:hAnsi="仿宋" w:eastAsia="仿宋" w:cs="仿宋_GB2312"/>
          <w:color w:val="000000"/>
          <w:kern w:val="0"/>
          <w:szCs w:val="32"/>
        </w:rPr>
        <w:t>维持社会治安，保障区区域稳定。</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发现的问题及原因：</w:t>
      </w:r>
      <w:r>
        <w:rPr>
          <w:rFonts w:hint="eastAsia" w:ascii="仿宋" w:hAnsi="仿宋" w:eastAsia="仿宋" w:cs="仿宋_GB2312"/>
          <w:color w:val="000000"/>
          <w:kern w:val="0"/>
          <w:szCs w:val="32"/>
        </w:rPr>
        <w:t>预算不够全面，项目实施过程中的监督与考核欠缺。</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下一步改进措施：</w:t>
      </w:r>
      <w:r>
        <w:rPr>
          <w:rFonts w:hint="eastAsia" w:ascii="仿宋" w:hAnsi="仿宋" w:eastAsia="仿宋" w:cs="仿宋_GB2312"/>
          <w:color w:val="000000"/>
          <w:kern w:val="0"/>
          <w:szCs w:val="32"/>
        </w:rPr>
        <w:t>对项目进行全面预算管理，完善项目实施过程中的监督与考核。</w:t>
      </w:r>
    </w:p>
    <w:p>
      <w:pPr>
        <w:widowControl/>
        <w:spacing w:line="560" w:lineRule="exact"/>
        <w:ind w:firstLine="640" w:firstLineChars="200"/>
        <w:jc w:val="left"/>
        <w:rPr>
          <w:rFonts w:ascii="仿宋" w:hAnsi="仿宋" w:eastAsia="仿宋" w:cs="仿宋_GB2312"/>
          <w:color w:val="000000"/>
          <w:kern w:val="0"/>
          <w:szCs w:val="32"/>
        </w:rPr>
      </w:pPr>
      <w:r>
        <w:rPr>
          <w:rFonts w:hint="eastAsia" w:ascii="仿宋" w:hAnsi="仿宋" w:eastAsia="仿宋" w:cs="仿宋_GB2312"/>
          <w:color w:val="000000"/>
          <w:kern w:val="0"/>
          <w:szCs w:val="32"/>
        </w:rPr>
        <w:t>3、政务公开</w:t>
      </w:r>
      <w:r>
        <w:rPr>
          <w:rFonts w:ascii="仿宋" w:hAnsi="仿宋" w:eastAsia="仿宋" w:cs="仿宋_GB2312"/>
          <w:color w:val="000000"/>
          <w:kern w:val="0"/>
          <w:szCs w:val="32"/>
        </w:rPr>
        <w:t>项目绩效自评综述：根据年初设定的绩效目标，项目自评得分</w:t>
      </w:r>
      <w:r>
        <w:rPr>
          <w:rFonts w:hint="eastAsia" w:ascii="仿宋" w:hAnsi="仿宋" w:eastAsia="仿宋" w:cs="仿宋_GB2312"/>
          <w:color w:val="000000"/>
          <w:kern w:val="0"/>
          <w:szCs w:val="32"/>
        </w:rPr>
        <w:t>95</w:t>
      </w:r>
      <w:r>
        <w:rPr>
          <w:rFonts w:ascii="仿宋" w:hAnsi="仿宋" w:eastAsia="仿宋" w:cs="仿宋_GB2312"/>
          <w:color w:val="000000"/>
          <w:kern w:val="0"/>
          <w:szCs w:val="32"/>
        </w:rPr>
        <w:t>分。项目全年预算数</w:t>
      </w:r>
      <w:r>
        <w:rPr>
          <w:rFonts w:hint="eastAsia" w:ascii="仿宋" w:hAnsi="仿宋" w:eastAsia="仿宋" w:cs="仿宋_GB2312"/>
          <w:color w:val="000000"/>
          <w:kern w:val="0"/>
          <w:szCs w:val="32"/>
        </w:rPr>
        <w:t>6</w:t>
      </w:r>
      <w:r>
        <w:rPr>
          <w:rFonts w:ascii="仿宋" w:hAnsi="仿宋" w:eastAsia="仿宋" w:cs="仿宋_GB2312"/>
          <w:color w:val="000000"/>
          <w:kern w:val="0"/>
          <w:szCs w:val="32"/>
        </w:rPr>
        <w:t xml:space="preserve">万元，执行数 </w:t>
      </w:r>
      <w:r>
        <w:rPr>
          <w:rFonts w:hint="eastAsia" w:ascii="仿宋" w:hAnsi="仿宋" w:eastAsia="仿宋" w:cs="仿宋_GB2312"/>
          <w:color w:val="000000"/>
          <w:kern w:val="0"/>
          <w:szCs w:val="32"/>
        </w:rPr>
        <w:t>6</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100</w:t>
      </w:r>
      <w:r>
        <w:rPr>
          <w:rFonts w:ascii="仿宋" w:hAnsi="仿宋" w:eastAsia="仿宋" w:cs="仿宋_GB2312"/>
          <w:color w:val="000000"/>
          <w:kern w:val="0"/>
          <w:szCs w:val="32"/>
        </w:rPr>
        <w:t>%。</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主要产出和效果：通过项目实施</w:t>
      </w:r>
      <w:r>
        <w:rPr>
          <w:rFonts w:hint="eastAsia" w:ascii="仿宋" w:hAnsi="仿宋" w:eastAsia="仿宋" w:cs="仿宋_GB2312"/>
          <w:color w:val="000000"/>
          <w:kern w:val="0"/>
          <w:szCs w:val="32"/>
        </w:rPr>
        <w:t>用于负责落实上级部门政务公开政策宣传培训、政务新媒体管理等政策落实，提升环境改造，维持社会治安，保障区域稳定。</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发现的问题及原因：</w:t>
      </w:r>
      <w:r>
        <w:rPr>
          <w:rFonts w:hint="eastAsia" w:ascii="仿宋" w:hAnsi="仿宋" w:eastAsia="仿宋" w:cs="仿宋_GB2312"/>
          <w:color w:val="000000"/>
          <w:kern w:val="0"/>
          <w:szCs w:val="32"/>
        </w:rPr>
        <w:t>加大宣传力度，提高群众意识，形成爱护环境的良好氛围</w:t>
      </w:r>
      <w:r>
        <w:rPr>
          <w:rFonts w:ascii="仿宋" w:hAnsi="仿宋" w:eastAsia="仿宋" w:cs="仿宋_GB2312"/>
          <w:color w:val="000000"/>
          <w:kern w:val="0"/>
          <w:szCs w:val="32"/>
        </w:rPr>
        <w:t>。</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下一步改进措施：</w:t>
      </w:r>
      <w:r>
        <w:rPr>
          <w:rFonts w:hint="eastAsia" w:ascii="仿宋" w:hAnsi="仿宋" w:eastAsia="仿宋" w:cs="仿宋_GB2312"/>
          <w:color w:val="000000"/>
          <w:kern w:val="0"/>
          <w:szCs w:val="32"/>
        </w:rPr>
        <w:t>将进一步提升环境的改变，维持社会治安，保障区域稳定。</w:t>
      </w:r>
    </w:p>
    <w:tbl>
      <w:tblPr>
        <w:tblStyle w:val="7"/>
        <w:tblW w:w="9660" w:type="dxa"/>
        <w:tblInd w:w="97" w:type="dxa"/>
        <w:tblLayout w:type="autofit"/>
        <w:tblCellMar>
          <w:top w:w="0" w:type="dxa"/>
          <w:left w:w="108" w:type="dxa"/>
          <w:bottom w:w="0" w:type="dxa"/>
          <w:right w:w="108" w:type="dxa"/>
        </w:tblCellMar>
      </w:tblPr>
      <w:tblGrid>
        <w:gridCol w:w="891"/>
        <w:gridCol w:w="658"/>
        <w:gridCol w:w="1046"/>
        <w:gridCol w:w="1827"/>
        <w:gridCol w:w="1011"/>
        <w:gridCol w:w="1053"/>
        <w:gridCol w:w="998"/>
        <w:gridCol w:w="1473"/>
        <w:gridCol w:w="703"/>
      </w:tblGrid>
      <w:tr>
        <w:tblPrEx>
          <w:tblCellMar>
            <w:top w:w="0" w:type="dxa"/>
            <w:left w:w="108" w:type="dxa"/>
            <w:bottom w:w="0" w:type="dxa"/>
            <w:right w:w="108" w:type="dxa"/>
          </w:tblCellMar>
        </w:tblPrEx>
        <w:trPr>
          <w:trHeight w:val="420" w:hRule="atLeast"/>
        </w:trPr>
        <w:tc>
          <w:tcPr>
            <w:tcW w:w="9660" w:type="dxa"/>
            <w:gridSpan w:val="9"/>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Cs w:val="32"/>
              </w:rPr>
            </w:pPr>
          </w:p>
          <w:p>
            <w:pPr>
              <w:widowControl/>
              <w:jc w:val="center"/>
              <w:rPr>
                <w:rFonts w:ascii="宋体" w:hAnsi="宋体" w:eastAsia="宋体" w:cs="宋体"/>
                <w:b/>
                <w:bCs/>
                <w:color w:val="000000"/>
                <w:kern w:val="0"/>
                <w:szCs w:val="32"/>
              </w:rPr>
            </w:pPr>
          </w:p>
          <w:p>
            <w:pPr>
              <w:widowControl/>
              <w:jc w:val="center"/>
              <w:rPr>
                <w:rFonts w:ascii="宋体" w:hAnsi="宋体" w:eastAsia="宋体" w:cs="宋体"/>
                <w:b/>
                <w:bCs/>
                <w:color w:val="000000"/>
                <w:kern w:val="0"/>
                <w:szCs w:val="32"/>
              </w:rPr>
            </w:pPr>
          </w:p>
          <w:p>
            <w:pPr>
              <w:widowControl/>
              <w:jc w:val="center"/>
              <w:rPr>
                <w:rFonts w:hint="eastAsia" w:ascii="宋体" w:hAnsi="宋体" w:eastAsia="宋体" w:cs="宋体"/>
                <w:b/>
                <w:bCs/>
                <w:color w:val="000000"/>
                <w:kern w:val="0"/>
                <w:szCs w:val="32"/>
              </w:rPr>
            </w:pPr>
          </w:p>
          <w:p>
            <w:pPr>
              <w:widowControl/>
              <w:jc w:val="center"/>
              <w:rPr>
                <w:rFonts w:hint="eastAsia" w:ascii="宋体" w:hAnsi="宋体" w:eastAsia="宋体" w:cs="宋体"/>
                <w:b/>
                <w:bCs/>
                <w:color w:val="000000"/>
                <w:kern w:val="0"/>
                <w:szCs w:val="32"/>
              </w:rPr>
            </w:pPr>
          </w:p>
          <w:p>
            <w:pPr>
              <w:widowControl/>
              <w:jc w:val="center"/>
              <w:rPr>
                <w:rFonts w:hint="eastAsia" w:ascii="宋体" w:hAnsi="宋体" w:eastAsia="宋体" w:cs="宋体"/>
                <w:b/>
                <w:bCs/>
                <w:color w:val="000000"/>
                <w:kern w:val="0"/>
                <w:szCs w:val="32"/>
              </w:rPr>
            </w:pPr>
          </w:p>
          <w:p>
            <w:pPr>
              <w:widowControl/>
              <w:jc w:val="center"/>
              <w:rPr>
                <w:rFonts w:hint="eastAsia" w:ascii="宋体" w:hAnsi="宋体" w:eastAsia="宋体" w:cs="宋体"/>
                <w:b/>
                <w:bCs/>
                <w:color w:val="000000"/>
                <w:kern w:val="0"/>
                <w:szCs w:val="32"/>
              </w:rPr>
            </w:pPr>
          </w:p>
          <w:p>
            <w:pPr>
              <w:widowControl/>
              <w:jc w:val="center"/>
              <w:rPr>
                <w:rFonts w:ascii="宋体" w:hAnsi="宋体" w:eastAsia="宋体" w:cs="宋体"/>
                <w:b/>
                <w:bCs/>
                <w:color w:val="000000"/>
                <w:kern w:val="0"/>
                <w:szCs w:val="32"/>
              </w:rPr>
            </w:pPr>
          </w:p>
          <w:p>
            <w:pPr>
              <w:widowControl/>
              <w:jc w:val="center"/>
              <w:rPr>
                <w:rFonts w:ascii="宋体" w:hAnsi="宋体" w:eastAsia="宋体" w:cs="宋体"/>
                <w:b/>
                <w:bCs/>
                <w:color w:val="000000"/>
                <w:kern w:val="0"/>
                <w:szCs w:val="32"/>
              </w:rPr>
            </w:pPr>
          </w:p>
          <w:p>
            <w:pPr>
              <w:widowControl/>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 xml:space="preserve">区级预算（项目）绩效目标自评表 </w:t>
            </w:r>
          </w:p>
        </w:tc>
      </w:tr>
      <w:tr>
        <w:tblPrEx>
          <w:tblCellMar>
            <w:top w:w="0" w:type="dxa"/>
            <w:left w:w="108" w:type="dxa"/>
            <w:bottom w:w="0" w:type="dxa"/>
            <w:right w:w="108" w:type="dxa"/>
          </w:tblCellMar>
        </w:tblPrEx>
        <w:trPr>
          <w:trHeight w:val="420" w:hRule="atLeast"/>
        </w:trPr>
        <w:tc>
          <w:tcPr>
            <w:tcW w:w="9660" w:type="dxa"/>
            <w:gridSpan w:val="9"/>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（2020年度）</w:t>
            </w:r>
          </w:p>
        </w:tc>
      </w:tr>
      <w:tr>
        <w:tblPrEx>
          <w:tblCellMar>
            <w:top w:w="0" w:type="dxa"/>
            <w:left w:w="108" w:type="dxa"/>
            <w:bottom w:w="0" w:type="dxa"/>
            <w:right w:w="108" w:type="dxa"/>
          </w:tblCellMar>
        </w:tblPrEx>
        <w:trPr>
          <w:gridAfter w:val="1"/>
          <w:wAfter w:w="703" w:type="dxa"/>
          <w:trHeight w:val="280" w:hRule="atLeast"/>
        </w:trPr>
        <w:tc>
          <w:tcPr>
            <w:tcW w:w="25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专项（项目）名称</w:t>
            </w:r>
          </w:p>
        </w:tc>
        <w:tc>
          <w:tcPr>
            <w:tcW w:w="6362"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业务费</w:t>
            </w:r>
          </w:p>
        </w:tc>
      </w:tr>
      <w:tr>
        <w:tblPrEx>
          <w:tblCellMar>
            <w:top w:w="0" w:type="dxa"/>
            <w:left w:w="108" w:type="dxa"/>
            <w:bottom w:w="0" w:type="dxa"/>
            <w:right w:w="108" w:type="dxa"/>
          </w:tblCellMar>
        </w:tblPrEx>
        <w:trPr>
          <w:gridAfter w:val="1"/>
          <w:wAfter w:w="703" w:type="dxa"/>
          <w:trHeight w:val="280" w:hRule="atLeast"/>
        </w:trPr>
        <w:tc>
          <w:tcPr>
            <w:tcW w:w="25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区级主管部门</w:t>
            </w:r>
          </w:p>
        </w:tc>
        <w:tc>
          <w:tcPr>
            <w:tcW w:w="283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4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西安市阎良区人民政府办公室</w:t>
            </w:r>
          </w:p>
        </w:tc>
      </w:tr>
      <w:tr>
        <w:tblPrEx>
          <w:tblCellMar>
            <w:top w:w="0" w:type="dxa"/>
            <w:left w:w="108" w:type="dxa"/>
            <w:bottom w:w="0" w:type="dxa"/>
            <w:right w:w="108" w:type="dxa"/>
          </w:tblCellMar>
        </w:tblPrEx>
        <w:trPr>
          <w:gridAfter w:val="1"/>
          <w:wAfter w:w="703" w:type="dxa"/>
          <w:trHeight w:val="310" w:hRule="atLeast"/>
        </w:trPr>
        <w:tc>
          <w:tcPr>
            <w:tcW w:w="259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1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10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全年预算数（A）</w:t>
            </w:r>
          </w:p>
        </w:tc>
        <w:tc>
          <w:tcPr>
            <w:tcW w:w="205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全年执行数（B）</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执行率（B/A)</w:t>
            </w:r>
          </w:p>
        </w:tc>
      </w:tr>
      <w:tr>
        <w:tblPrEx>
          <w:tblCellMar>
            <w:top w:w="0" w:type="dxa"/>
            <w:left w:w="108" w:type="dxa"/>
            <w:bottom w:w="0" w:type="dxa"/>
            <w:right w:w="108" w:type="dxa"/>
          </w:tblCellMar>
        </w:tblPrEx>
        <w:trPr>
          <w:gridAfter w:val="1"/>
          <w:wAfter w:w="703" w:type="dxa"/>
          <w:trHeight w:val="310" w:hRule="atLeast"/>
        </w:trPr>
        <w:tc>
          <w:tcPr>
            <w:tcW w:w="259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年度资金总额：</w:t>
            </w:r>
          </w:p>
        </w:tc>
        <w:tc>
          <w:tcPr>
            <w:tcW w:w="10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94</w:t>
            </w:r>
          </w:p>
        </w:tc>
        <w:tc>
          <w:tcPr>
            <w:tcW w:w="20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94</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r>
      <w:tr>
        <w:tblPrEx>
          <w:tblCellMar>
            <w:top w:w="0" w:type="dxa"/>
            <w:left w:w="108" w:type="dxa"/>
            <w:bottom w:w="0" w:type="dxa"/>
            <w:right w:w="108" w:type="dxa"/>
          </w:tblCellMar>
        </w:tblPrEx>
        <w:trPr>
          <w:gridAfter w:val="1"/>
          <w:wAfter w:w="703" w:type="dxa"/>
          <w:trHeight w:val="310" w:hRule="atLeast"/>
        </w:trPr>
        <w:tc>
          <w:tcPr>
            <w:tcW w:w="259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其中：市级财政资金</w:t>
            </w:r>
          </w:p>
        </w:tc>
        <w:tc>
          <w:tcPr>
            <w:tcW w:w="10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205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gridAfter w:val="1"/>
          <w:wAfter w:w="703" w:type="dxa"/>
          <w:trHeight w:val="310" w:hRule="atLeast"/>
        </w:trPr>
        <w:tc>
          <w:tcPr>
            <w:tcW w:w="259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区县财政资金</w:t>
            </w:r>
          </w:p>
        </w:tc>
        <w:tc>
          <w:tcPr>
            <w:tcW w:w="10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94</w:t>
            </w:r>
          </w:p>
        </w:tc>
        <w:tc>
          <w:tcPr>
            <w:tcW w:w="20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94</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r>
      <w:tr>
        <w:tblPrEx>
          <w:tblCellMar>
            <w:top w:w="0" w:type="dxa"/>
            <w:left w:w="108" w:type="dxa"/>
            <w:bottom w:w="0" w:type="dxa"/>
            <w:right w:w="108" w:type="dxa"/>
          </w:tblCellMar>
        </w:tblPrEx>
        <w:trPr>
          <w:gridAfter w:val="1"/>
          <w:wAfter w:w="703" w:type="dxa"/>
          <w:trHeight w:val="310" w:hRule="atLeast"/>
        </w:trPr>
        <w:tc>
          <w:tcPr>
            <w:tcW w:w="259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r>
              <w:rPr>
                <w:rFonts w:hint="eastAsia" w:ascii="宋体" w:hAnsi="宋体" w:eastAsia="宋体" w:cs="宋体"/>
                <w:color w:val="000000"/>
                <w:kern w:val="0"/>
                <w:sz w:val="20"/>
              </w:rPr>
              <w:t xml:space="preserve">  其他资金</w:t>
            </w:r>
          </w:p>
        </w:tc>
        <w:tc>
          <w:tcPr>
            <w:tcW w:w="101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2051"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4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gridAfter w:val="1"/>
          <w:wAfter w:w="703" w:type="dxa"/>
          <w:trHeight w:val="280" w:hRule="atLeast"/>
        </w:trPr>
        <w:tc>
          <w:tcPr>
            <w:tcW w:w="89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年度总体目标</w:t>
            </w:r>
          </w:p>
        </w:tc>
        <w:tc>
          <w:tcPr>
            <w:tcW w:w="4542"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年初设定目标</w:t>
            </w:r>
          </w:p>
        </w:tc>
        <w:tc>
          <w:tcPr>
            <w:tcW w:w="3524"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全年实际完成情况</w:t>
            </w:r>
          </w:p>
        </w:tc>
      </w:tr>
      <w:tr>
        <w:tblPrEx>
          <w:tblCellMar>
            <w:top w:w="0" w:type="dxa"/>
            <w:left w:w="108" w:type="dxa"/>
            <w:bottom w:w="0" w:type="dxa"/>
            <w:right w:w="108" w:type="dxa"/>
          </w:tblCellMar>
        </w:tblPrEx>
        <w:trPr>
          <w:gridAfter w:val="1"/>
          <w:wAfter w:w="703" w:type="dxa"/>
          <w:trHeight w:val="1000" w:hRule="atLeast"/>
        </w:trPr>
        <w:tc>
          <w:tcPr>
            <w:tcW w:w="89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454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本年度预计花费94万元用于负责落实上级部门营商环境政策和措施级对政策落实，同时做好宣传培训、临时工工资等</w:t>
            </w:r>
          </w:p>
        </w:tc>
        <w:tc>
          <w:tcPr>
            <w:tcW w:w="35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本年度花费94万元用于负责落实上级部门营商环境政策和措施级对政策落实，同时做好宣传培训、临时工工资等</w:t>
            </w:r>
          </w:p>
        </w:tc>
      </w:tr>
      <w:tr>
        <w:tblPrEx>
          <w:tblCellMar>
            <w:top w:w="0" w:type="dxa"/>
            <w:left w:w="108" w:type="dxa"/>
            <w:bottom w:w="0" w:type="dxa"/>
            <w:right w:w="108" w:type="dxa"/>
          </w:tblCellMar>
        </w:tblPrEx>
        <w:trPr>
          <w:gridAfter w:val="1"/>
          <w:wAfter w:w="703" w:type="dxa"/>
          <w:trHeight w:val="520" w:hRule="atLeast"/>
        </w:trPr>
        <w:tc>
          <w:tcPr>
            <w:tcW w:w="891"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6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283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年度指标值</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全年完成值</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未完成原因和改进措施</w:t>
            </w:r>
          </w:p>
        </w:tc>
      </w:tr>
      <w:tr>
        <w:tblPrEx>
          <w:tblCellMar>
            <w:top w:w="0" w:type="dxa"/>
            <w:left w:w="108" w:type="dxa"/>
            <w:bottom w:w="0" w:type="dxa"/>
            <w:right w:w="108" w:type="dxa"/>
          </w:tblCellMar>
        </w:tblPrEx>
        <w:trPr>
          <w:gridAfter w:val="1"/>
          <w:wAfter w:w="703" w:type="dxa"/>
          <w:trHeight w:val="520" w:hRule="atLeast"/>
        </w:trPr>
        <w:tc>
          <w:tcPr>
            <w:tcW w:w="8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65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产</w:t>
            </w:r>
            <w:r>
              <w:rPr>
                <w:rFonts w:hint="eastAsia" w:ascii="宋体" w:hAnsi="宋体" w:eastAsia="宋体" w:cs="宋体"/>
                <w:kern w:val="0"/>
                <w:sz w:val="20"/>
              </w:rPr>
              <w:br w:type="textWrapping"/>
            </w:r>
            <w:r>
              <w:rPr>
                <w:rFonts w:hint="eastAsia" w:ascii="宋体" w:hAnsi="宋体" w:eastAsia="宋体" w:cs="宋体"/>
                <w:kern w:val="0"/>
                <w:sz w:val="20"/>
              </w:rPr>
              <w:t>出</w:t>
            </w:r>
            <w:r>
              <w:rPr>
                <w:rFonts w:hint="eastAsia" w:ascii="宋体" w:hAnsi="宋体" w:eastAsia="宋体" w:cs="宋体"/>
                <w:kern w:val="0"/>
                <w:sz w:val="20"/>
              </w:rPr>
              <w:br w:type="textWrapping"/>
            </w:r>
            <w:r>
              <w:rPr>
                <w:rFonts w:hint="eastAsia" w:ascii="宋体" w:hAnsi="宋体" w:eastAsia="宋体" w:cs="宋体"/>
                <w:kern w:val="0"/>
                <w:sz w:val="20"/>
              </w:rPr>
              <w:t>指</w:t>
            </w:r>
            <w:r>
              <w:rPr>
                <w:rFonts w:hint="eastAsia" w:ascii="宋体" w:hAnsi="宋体" w:eastAsia="宋体" w:cs="宋体"/>
                <w:kern w:val="0"/>
                <w:sz w:val="20"/>
              </w:rPr>
              <w:br w:type="textWrapping"/>
            </w:r>
            <w:r>
              <w:rPr>
                <w:rFonts w:hint="eastAsia" w:ascii="宋体" w:hAnsi="宋体" w:eastAsia="宋体" w:cs="宋体"/>
                <w:kern w:val="0"/>
                <w:sz w:val="20"/>
              </w:rPr>
              <w:t>标</w:t>
            </w:r>
          </w:p>
        </w:tc>
        <w:tc>
          <w:tcPr>
            <w:tcW w:w="10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质量指标</w:t>
            </w:r>
          </w:p>
        </w:tc>
        <w:tc>
          <w:tcPr>
            <w:tcW w:w="2838"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0"/>
              </w:rPr>
            </w:pPr>
            <w:r>
              <w:rPr>
                <w:rFonts w:hint="eastAsia" w:ascii="宋体" w:hAnsi="宋体" w:eastAsia="宋体" w:cs="宋体"/>
                <w:kern w:val="0"/>
                <w:sz w:val="20"/>
              </w:rPr>
              <w:t xml:space="preserve"> 指标1：付款标准</w:t>
            </w:r>
          </w:p>
        </w:tc>
        <w:tc>
          <w:tcPr>
            <w:tcW w:w="1053"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按实际花费支付</w:t>
            </w:r>
          </w:p>
        </w:tc>
        <w:tc>
          <w:tcPr>
            <w:tcW w:w="99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4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gridAfter w:val="1"/>
          <w:wAfter w:w="703" w:type="dxa"/>
          <w:trHeight w:val="280" w:hRule="atLeast"/>
        </w:trPr>
        <w:tc>
          <w:tcPr>
            <w:tcW w:w="8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65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83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rPr>
            </w:pPr>
          </w:p>
        </w:tc>
        <w:tc>
          <w:tcPr>
            <w:tcW w:w="105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99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14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gridAfter w:val="1"/>
          <w:wAfter w:w="703" w:type="dxa"/>
          <w:trHeight w:val="280" w:hRule="atLeast"/>
        </w:trPr>
        <w:tc>
          <w:tcPr>
            <w:tcW w:w="8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65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时效指标</w:t>
            </w:r>
          </w:p>
        </w:tc>
        <w:tc>
          <w:tcPr>
            <w:tcW w:w="283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rPr>
            </w:pPr>
            <w:r>
              <w:rPr>
                <w:rFonts w:hint="eastAsia" w:ascii="宋体" w:hAnsi="宋体" w:eastAsia="宋体" w:cs="宋体"/>
                <w:kern w:val="0"/>
                <w:sz w:val="20"/>
              </w:rPr>
              <w:t xml:space="preserve"> 指标1：付款时间</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2020年度</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4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gridAfter w:val="1"/>
          <w:wAfter w:w="703" w:type="dxa"/>
          <w:trHeight w:val="280" w:hRule="atLeast"/>
        </w:trPr>
        <w:tc>
          <w:tcPr>
            <w:tcW w:w="8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65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1046"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成本指标</w:t>
            </w:r>
          </w:p>
        </w:tc>
        <w:tc>
          <w:tcPr>
            <w:tcW w:w="2838"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rPr>
            </w:pPr>
            <w:r>
              <w:rPr>
                <w:rFonts w:hint="eastAsia" w:ascii="宋体" w:hAnsi="宋体" w:eastAsia="宋体" w:cs="宋体"/>
                <w:kern w:val="0"/>
                <w:sz w:val="20"/>
              </w:rPr>
              <w:t xml:space="preserve"> 指标1：总成本</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94万元</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4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gridAfter w:val="1"/>
          <w:wAfter w:w="703" w:type="dxa"/>
          <w:trHeight w:val="280" w:hRule="atLeast"/>
        </w:trPr>
        <w:tc>
          <w:tcPr>
            <w:tcW w:w="8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65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效</w:t>
            </w:r>
            <w:r>
              <w:rPr>
                <w:rFonts w:hint="eastAsia" w:ascii="宋体" w:hAnsi="宋体" w:eastAsia="宋体" w:cs="宋体"/>
                <w:kern w:val="0"/>
                <w:sz w:val="20"/>
              </w:rPr>
              <w:br w:type="textWrapping"/>
            </w:r>
            <w:r>
              <w:rPr>
                <w:rFonts w:hint="eastAsia" w:ascii="宋体" w:hAnsi="宋体" w:eastAsia="宋体" w:cs="宋体"/>
                <w:kern w:val="0"/>
                <w:sz w:val="20"/>
              </w:rPr>
              <w:t>益</w:t>
            </w:r>
            <w:r>
              <w:rPr>
                <w:rFonts w:hint="eastAsia" w:ascii="宋体" w:hAnsi="宋体" w:eastAsia="宋体" w:cs="宋体"/>
                <w:kern w:val="0"/>
                <w:sz w:val="20"/>
              </w:rPr>
              <w:br w:type="textWrapping"/>
            </w:r>
            <w:r>
              <w:rPr>
                <w:rFonts w:hint="eastAsia" w:ascii="宋体" w:hAnsi="宋体" w:eastAsia="宋体" w:cs="宋体"/>
                <w:kern w:val="0"/>
                <w:sz w:val="20"/>
              </w:rPr>
              <w:t>指</w:t>
            </w:r>
            <w:r>
              <w:rPr>
                <w:rFonts w:hint="eastAsia" w:ascii="宋体" w:hAnsi="宋体" w:eastAsia="宋体" w:cs="宋体"/>
                <w:kern w:val="0"/>
                <w:sz w:val="20"/>
              </w:rPr>
              <w:br w:type="textWrapping"/>
            </w:r>
            <w:r>
              <w:rPr>
                <w:rFonts w:hint="eastAsia" w:ascii="宋体" w:hAnsi="宋体" w:eastAsia="宋体" w:cs="宋体"/>
                <w:kern w:val="0"/>
                <w:sz w:val="20"/>
              </w:rPr>
              <w:t>标</w:t>
            </w:r>
          </w:p>
        </w:tc>
        <w:tc>
          <w:tcPr>
            <w:tcW w:w="10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社会效益</w:t>
            </w:r>
            <w:r>
              <w:rPr>
                <w:rFonts w:hint="eastAsia" w:ascii="宋体" w:hAnsi="宋体" w:eastAsia="宋体" w:cs="宋体"/>
                <w:kern w:val="0"/>
                <w:sz w:val="20"/>
              </w:rPr>
              <w:br w:type="textWrapping"/>
            </w:r>
            <w:r>
              <w:rPr>
                <w:rFonts w:hint="eastAsia" w:ascii="宋体" w:hAnsi="宋体" w:eastAsia="宋体" w:cs="宋体"/>
                <w:kern w:val="0"/>
                <w:sz w:val="20"/>
              </w:rPr>
              <w:t>指标</w:t>
            </w:r>
          </w:p>
        </w:tc>
        <w:tc>
          <w:tcPr>
            <w:tcW w:w="2838"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指标1：维持社会治安，保障区区域稳定</w:t>
            </w:r>
          </w:p>
        </w:tc>
        <w:tc>
          <w:tcPr>
            <w:tcW w:w="105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≥98</w:t>
            </w:r>
          </w:p>
        </w:tc>
        <w:tc>
          <w:tcPr>
            <w:tcW w:w="99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4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gridAfter w:val="1"/>
          <w:wAfter w:w="703" w:type="dxa"/>
          <w:trHeight w:val="280" w:hRule="atLeast"/>
        </w:trPr>
        <w:tc>
          <w:tcPr>
            <w:tcW w:w="8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65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10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83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rPr>
            </w:pPr>
          </w:p>
        </w:tc>
        <w:tc>
          <w:tcPr>
            <w:tcW w:w="105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9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14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gridAfter w:val="1"/>
          <w:wAfter w:w="703" w:type="dxa"/>
          <w:trHeight w:val="520" w:hRule="atLeast"/>
        </w:trPr>
        <w:tc>
          <w:tcPr>
            <w:tcW w:w="8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658"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104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可持续影响指标</w:t>
            </w:r>
          </w:p>
        </w:tc>
        <w:tc>
          <w:tcPr>
            <w:tcW w:w="2838"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 xml:space="preserve"> 指标1：执行年度</w:t>
            </w:r>
          </w:p>
        </w:tc>
        <w:tc>
          <w:tcPr>
            <w:tcW w:w="105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长期</w:t>
            </w:r>
          </w:p>
        </w:tc>
        <w:tc>
          <w:tcPr>
            <w:tcW w:w="99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4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gridAfter w:val="1"/>
          <w:wAfter w:w="703" w:type="dxa"/>
          <w:trHeight w:val="280" w:hRule="atLeast"/>
        </w:trPr>
        <w:tc>
          <w:tcPr>
            <w:tcW w:w="8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65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满意度指标</w:t>
            </w:r>
          </w:p>
        </w:tc>
        <w:tc>
          <w:tcPr>
            <w:tcW w:w="10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服务对象</w:t>
            </w:r>
            <w:r>
              <w:rPr>
                <w:rFonts w:hint="eastAsia" w:ascii="宋体" w:hAnsi="宋体" w:eastAsia="宋体" w:cs="宋体"/>
                <w:kern w:val="0"/>
                <w:sz w:val="20"/>
              </w:rPr>
              <w:br w:type="textWrapping"/>
            </w:r>
            <w:r>
              <w:rPr>
                <w:rFonts w:hint="eastAsia" w:ascii="宋体" w:hAnsi="宋体" w:eastAsia="宋体" w:cs="宋体"/>
                <w:kern w:val="0"/>
                <w:sz w:val="20"/>
              </w:rPr>
              <w:t>满意度指标</w:t>
            </w:r>
          </w:p>
        </w:tc>
        <w:tc>
          <w:tcPr>
            <w:tcW w:w="2838"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 xml:space="preserve"> 指标1：全大院机关满意度</w:t>
            </w:r>
          </w:p>
        </w:tc>
        <w:tc>
          <w:tcPr>
            <w:tcW w:w="105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≥98%</w:t>
            </w:r>
          </w:p>
        </w:tc>
        <w:tc>
          <w:tcPr>
            <w:tcW w:w="99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4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gridAfter w:val="1"/>
          <w:wAfter w:w="703" w:type="dxa"/>
          <w:trHeight w:val="280" w:hRule="atLeast"/>
        </w:trPr>
        <w:tc>
          <w:tcPr>
            <w:tcW w:w="89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658"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104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83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rPr>
            </w:pPr>
          </w:p>
        </w:tc>
        <w:tc>
          <w:tcPr>
            <w:tcW w:w="105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99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147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gridAfter w:val="1"/>
          <w:wAfter w:w="703" w:type="dxa"/>
          <w:trHeight w:val="280" w:hRule="atLeast"/>
        </w:trPr>
        <w:tc>
          <w:tcPr>
            <w:tcW w:w="89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说明</w:t>
            </w:r>
          </w:p>
        </w:tc>
        <w:tc>
          <w:tcPr>
            <w:tcW w:w="8066"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无</w:t>
            </w:r>
          </w:p>
        </w:tc>
      </w:tr>
      <w:tr>
        <w:tblPrEx>
          <w:tblCellMar>
            <w:top w:w="0" w:type="dxa"/>
            <w:left w:w="108" w:type="dxa"/>
            <w:bottom w:w="0" w:type="dxa"/>
            <w:right w:w="108" w:type="dxa"/>
          </w:tblCellMar>
        </w:tblPrEx>
        <w:trPr>
          <w:gridAfter w:val="1"/>
          <w:wAfter w:w="703" w:type="dxa"/>
          <w:trHeight w:val="720" w:hRule="atLeast"/>
        </w:trPr>
        <w:tc>
          <w:tcPr>
            <w:tcW w:w="8957" w:type="dxa"/>
            <w:gridSpan w:val="8"/>
            <w:tcBorders>
              <w:top w:val="single" w:color="auto" w:sz="4" w:space="0"/>
              <w:left w:val="nil"/>
              <w:bottom w:val="nil"/>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注：1.其他资金包括和财政资金共同投入到同一项目的自有资金、社会资金，以及以前年度的结转结余资金等。</w:t>
            </w:r>
          </w:p>
        </w:tc>
      </w:tr>
      <w:tr>
        <w:tblPrEx>
          <w:tblCellMar>
            <w:top w:w="0" w:type="dxa"/>
            <w:left w:w="108" w:type="dxa"/>
            <w:bottom w:w="0" w:type="dxa"/>
            <w:right w:w="108" w:type="dxa"/>
          </w:tblCellMar>
        </w:tblPrEx>
        <w:trPr>
          <w:gridAfter w:val="1"/>
          <w:wAfter w:w="703" w:type="dxa"/>
          <w:trHeight w:val="720" w:hRule="atLeast"/>
        </w:trPr>
        <w:tc>
          <w:tcPr>
            <w:tcW w:w="8957" w:type="dxa"/>
            <w:gridSpan w:val="8"/>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2.定量指标，资金使用单位填写本地区实际完成数。财政和主管部门汇总时，对绝对值直接累加计算，相对值按照资金额度加权平均计算。</w:t>
            </w:r>
          </w:p>
        </w:tc>
      </w:tr>
      <w:tr>
        <w:tblPrEx>
          <w:tblCellMar>
            <w:top w:w="0" w:type="dxa"/>
            <w:left w:w="108" w:type="dxa"/>
            <w:bottom w:w="0" w:type="dxa"/>
            <w:right w:w="108" w:type="dxa"/>
          </w:tblCellMar>
        </w:tblPrEx>
        <w:trPr>
          <w:gridAfter w:val="1"/>
          <w:wAfter w:w="703" w:type="dxa"/>
          <w:trHeight w:val="720" w:hRule="atLeast"/>
        </w:trPr>
        <w:tc>
          <w:tcPr>
            <w:tcW w:w="8957" w:type="dxa"/>
            <w:gridSpan w:val="8"/>
            <w:tcBorders>
              <w:top w:val="nil"/>
              <w:left w:val="nil"/>
              <w:bottom w:val="nil"/>
              <w:right w:val="nil"/>
            </w:tcBorders>
            <w:shd w:val="clear" w:color="auto" w:fill="auto"/>
            <w:vAlign w:val="bottom"/>
          </w:tcPr>
          <w:p>
            <w:pPr>
              <w:widowControl/>
              <w:ind w:firstLine="36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3.定性指标根据指标完成情况分为：全部或基本达成预期指标、部分达成预期指标并具有一定效果、未达成预期指标且效果较差三档，分别按照100%-80%（含）、80%-60%（含）、60-0%合理填写完成比例。</w:t>
            </w:r>
          </w:p>
          <w:tbl>
            <w:tblPr>
              <w:tblStyle w:val="7"/>
              <w:tblW w:w="8360" w:type="dxa"/>
              <w:tblInd w:w="0" w:type="dxa"/>
              <w:tblLayout w:type="autofit"/>
              <w:tblCellMar>
                <w:top w:w="0" w:type="dxa"/>
                <w:left w:w="108" w:type="dxa"/>
                <w:bottom w:w="0" w:type="dxa"/>
                <w:right w:w="108" w:type="dxa"/>
              </w:tblCellMar>
            </w:tblPr>
            <w:tblGrid>
              <w:gridCol w:w="817"/>
              <w:gridCol w:w="744"/>
              <w:gridCol w:w="901"/>
              <w:gridCol w:w="1673"/>
              <w:gridCol w:w="992"/>
              <w:gridCol w:w="1032"/>
              <w:gridCol w:w="979"/>
              <w:gridCol w:w="1438"/>
            </w:tblGrid>
            <w:tr>
              <w:tblPrEx>
                <w:tblCellMar>
                  <w:top w:w="0" w:type="dxa"/>
                  <w:left w:w="108" w:type="dxa"/>
                  <w:bottom w:w="0" w:type="dxa"/>
                  <w:right w:w="108" w:type="dxa"/>
                </w:tblCellMar>
              </w:tblPrEx>
              <w:trPr>
                <w:trHeight w:val="420" w:hRule="atLeast"/>
              </w:trPr>
              <w:tc>
                <w:tcPr>
                  <w:tcW w:w="8360" w:type="dxa"/>
                  <w:gridSpan w:val="8"/>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区级预算（项目）绩效目标自评表</w:t>
                  </w:r>
                  <w:r>
                    <w:rPr>
                      <w:rFonts w:hint="eastAsia" w:ascii="宋体" w:hAnsi="宋体" w:eastAsia="宋体" w:cs="宋体"/>
                      <w:color w:val="000000"/>
                      <w:kern w:val="0"/>
                      <w:szCs w:val="32"/>
                    </w:rPr>
                    <w:t xml:space="preserve"> </w:t>
                  </w:r>
                </w:p>
              </w:tc>
            </w:tr>
            <w:tr>
              <w:tblPrEx>
                <w:tblCellMar>
                  <w:top w:w="0" w:type="dxa"/>
                  <w:left w:w="108" w:type="dxa"/>
                  <w:bottom w:w="0" w:type="dxa"/>
                  <w:right w:w="108" w:type="dxa"/>
                </w:tblCellMar>
              </w:tblPrEx>
              <w:trPr>
                <w:trHeight w:val="280" w:hRule="atLeast"/>
              </w:trPr>
              <w:tc>
                <w:tcPr>
                  <w:tcW w:w="8360" w:type="dxa"/>
                  <w:gridSpan w:val="8"/>
                  <w:tcBorders>
                    <w:top w:val="nil"/>
                    <w:left w:val="nil"/>
                    <w:bottom w:val="single" w:color="auto" w:sz="4" w:space="0"/>
                    <w:right w:val="nil"/>
                  </w:tcBorders>
                  <w:shd w:val="clear" w:color="auto" w:fill="auto"/>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（2020年度）</w:t>
                  </w:r>
                </w:p>
              </w:tc>
            </w:tr>
            <w:tr>
              <w:tblPrEx>
                <w:tblCellMar>
                  <w:top w:w="0" w:type="dxa"/>
                  <w:left w:w="108" w:type="dxa"/>
                  <w:bottom w:w="0" w:type="dxa"/>
                  <w:right w:w="108" w:type="dxa"/>
                </w:tblCellMar>
              </w:tblPrEx>
              <w:trPr>
                <w:trHeight w:val="280" w:hRule="atLeast"/>
              </w:trPr>
              <w:tc>
                <w:tcPr>
                  <w:tcW w:w="2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专项（项目）名称</w:t>
                  </w:r>
                </w:p>
              </w:tc>
              <w:tc>
                <w:tcPr>
                  <w:tcW w:w="596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预备役经费</w:t>
                  </w:r>
                </w:p>
              </w:tc>
            </w:tr>
            <w:tr>
              <w:tblPrEx>
                <w:tblCellMar>
                  <w:top w:w="0" w:type="dxa"/>
                  <w:left w:w="108" w:type="dxa"/>
                  <w:bottom w:w="0" w:type="dxa"/>
                  <w:right w:w="108" w:type="dxa"/>
                </w:tblCellMar>
              </w:tblPrEx>
              <w:trPr>
                <w:trHeight w:val="520" w:hRule="atLeast"/>
              </w:trPr>
              <w:tc>
                <w:tcPr>
                  <w:tcW w:w="2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区级主管部门</w:t>
                  </w:r>
                </w:p>
              </w:tc>
              <w:tc>
                <w:tcPr>
                  <w:tcW w:w="27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西安市阎良区人民政府办公室</w:t>
                  </w:r>
                </w:p>
              </w:tc>
            </w:tr>
            <w:tr>
              <w:tblPrEx>
                <w:tblCellMar>
                  <w:top w:w="0" w:type="dxa"/>
                  <w:left w:w="108" w:type="dxa"/>
                  <w:bottom w:w="0" w:type="dxa"/>
                  <w:right w:w="108" w:type="dxa"/>
                </w:tblCellMar>
              </w:tblPrEx>
              <w:trPr>
                <w:trHeight w:val="310" w:hRule="atLeast"/>
              </w:trPr>
              <w:tc>
                <w:tcPr>
                  <w:tcW w:w="240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1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全年预算数（A）</w:t>
                  </w:r>
                </w:p>
              </w:tc>
              <w:tc>
                <w:tcPr>
                  <w:tcW w:w="18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全年执行数（B）</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执行率（B/A)</w:t>
                  </w:r>
                </w:p>
              </w:tc>
            </w:tr>
            <w:tr>
              <w:tblPrEx>
                <w:tblCellMar>
                  <w:top w:w="0" w:type="dxa"/>
                  <w:left w:w="108" w:type="dxa"/>
                  <w:bottom w:w="0" w:type="dxa"/>
                  <w:right w:w="108" w:type="dxa"/>
                </w:tblCellMar>
              </w:tblPrEx>
              <w:trPr>
                <w:trHeight w:val="310" w:hRule="atLeast"/>
              </w:trPr>
              <w:tc>
                <w:tcPr>
                  <w:tcW w:w="24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年度资金总额：</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60</w:t>
                  </w:r>
                </w:p>
              </w:tc>
              <w:tc>
                <w:tcPr>
                  <w:tcW w:w="18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60</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r>
            <w:tr>
              <w:tblPrEx>
                <w:tblCellMar>
                  <w:top w:w="0" w:type="dxa"/>
                  <w:left w:w="108" w:type="dxa"/>
                  <w:bottom w:w="0" w:type="dxa"/>
                  <w:right w:w="108" w:type="dxa"/>
                </w:tblCellMar>
              </w:tblPrEx>
              <w:trPr>
                <w:trHeight w:val="310" w:hRule="atLeast"/>
              </w:trPr>
              <w:tc>
                <w:tcPr>
                  <w:tcW w:w="24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其中：市级财政资金</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8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310" w:hRule="atLeast"/>
              </w:trPr>
              <w:tc>
                <w:tcPr>
                  <w:tcW w:w="24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区县财政资金</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60</w:t>
                  </w:r>
                </w:p>
              </w:tc>
              <w:tc>
                <w:tcPr>
                  <w:tcW w:w="18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60</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r>
            <w:tr>
              <w:tblPrEx>
                <w:tblCellMar>
                  <w:top w:w="0" w:type="dxa"/>
                  <w:left w:w="108" w:type="dxa"/>
                  <w:bottom w:w="0" w:type="dxa"/>
                  <w:right w:w="108" w:type="dxa"/>
                </w:tblCellMar>
              </w:tblPrEx>
              <w:trPr>
                <w:trHeight w:val="310" w:hRule="atLeast"/>
              </w:trPr>
              <w:tc>
                <w:tcPr>
                  <w:tcW w:w="24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r>
                    <w:rPr>
                      <w:rFonts w:hint="eastAsia" w:ascii="宋体" w:hAnsi="宋体" w:eastAsia="宋体" w:cs="宋体"/>
                      <w:color w:val="000000"/>
                      <w:kern w:val="0"/>
                      <w:sz w:val="20"/>
                    </w:rPr>
                    <w:t xml:space="preserve">  其他资金</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8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年度总体目标</w:t>
                  </w:r>
                </w:p>
              </w:tc>
              <w:tc>
                <w:tcPr>
                  <w:tcW w:w="44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年初设定目标</w:t>
                  </w:r>
                </w:p>
              </w:tc>
              <w:tc>
                <w:tcPr>
                  <w:tcW w:w="32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全年实际完成情况</w:t>
                  </w:r>
                </w:p>
              </w:tc>
            </w:tr>
            <w:tr>
              <w:tblPrEx>
                <w:tblCellMar>
                  <w:top w:w="0" w:type="dxa"/>
                  <w:left w:w="108" w:type="dxa"/>
                  <w:bottom w:w="0" w:type="dxa"/>
                  <w:right w:w="108" w:type="dxa"/>
                </w:tblCellMar>
              </w:tblPrEx>
              <w:trPr>
                <w:trHeight w:val="100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44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军事训练、基础建设、入队训练、专业训练，本年预计花费60万元</w:t>
                  </w:r>
                </w:p>
              </w:tc>
              <w:tc>
                <w:tcPr>
                  <w:tcW w:w="32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军事训练、基础建设、入队训练、专业训练，本年预计花费60万元</w:t>
                  </w:r>
                </w:p>
              </w:tc>
            </w:tr>
            <w:tr>
              <w:tblPrEx>
                <w:tblCellMar>
                  <w:top w:w="0" w:type="dxa"/>
                  <w:left w:w="108" w:type="dxa"/>
                  <w:bottom w:w="0" w:type="dxa"/>
                  <w:right w:w="108" w:type="dxa"/>
                </w:tblCellMar>
              </w:tblPrEx>
              <w:trPr>
                <w:trHeight w:val="520" w:hRule="atLeast"/>
              </w:trPr>
              <w:tc>
                <w:tcPr>
                  <w:tcW w:w="72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27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年度指标值</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全年完成值</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未完成原因和改进措施</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产</w:t>
                  </w:r>
                  <w:r>
                    <w:rPr>
                      <w:rFonts w:hint="eastAsia" w:ascii="宋体" w:hAnsi="宋体" w:eastAsia="宋体" w:cs="宋体"/>
                      <w:kern w:val="0"/>
                      <w:sz w:val="20"/>
                    </w:rPr>
                    <w:br w:type="textWrapping"/>
                  </w:r>
                  <w:r>
                    <w:rPr>
                      <w:rFonts w:hint="eastAsia" w:ascii="宋体" w:hAnsi="宋体" w:eastAsia="宋体" w:cs="宋体"/>
                      <w:kern w:val="0"/>
                      <w:sz w:val="20"/>
                    </w:rPr>
                    <w:t>出</w:t>
                  </w:r>
                  <w:r>
                    <w:rPr>
                      <w:rFonts w:hint="eastAsia" w:ascii="宋体" w:hAnsi="宋体" w:eastAsia="宋体" w:cs="宋体"/>
                      <w:kern w:val="0"/>
                      <w:sz w:val="20"/>
                    </w:rPr>
                    <w:br w:type="textWrapping"/>
                  </w:r>
                  <w:r>
                    <w:rPr>
                      <w:rFonts w:hint="eastAsia" w:ascii="宋体" w:hAnsi="宋体" w:eastAsia="宋体" w:cs="宋体"/>
                      <w:kern w:val="0"/>
                      <w:sz w:val="20"/>
                    </w:rPr>
                    <w:t>指</w:t>
                  </w:r>
                  <w:r>
                    <w:rPr>
                      <w:rFonts w:hint="eastAsia" w:ascii="宋体" w:hAnsi="宋体" w:eastAsia="宋体" w:cs="宋体"/>
                      <w:kern w:val="0"/>
                      <w:sz w:val="20"/>
                    </w:rPr>
                    <w:br w:type="textWrapping"/>
                  </w:r>
                  <w:r>
                    <w:rPr>
                      <w:rFonts w:hint="eastAsia" w:ascii="宋体" w:hAnsi="宋体" w:eastAsia="宋体" w:cs="宋体"/>
                      <w:kern w:val="0"/>
                      <w:sz w:val="20"/>
                    </w:rPr>
                    <w:t>标</w:t>
                  </w:r>
                </w:p>
              </w:tc>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数量指标</w:t>
                  </w:r>
                </w:p>
              </w:tc>
              <w:tc>
                <w:tcPr>
                  <w:tcW w:w="27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rPr>
                  </w:pPr>
                  <w:r>
                    <w:rPr>
                      <w:rFonts w:hint="eastAsia" w:ascii="宋体" w:hAnsi="宋体" w:eastAsia="宋体" w:cs="宋体"/>
                      <w:kern w:val="0"/>
                      <w:sz w:val="20"/>
                    </w:rPr>
                    <w:t xml:space="preserve"> 指标1：服役兵管</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200人</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7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质量指标</w:t>
                  </w:r>
                </w:p>
              </w:tc>
              <w:tc>
                <w:tcPr>
                  <w:tcW w:w="27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rPr>
                  </w:pPr>
                  <w:r>
                    <w:rPr>
                      <w:rFonts w:hint="eastAsia" w:ascii="宋体" w:hAnsi="宋体" w:eastAsia="宋体" w:cs="宋体"/>
                      <w:kern w:val="0"/>
                      <w:sz w:val="20"/>
                    </w:rPr>
                    <w:t xml:space="preserve"> 指标1：出勤率</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7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52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时效指标</w:t>
                  </w:r>
                </w:p>
              </w:tc>
              <w:tc>
                <w:tcPr>
                  <w:tcW w:w="27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rPr>
                  </w:pPr>
                  <w:r>
                    <w:rPr>
                      <w:rFonts w:hint="eastAsia" w:ascii="宋体" w:hAnsi="宋体" w:eastAsia="宋体" w:cs="宋体"/>
                      <w:kern w:val="0"/>
                      <w:sz w:val="20"/>
                    </w:rPr>
                    <w:t xml:space="preserve"> 指标1：出勤时间</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2020年度</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7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60"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成本指标</w:t>
                  </w:r>
                </w:p>
              </w:tc>
              <w:tc>
                <w:tcPr>
                  <w:tcW w:w="27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rPr>
                  </w:pPr>
                  <w:r>
                    <w:rPr>
                      <w:rFonts w:hint="eastAsia" w:ascii="宋体" w:hAnsi="宋体" w:eastAsia="宋体" w:cs="宋体"/>
                      <w:kern w:val="0"/>
                      <w:sz w:val="20"/>
                    </w:rPr>
                    <w:t xml:space="preserve"> 指标1：训练成本</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60万元</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60" w:type="dxa"/>
                  <w:vMerge w:val="continue"/>
                  <w:tcBorders>
                    <w:top w:val="nil"/>
                    <w:left w:val="single" w:color="auto" w:sz="4" w:space="0"/>
                    <w:bottom w:val="nil"/>
                    <w:right w:val="single" w:color="auto" w:sz="4" w:space="0"/>
                  </w:tcBorders>
                  <w:vAlign w:val="center"/>
                </w:tcPr>
                <w:p>
                  <w:pPr>
                    <w:widowControl/>
                    <w:jc w:val="left"/>
                    <w:rPr>
                      <w:rFonts w:ascii="宋体" w:hAnsi="宋体" w:eastAsia="宋体" w:cs="宋体"/>
                      <w:kern w:val="0"/>
                      <w:sz w:val="20"/>
                    </w:rPr>
                  </w:pPr>
                </w:p>
              </w:tc>
              <w:tc>
                <w:tcPr>
                  <w:tcW w:w="27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rPr>
                  </w:pPr>
                  <w:r>
                    <w:rPr>
                      <w:rFonts w:hint="eastAsia" w:ascii="宋体" w:hAnsi="宋体" w:eastAsia="宋体" w:cs="宋体"/>
                      <w:kern w:val="0"/>
                      <w:sz w:val="20"/>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　</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　</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效</w:t>
                  </w:r>
                  <w:r>
                    <w:rPr>
                      <w:rFonts w:hint="eastAsia" w:ascii="宋体" w:hAnsi="宋体" w:eastAsia="宋体" w:cs="宋体"/>
                      <w:kern w:val="0"/>
                      <w:sz w:val="20"/>
                    </w:rPr>
                    <w:br w:type="textWrapping"/>
                  </w:r>
                  <w:r>
                    <w:rPr>
                      <w:rFonts w:hint="eastAsia" w:ascii="宋体" w:hAnsi="宋体" w:eastAsia="宋体" w:cs="宋体"/>
                      <w:kern w:val="0"/>
                      <w:sz w:val="20"/>
                    </w:rPr>
                    <w:t>益</w:t>
                  </w:r>
                  <w:r>
                    <w:rPr>
                      <w:rFonts w:hint="eastAsia" w:ascii="宋体" w:hAnsi="宋体" w:eastAsia="宋体" w:cs="宋体"/>
                      <w:kern w:val="0"/>
                      <w:sz w:val="20"/>
                    </w:rPr>
                    <w:br w:type="textWrapping"/>
                  </w:r>
                  <w:r>
                    <w:rPr>
                      <w:rFonts w:hint="eastAsia" w:ascii="宋体" w:hAnsi="宋体" w:eastAsia="宋体" w:cs="宋体"/>
                      <w:kern w:val="0"/>
                      <w:sz w:val="20"/>
                    </w:rPr>
                    <w:t>指</w:t>
                  </w:r>
                  <w:r>
                    <w:rPr>
                      <w:rFonts w:hint="eastAsia" w:ascii="宋体" w:hAnsi="宋体" w:eastAsia="宋体" w:cs="宋体"/>
                      <w:kern w:val="0"/>
                      <w:sz w:val="20"/>
                    </w:rPr>
                    <w:br w:type="textWrapping"/>
                  </w:r>
                  <w:r>
                    <w:rPr>
                      <w:rFonts w:hint="eastAsia" w:ascii="宋体" w:hAnsi="宋体" w:eastAsia="宋体" w:cs="宋体"/>
                      <w:kern w:val="0"/>
                      <w:sz w:val="20"/>
                    </w:rPr>
                    <w:t>标</w:t>
                  </w:r>
                </w:p>
              </w:tc>
              <w:tc>
                <w:tcPr>
                  <w:tcW w:w="9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经济效益</w:t>
                  </w:r>
                  <w:r>
                    <w:rPr>
                      <w:rFonts w:hint="eastAsia" w:ascii="宋体" w:hAnsi="宋体" w:eastAsia="宋体" w:cs="宋体"/>
                      <w:kern w:val="0"/>
                      <w:sz w:val="20"/>
                    </w:rPr>
                    <w:br w:type="textWrapping"/>
                  </w:r>
                  <w:r>
                    <w:rPr>
                      <w:rFonts w:hint="eastAsia" w:ascii="宋体" w:hAnsi="宋体" w:eastAsia="宋体" w:cs="宋体"/>
                      <w:kern w:val="0"/>
                      <w:sz w:val="20"/>
                    </w:rPr>
                    <w:t>指标</w:t>
                  </w:r>
                </w:p>
              </w:tc>
              <w:tc>
                <w:tcPr>
                  <w:tcW w:w="27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rPr>
                  </w:pPr>
                  <w:r>
                    <w:rPr>
                      <w:rFonts w:hint="eastAsia" w:ascii="宋体" w:hAnsi="宋体" w:eastAsia="宋体" w:cs="宋体"/>
                      <w:kern w:val="0"/>
                      <w:sz w:val="20"/>
                    </w:rPr>
                    <w:t xml:space="preserve"> 指标1：节省电费，水费</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社会效益</w:t>
                  </w:r>
                  <w:r>
                    <w:rPr>
                      <w:rFonts w:hint="eastAsia" w:ascii="宋体" w:hAnsi="宋体" w:eastAsia="宋体" w:cs="宋体"/>
                      <w:kern w:val="0"/>
                      <w:sz w:val="20"/>
                    </w:rPr>
                    <w:br w:type="textWrapping"/>
                  </w:r>
                  <w:r>
                    <w:rPr>
                      <w:rFonts w:hint="eastAsia" w:ascii="宋体" w:hAnsi="宋体" w:eastAsia="宋体" w:cs="宋体"/>
                      <w:kern w:val="0"/>
                      <w:sz w:val="20"/>
                    </w:rPr>
                    <w:t>指标</w:t>
                  </w:r>
                </w:p>
              </w:tc>
              <w:tc>
                <w:tcPr>
                  <w:tcW w:w="274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指标1：维持社会治安，保障区区域稳定</w:t>
                  </w:r>
                </w:p>
              </w:tc>
              <w:tc>
                <w:tcPr>
                  <w:tcW w:w="9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≥98</w:t>
                  </w:r>
                </w:p>
              </w:tc>
              <w:tc>
                <w:tcPr>
                  <w:tcW w:w="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7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rPr>
                  </w:pPr>
                </w:p>
              </w:tc>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52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可持续影响指标</w:t>
                  </w:r>
                </w:p>
              </w:tc>
              <w:tc>
                <w:tcPr>
                  <w:tcW w:w="27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 xml:space="preserve"> 指标1：执行年度</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长期</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满意度指标</w:t>
                  </w:r>
                </w:p>
              </w:tc>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服务对象</w:t>
                  </w:r>
                  <w:r>
                    <w:rPr>
                      <w:rFonts w:hint="eastAsia" w:ascii="宋体" w:hAnsi="宋体" w:eastAsia="宋体" w:cs="宋体"/>
                      <w:kern w:val="0"/>
                      <w:sz w:val="20"/>
                    </w:rPr>
                    <w:br w:type="textWrapping"/>
                  </w:r>
                  <w:r>
                    <w:rPr>
                      <w:rFonts w:hint="eastAsia" w:ascii="宋体" w:hAnsi="宋体" w:eastAsia="宋体" w:cs="宋体"/>
                      <w:kern w:val="0"/>
                      <w:sz w:val="20"/>
                    </w:rPr>
                    <w:t>满意度指标</w:t>
                  </w:r>
                </w:p>
              </w:tc>
              <w:tc>
                <w:tcPr>
                  <w:tcW w:w="274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 xml:space="preserve"> 指标1：训练达标</w:t>
                  </w:r>
                </w:p>
              </w:tc>
              <w:tc>
                <w:tcPr>
                  <w:tcW w:w="9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7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rPr>
                  </w:pPr>
                </w:p>
              </w:tc>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说明</w:t>
                  </w:r>
                </w:p>
              </w:tc>
              <w:tc>
                <w:tcPr>
                  <w:tcW w:w="7640"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无</w:t>
                  </w:r>
                </w:p>
              </w:tc>
            </w:tr>
            <w:tr>
              <w:tblPrEx>
                <w:tblCellMar>
                  <w:top w:w="0" w:type="dxa"/>
                  <w:left w:w="108" w:type="dxa"/>
                  <w:bottom w:w="0" w:type="dxa"/>
                  <w:right w:w="108" w:type="dxa"/>
                </w:tblCellMar>
              </w:tblPrEx>
              <w:trPr>
                <w:trHeight w:val="540" w:hRule="atLeast"/>
              </w:trPr>
              <w:tc>
                <w:tcPr>
                  <w:tcW w:w="8360" w:type="dxa"/>
                  <w:gridSpan w:val="8"/>
                  <w:tcBorders>
                    <w:top w:val="single" w:color="auto" w:sz="4" w:space="0"/>
                    <w:left w:val="nil"/>
                    <w:bottom w:val="nil"/>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注：1.其他资金包括和财政资金共同投入到同一项目的自有资金、社会资金，以及以前年度的结转结余资金等。</w:t>
                  </w:r>
                </w:p>
              </w:tc>
            </w:tr>
            <w:tr>
              <w:tblPrEx>
                <w:tblCellMar>
                  <w:top w:w="0" w:type="dxa"/>
                  <w:left w:w="108" w:type="dxa"/>
                  <w:bottom w:w="0" w:type="dxa"/>
                  <w:right w:w="108" w:type="dxa"/>
                </w:tblCellMar>
              </w:tblPrEx>
              <w:trPr>
                <w:trHeight w:val="540" w:hRule="atLeast"/>
              </w:trPr>
              <w:tc>
                <w:tcPr>
                  <w:tcW w:w="8360" w:type="dxa"/>
                  <w:gridSpan w:val="8"/>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2.定量指标，资金使用单位填写本地区实际完成数。财政和主管部门汇总时，对绝对值直接累加计算，相对值按照资金额度加权平均计算。</w:t>
                  </w:r>
                </w:p>
              </w:tc>
            </w:tr>
            <w:tr>
              <w:tblPrEx>
                <w:tblCellMar>
                  <w:top w:w="0" w:type="dxa"/>
                  <w:left w:w="108" w:type="dxa"/>
                  <w:bottom w:w="0" w:type="dxa"/>
                  <w:right w:w="108" w:type="dxa"/>
                </w:tblCellMar>
              </w:tblPrEx>
              <w:trPr>
                <w:trHeight w:val="630" w:hRule="atLeast"/>
              </w:trPr>
              <w:tc>
                <w:tcPr>
                  <w:tcW w:w="8360" w:type="dxa"/>
                  <w:gridSpan w:val="8"/>
                  <w:tcBorders>
                    <w:top w:val="nil"/>
                    <w:left w:val="nil"/>
                    <w:bottom w:val="nil"/>
                    <w:right w:val="nil"/>
                  </w:tcBorders>
                  <w:shd w:val="clear" w:color="auto" w:fill="auto"/>
                  <w:vAlign w:val="bottom"/>
                </w:tcPr>
                <w:p>
                  <w:pPr>
                    <w:widowControl/>
                    <w:ind w:firstLine="360"/>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3.定性指标根据指标完成情况分为：全部或基本达成预期指标、部分达成预期指标并具有一定效果、未达成预期指标且效果较差三档，分别按照100%-80%（含）、80%-60%（含）、60-0%合理填写完成比例。</w:t>
                  </w:r>
                </w:p>
                <w:tbl>
                  <w:tblPr>
                    <w:tblStyle w:val="7"/>
                    <w:tblW w:w="8360" w:type="dxa"/>
                    <w:tblInd w:w="0" w:type="dxa"/>
                    <w:tblLayout w:type="autofit"/>
                    <w:tblCellMar>
                      <w:top w:w="0" w:type="dxa"/>
                      <w:left w:w="108" w:type="dxa"/>
                      <w:bottom w:w="0" w:type="dxa"/>
                      <w:right w:w="108" w:type="dxa"/>
                    </w:tblCellMar>
                  </w:tblPr>
                  <w:tblGrid>
                    <w:gridCol w:w="720"/>
                    <w:gridCol w:w="720"/>
                    <w:gridCol w:w="960"/>
                    <w:gridCol w:w="1940"/>
                    <w:gridCol w:w="800"/>
                    <w:gridCol w:w="960"/>
                    <w:gridCol w:w="880"/>
                    <w:gridCol w:w="1380"/>
                  </w:tblGrid>
                  <w:tr>
                    <w:tblPrEx>
                      <w:tblCellMar>
                        <w:top w:w="0" w:type="dxa"/>
                        <w:left w:w="108" w:type="dxa"/>
                        <w:bottom w:w="0" w:type="dxa"/>
                        <w:right w:w="108" w:type="dxa"/>
                      </w:tblCellMar>
                    </w:tblPrEx>
                    <w:trPr>
                      <w:trHeight w:val="420" w:hRule="atLeast"/>
                    </w:trPr>
                    <w:tc>
                      <w:tcPr>
                        <w:tcW w:w="8360" w:type="dxa"/>
                        <w:gridSpan w:val="8"/>
                        <w:tcBorders>
                          <w:top w:val="nil"/>
                          <w:left w:val="nil"/>
                          <w:bottom w:val="nil"/>
                          <w:right w:val="nil"/>
                        </w:tcBorders>
                        <w:shd w:val="clear" w:color="auto" w:fill="auto"/>
                        <w:vAlign w:val="center"/>
                      </w:tcPr>
                      <w:p>
                        <w:pPr>
                          <w:widowControl/>
                          <w:jc w:val="center"/>
                          <w:rPr>
                            <w:rFonts w:ascii="宋体" w:hAnsi="宋体" w:eastAsia="宋体" w:cs="宋体"/>
                            <w:b/>
                            <w:bCs/>
                            <w:color w:val="000000"/>
                            <w:kern w:val="0"/>
                            <w:szCs w:val="32"/>
                          </w:rPr>
                        </w:pPr>
                        <w:r>
                          <w:rPr>
                            <w:rFonts w:hint="eastAsia" w:ascii="宋体" w:hAnsi="宋体" w:eastAsia="宋体" w:cs="宋体"/>
                            <w:b/>
                            <w:bCs/>
                            <w:color w:val="000000"/>
                            <w:kern w:val="0"/>
                            <w:szCs w:val="32"/>
                          </w:rPr>
                          <w:t>区级预算（项目）绩效目标自评表</w:t>
                        </w:r>
                        <w:r>
                          <w:rPr>
                            <w:rFonts w:hint="eastAsia" w:ascii="宋体" w:hAnsi="宋体" w:eastAsia="宋体" w:cs="宋体"/>
                            <w:color w:val="000000"/>
                            <w:kern w:val="0"/>
                            <w:szCs w:val="32"/>
                          </w:rPr>
                          <w:t xml:space="preserve"> </w:t>
                        </w:r>
                      </w:p>
                    </w:tc>
                  </w:tr>
                  <w:tr>
                    <w:tblPrEx>
                      <w:tblCellMar>
                        <w:top w:w="0" w:type="dxa"/>
                        <w:left w:w="108" w:type="dxa"/>
                        <w:bottom w:w="0" w:type="dxa"/>
                        <w:right w:w="108" w:type="dxa"/>
                      </w:tblCellMar>
                    </w:tblPrEx>
                    <w:trPr>
                      <w:trHeight w:val="280" w:hRule="atLeast"/>
                    </w:trPr>
                    <w:tc>
                      <w:tcPr>
                        <w:tcW w:w="8360" w:type="dxa"/>
                        <w:gridSpan w:val="8"/>
                        <w:tcBorders>
                          <w:top w:val="nil"/>
                          <w:left w:val="nil"/>
                          <w:bottom w:val="single" w:color="auto" w:sz="4" w:space="0"/>
                          <w:right w:val="nil"/>
                        </w:tcBorders>
                        <w:shd w:val="clear" w:color="auto" w:fill="auto"/>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（2020年度）</w:t>
                        </w:r>
                      </w:p>
                    </w:tc>
                  </w:tr>
                  <w:tr>
                    <w:tblPrEx>
                      <w:tblCellMar>
                        <w:top w:w="0" w:type="dxa"/>
                        <w:left w:w="108" w:type="dxa"/>
                        <w:bottom w:w="0" w:type="dxa"/>
                        <w:right w:w="108" w:type="dxa"/>
                      </w:tblCellMar>
                    </w:tblPrEx>
                    <w:trPr>
                      <w:trHeight w:val="280" w:hRule="atLeast"/>
                    </w:trPr>
                    <w:tc>
                      <w:tcPr>
                        <w:tcW w:w="2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专项（项目）名称</w:t>
                        </w:r>
                      </w:p>
                    </w:tc>
                    <w:tc>
                      <w:tcPr>
                        <w:tcW w:w="596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政务公开</w:t>
                        </w:r>
                      </w:p>
                    </w:tc>
                  </w:tr>
                  <w:tr>
                    <w:tblPrEx>
                      <w:tblCellMar>
                        <w:top w:w="0" w:type="dxa"/>
                        <w:left w:w="108" w:type="dxa"/>
                        <w:bottom w:w="0" w:type="dxa"/>
                        <w:right w:w="108" w:type="dxa"/>
                      </w:tblCellMar>
                    </w:tblPrEx>
                    <w:trPr>
                      <w:trHeight w:val="280" w:hRule="atLeast"/>
                    </w:trPr>
                    <w:tc>
                      <w:tcPr>
                        <w:tcW w:w="24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区级主管部门</w:t>
                        </w:r>
                      </w:p>
                    </w:tc>
                    <w:tc>
                      <w:tcPr>
                        <w:tcW w:w="27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实施单位</w:t>
                        </w:r>
                      </w:p>
                    </w:tc>
                    <w:tc>
                      <w:tcPr>
                        <w:tcW w:w="22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西安市阎良区人民政府办公室</w:t>
                        </w:r>
                      </w:p>
                    </w:tc>
                  </w:tr>
                  <w:tr>
                    <w:tblPrEx>
                      <w:tblCellMar>
                        <w:top w:w="0" w:type="dxa"/>
                        <w:left w:w="108" w:type="dxa"/>
                        <w:bottom w:w="0" w:type="dxa"/>
                        <w:right w:w="108" w:type="dxa"/>
                      </w:tblCellMar>
                    </w:tblPrEx>
                    <w:trPr>
                      <w:trHeight w:val="310" w:hRule="atLeast"/>
                    </w:trPr>
                    <w:tc>
                      <w:tcPr>
                        <w:tcW w:w="240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项目资金（万元）</w:t>
                        </w:r>
                      </w:p>
                    </w:tc>
                    <w:tc>
                      <w:tcPr>
                        <w:tcW w:w="1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全年预算数（A）</w:t>
                        </w:r>
                      </w:p>
                    </w:tc>
                    <w:tc>
                      <w:tcPr>
                        <w:tcW w:w="18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全年执行数（B）</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执行率（B/A)</w:t>
                        </w:r>
                      </w:p>
                    </w:tc>
                  </w:tr>
                  <w:tr>
                    <w:tblPrEx>
                      <w:tblCellMar>
                        <w:top w:w="0" w:type="dxa"/>
                        <w:left w:w="108" w:type="dxa"/>
                        <w:bottom w:w="0" w:type="dxa"/>
                        <w:right w:w="108" w:type="dxa"/>
                      </w:tblCellMar>
                    </w:tblPrEx>
                    <w:trPr>
                      <w:trHeight w:val="310" w:hRule="atLeast"/>
                    </w:trPr>
                    <w:tc>
                      <w:tcPr>
                        <w:tcW w:w="24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年度资金总额：</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18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r>
                  <w:tr>
                    <w:tblPrEx>
                      <w:tblCellMar>
                        <w:top w:w="0" w:type="dxa"/>
                        <w:left w:w="108" w:type="dxa"/>
                        <w:bottom w:w="0" w:type="dxa"/>
                        <w:right w:w="108" w:type="dxa"/>
                      </w:tblCellMar>
                    </w:tblPrEx>
                    <w:trPr>
                      <w:trHeight w:val="310" w:hRule="atLeast"/>
                    </w:trPr>
                    <w:tc>
                      <w:tcPr>
                        <w:tcW w:w="24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其中：市级财政资金</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8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310" w:hRule="atLeast"/>
                    </w:trPr>
                    <w:tc>
                      <w:tcPr>
                        <w:tcW w:w="24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xml:space="preserve">       区县财政资金</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18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6</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r>
                  <w:tr>
                    <w:tblPrEx>
                      <w:tblCellMar>
                        <w:top w:w="0" w:type="dxa"/>
                        <w:left w:w="108" w:type="dxa"/>
                        <w:bottom w:w="0" w:type="dxa"/>
                        <w:right w:w="108" w:type="dxa"/>
                      </w:tblCellMar>
                    </w:tblPrEx>
                    <w:trPr>
                      <w:trHeight w:val="310" w:hRule="atLeast"/>
                    </w:trPr>
                    <w:tc>
                      <w:tcPr>
                        <w:tcW w:w="240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194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w:t>
                        </w:r>
                        <w:r>
                          <w:rPr>
                            <w:rFonts w:hint="eastAsia" w:ascii="宋体" w:hAnsi="宋体" w:eastAsia="宋体" w:cs="宋体"/>
                            <w:color w:val="000000"/>
                            <w:kern w:val="0"/>
                            <w:sz w:val="20"/>
                          </w:rPr>
                          <w:t xml:space="preserve">  其他资金</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8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年度总体目标</w:t>
                        </w:r>
                      </w:p>
                    </w:tc>
                    <w:tc>
                      <w:tcPr>
                        <w:tcW w:w="4420"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年初设定目标</w:t>
                        </w:r>
                      </w:p>
                    </w:tc>
                    <w:tc>
                      <w:tcPr>
                        <w:tcW w:w="322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全年实际完成情况</w:t>
                        </w:r>
                      </w:p>
                    </w:tc>
                  </w:tr>
                  <w:tr>
                    <w:tblPrEx>
                      <w:tblCellMar>
                        <w:top w:w="0" w:type="dxa"/>
                        <w:left w:w="108" w:type="dxa"/>
                        <w:bottom w:w="0" w:type="dxa"/>
                        <w:right w:w="108" w:type="dxa"/>
                      </w:tblCellMar>
                    </w:tblPrEx>
                    <w:trPr>
                      <w:trHeight w:val="1000" w:hRule="atLeast"/>
                    </w:trPr>
                    <w:tc>
                      <w:tcPr>
                        <w:tcW w:w="7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442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本年度预计花费6万元用于负责落实上级部门政务公开政策宣传培训、政务新媒体管理等</w:t>
                        </w:r>
                      </w:p>
                    </w:tc>
                    <w:tc>
                      <w:tcPr>
                        <w:tcW w:w="3220"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1"/>
                            <w:szCs w:val="21"/>
                          </w:rPr>
                        </w:pPr>
                        <w:r>
                          <w:rPr>
                            <w:rFonts w:hint="eastAsia" w:ascii="仿宋" w:hAnsi="仿宋" w:eastAsia="仿宋" w:cs="宋体"/>
                            <w:color w:val="000000"/>
                            <w:kern w:val="0"/>
                            <w:sz w:val="21"/>
                            <w:szCs w:val="21"/>
                          </w:rPr>
                          <w:t>本年度花费6万元用于负责落实上级部门政务公开政策宣传培训、政务新媒体管理等</w:t>
                        </w:r>
                      </w:p>
                    </w:tc>
                  </w:tr>
                  <w:tr>
                    <w:tblPrEx>
                      <w:tblCellMar>
                        <w:top w:w="0" w:type="dxa"/>
                        <w:left w:w="108" w:type="dxa"/>
                        <w:bottom w:w="0" w:type="dxa"/>
                        <w:right w:w="108" w:type="dxa"/>
                      </w:tblCellMar>
                    </w:tblPrEx>
                    <w:trPr>
                      <w:trHeight w:val="520" w:hRule="atLeast"/>
                    </w:trPr>
                    <w:tc>
                      <w:tcPr>
                        <w:tcW w:w="720"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绩效指标</w:t>
                        </w:r>
                      </w:p>
                    </w:tc>
                    <w:tc>
                      <w:tcPr>
                        <w:tcW w:w="7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一级</w:t>
                        </w:r>
                        <w:r>
                          <w:rPr>
                            <w:rFonts w:hint="eastAsia" w:ascii="宋体" w:hAnsi="宋体" w:eastAsia="宋体" w:cs="宋体"/>
                            <w:color w:val="000000"/>
                            <w:kern w:val="0"/>
                            <w:sz w:val="20"/>
                          </w:rPr>
                          <w:br w:type="textWrapping"/>
                        </w:r>
                        <w:r>
                          <w:rPr>
                            <w:rFonts w:hint="eastAsia" w:ascii="宋体" w:hAnsi="宋体" w:eastAsia="宋体" w:cs="宋体"/>
                            <w:color w:val="000000"/>
                            <w:kern w:val="0"/>
                            <w:sz w:val="20"/>
                          </w:rPr>
                          <w:t>指标</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二级指标</w:t>
                        </w:r>
                      </w:p>
                    </w:tc>
                    <w:tc>
                      <w:tcPr>
                        <w:tcW w:w="27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三级指标</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年度指标值</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全年完成值</w:t>
                        </w:r>
                      </w:p>
                    </w:tc>
                    <w:tc>
                      <w:tcPr>
                        <w:tcW w:w="13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未完成原因和改进措施</w:t>
                        </w:r>
                      </w:p>
                    </w:tc>
                  </w:tr>
                  <w:tr>
                    <w:tblPrEx>
                      <w:tblCellMar>
                        <w:top w:w="0" w:type="dxa"/>
                        <w:left w:w="108" w:type="dxa"/>
                        <w:bottom w:w="0" w:type="dxa"/>
                        <w:right w:w="108" w:type="dxa"/>
                      </w:tblCellMar>
                    </w:tblPrEx>
                    <w:trPr>
                      <w:trHeight w:val="52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产</w:t>
                        </w:r>
                        <w:r>
                          <w:rPr>
                            <w:rFonts w:hint="eastAsia" w:ascii="宋体" w:hAnsi="宋体" w:eastAsia="宋体" w:cs="宋体"/>
                            <w:kern w:val="0"/>
                            <w:sz w:val="20"/>
                          </w:rPr>
                          <w:br w:type="textWrapping"/>
                        </w:r>
                        <w:r>
                          <w:rPr>
                            <w:rFonts w:hint="eastAsia" w:ascii="宋体" w:hAnsi="宋体" w:eastAsia="宋体" w:cs="宋体"/>
                            <w:kern w:val="0"/>
                            <w:sz w:val="20"/>
                          </w:rPr>
                          <w:t>出</w:t>
                        </w:r>
                        <w:r>
                          <w:rPr>
                            <w:rFonts w:hint="eastAsia" w:ascii="宋体" w:hAnsi="宋体" w:eastAsia="宋体" w:cs="宋体"/>
                            <w:kern w:val="0"/>
                            <w:sz w:val="20"/>
                          </w:rPr>
                          <w:br w:type="textWrapping"/>
                        </w:r>
                        <w:r>
                          <w:rPr>
                            <w:rFonts w:hint="eastAsia" w:ascii="宋体" w:hAnsi="宋体" w:eastAsia="宋体" w:cs="宋体"/>
                            <w:kern w:val="0"/>
                            <w:sz w:val="20"/>
                          </w:rPr>
                          <w:t>指</w:t>
                        </w:r>
                        <w:r>
                          <w:rPr>
                            <w:rFonts w:hint="eastAsia" w:ascii="宋体" w:hAnsi="宋体" w:eastAsia="宋体" w:cs="宋体"/>
                            <w:kern w:val="0"/>
                            <w:sz w:val="20"/>
                          </w:rPr>
                          <w:br w:type="textWrapping"/>
                        </w:r>
                        <w:r>
                          <w:rPr>
                            <w:rFonts w:hint="eastAsia" w:ascii="宋体" w:hAnsi="宋体" w:eastAsia="宋体" w:cs="宋体"/>
                            <w:kern w:val="0"/>
                            <w:sz w:val="20"/>
                          </w:rPr>
                          <w:t>标</w:t>
                        </w:r>
                      </w:p>
                    </w:tc>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质量指标</w:t>
                        </w:r>
                      </w:p>
                    </w:tc>
                    <w:tc>
                      <w:tcPr>
                        <w:tcW w:w="274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left"/>
                          <w:rPr>
                            <w:rFonts w:ascii="宋体" w:hAnsi="宋体" w:eastAsia="宋体" w:cs="宋体"/>
                            <w:kern w:val="0"/>
                            <w:sz w:val="20"/>
                          </w:rPr>
                        </w:pPr>
                        <w:r>
                          <w:rPr>
                            <w:rFonts w:hint="eastAsia" w:ascii="宋体" w:hAnsi="宋体" w:eastAsia="宋体" w:cs="宋体"/>
                            <w:kern w:val="0"/>
                            <w:sz w:val="20"/>
                          </w:rPr>
                          <w:t xml:space="preserve"> 指标1：付款标准</w:t>
                        </w:r>
                      </w:p>
                    </w:tc>
                    <w:tc>
                      <w:tcPr>
                        <w:tcW w:w="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按实际花费支付</w:t>
                        </w:r>
                      </w:p>
                    </w:tc>
                    <w:tc>
                      <w:tcPr>
                        <w:tcW w:w="8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7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rPr>
                        </w:pPr>
                      </w:p>
                    </w:tc>
                    <w:tc>
                      <w:tcPr>
                        <w:tcW w:w="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8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时效指标</w:t>
                        </w:r>
                      </w:p>
                    </w:tc>
                    <w:tc>
                      <w:tcPr>
                        <w:tcW w:w="27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rPr>
                        </w:pPr>
                        <w:r>
                          <w:rPr>
                            <w:rFonts w:hint="eastAsia" w:ascii="宋体" w:hAnsi="宋体" w:eastAsia="宋体" w:cs="宋体"/>
                            <w:kern w:val="0"/>
                            <w:sz w:val="20"/>
                          </w:rPr>
                          <w:t xml:space="preserve"> 指标1：付款时间</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2020年度</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960" w:type="dxa"/>
                        <w:tcBorders>
                          <w:top w:val="nil"/>
                          <w:left w:val="nil"/>
                          <w:bottom w:val="nil"/>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成本指标</w:t>
                        </w:r>
                      </w:p>
                    </w:tc>
                    <w:tc>
                      <w:tcPr>
                        <w:tcW w:w="274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rPr>
                        </w:pPr>
                        <w:r>
                          <w:rPr>
                            <w:rFonts w:hint="eastAsia" w:ascii="宋体" w:hAnsi="宋体" w:eastAsia="宋体" w:cs="宋体"/>
                            <w:kern w:val="0"/>
                            <w:sz w:val="20"/>
                          </w:rPr>
                          <w:t xml:space="preserve"> 指标1：总成本</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6元</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效</w:t>
                        </w:r>
                        <w:r>
                          <w:rPr>
                            <w:rFonts w:hint="eastAsia" w:ascii="宋体" w:hAnsi="宋体" w:eastAsia="宋体" w:cs="宋体"/>
                            <w:kern w:val="0"/>
                            <w:sz w:val="20"/>
                          </w:rPr>
                          <w:br w:type="textWrapping"/>
                        </w:r>
                        <w:r>
                          <w:rPr>
                            <w:rFonts w:hint="eastAsia" w:ascii="宋体" w:hAnsi="宋体" w:eastAsia="宋体" w:cs="宋体"/>
                            <w:kern w:val="0"/>
                            <w:sz w:val="20"/>
                          </w:rPr>
                          <w:t>益</w:t>
                        </w:r>
                        <w:r>
                          <w:rPr>
                            <w:rFonts w:hint="eastAsia" w:ascii="宋体" w:hAnsi="宋体" w:eastAsia="宋体" w:cs="宋体"/>
                            <w:kern w:val="0"/>
                            <w:sz w:val="20"/>
                          </w:rPr>
                          <w:br w:type="textWrapping"/>
                        </w:r>
                        <w:r>
                          <w:rPr>
                            <w:rFonts w:hint="eastAsia" w:ascii="宋体" w:hAnsi="宋体" w:eastAsia="宋体" w:cs="宋体"/>
                            <w:kern w:val="0"/>
                            <w:sz w:val="20"/>
                          </w:rPr>
                          <w:t>指</w:t>
                        </w:r>
                        <w:r>
                          <w:rPr>
                            <w:rFonts w:hint="eastAsia" w:ascii="宋体" w:hAnsi="宋体" w:eastAsia="宋体" w:cs="宋体"/>
                            <w:kern w:val="0"/>
                            <w:sz w:val="20"/>
                          </w:rPr>
                          <w:br w:type="textWrapping"/>
                        </w:r>
                        <w:r>
                          <w:rPr>
                            <w:rFonts w:hint="eastAsia" w:ascii="宋体" w:hAnsi="宋体" w:eastAsia="宋体" w:cs="宋体"/>
                            <w:kern w:val="0"/>
                            <w:sz w:val="20"/>
                          </w:rPr>
                          <w:t>标</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社会效益</w:t>
                        </w:r>
                        <w:r>
                          <w:rPr>
                            <w:rFonts w:hint="eastAsia" w:ascii="宋体" w:hAnsi="宋体" w:eastAsia="宋体" w:cs="宋体"/>
                            <w:kern w:val="0"/>
                            <w:sz w:val="20"/>
                          </w:rPr>
                          <w:br w:type="textWrapping"/>
                        </w:r>
                        <w:r>
                          <w:rPr>
                            <w:rFonts w:hint="eastAsia" w:ascii="宋体" w:hAnsi="宋体" w:eastAsia="宋体" w:cs="宋体"/>
                            <w:kern w:val="0"/>
                            <w:sz w:val="20"/>
                          </w:rPr>
                          <w:t>指标</w:t>
                        </w:r>
                      </w:p>
                    </w:tc>
                    <w:tc>
                      <w:tcPr>
                        <w:tcW w:w="274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 xml:space="preserve"> 指标1：维持社会治安，保障区区域稳定</w:t>
                        </w:r>
                      </w:p>
                    </w:tc>
                    <w:tc>
                      <w:tcPr>
                        <w:tcW w:w="9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≥98</w:t>
                        </w:r>
                      </w:p>
                    </w:tc>
                    <w:tc>
                      <w:tcPr>
                        <w:tcW w:w="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7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color w:val="000000"/>
                            <w:kern w:val="0"/>
                            <w:sz w:val="20"/>
                          </w:rPr>
                        </w:pPr>
                      </w:p>
                    </w:tc>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52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可持续影响指标</w:t>
                        </w:r>
                      </w:p>
                    </w:tc>
                    <w:tc>
                      <w:tcPr>
                        <w:tcW w:w="27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 xml:space="preserve"> 指标1：执行年度</w:t>
                        </w:r>
                      </w:p>
                    </w:tc>
                    <w:tc>
                      <w:tcPr>
                        <w:tcW w:w="9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长期</w:t>
                        </w:r>
                      </w:p>
                    </w:tc>
                    <w:tc>
                      <w:tcPr>
                        <w:tcW w:w="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满意度指标</w:t>
                        </w:r>
                      </w:p>
                    </w:tc>
                    <w:tc>
                      <w:tcPr>
                        <w:tcW w:w="9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服务对象</w:t>
                        </w:r>
                        <w:r>
                          <w:rPr>
                            <w:rFonts w:hint="eastAsia" w:ascii="宋体" w:hAnsi="宋体" w:eastAsia="宋体" w:cs="宋体"/>
                            <w:kern w:val="0"/>
                            <w:sz w:val="20"/>
                          </w:rPr>
                          <w:br w:type="textWrapping"/>
                        </w:r>
                        <w:r>
                          <w:rPr>
                            <w:rFonts w:hint="eastAsia" w:ascii="宋体" w:hAnsi="宋体" w:eastAsia="宋体" w:cs="宋体"/>
                            <w:kern w:val="0"/>
                            <w:sz w:val="20"/>
                          </w:rPr>
                          <w:t>满意度指标</w:t>
                        </w:r>
                      </w:p>
                    </w:tc>
                    <w:tc>
                      <w:tcPr>
                        <w:tcW w:w="2740" w:type="dxa"/>
                        <w:gridSpan w:val="2"/>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 xml:space="preserve"> 指标1：全大院机关满意度</w:t>
                        </w:r>
                      </w:p>
                    </w:tc>
                    <w:tc>
                      <w:tcPr>
                        <w:tcW w:w="9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≥98%</w:t>
                        </w:r>
                      </w:p>
                    </w:tc>
                    <w:tc>
                      <w:tcPr>
                        <w:tcW w:w="88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0"/>
                          </w:rPr>
                        </w:pPr>
                        <w:r>
                          <w:rPr>
                            <w:rFonts w:hint="eastAsia" w:ascii="宋体" w:hAnsi="宋体" w:eastAsia="宋体" w:cs="宋体"/>
                            <w:kern w:val="0"/>
                            <w:sz w:val="20"/>
                          </w:rPr>
                          <w:t>100%</w:t>
                        </w: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0"/>
                          </w:rPr>
                        </w:pPr>
                      </w:p>
                    </w:tc>
                    <w:tc>
                      <w:tcPr>
                        <w:tcW w:w="7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9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0"/>
                          </w:rPr>
                        </w:pPr>
                      </w:p>
                    </w:tc>
                    <w:tc>
                      <w:tcPr>
                        <w:tcW w:w="274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0"/>
                          </w:rPr>
                        </w:pPr>
                      </w:p>
                    </w:tc>
                    <w:tc>
                      <w:tcPr>
                        <w:tcW w:w="9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0"/>
                          </w:rPr>
                        </w:pPr>
                      </w:p>
                    </w:tc>
                    <w:tc>
                      <w:tcPr>
                        <w:tcW w:w="88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0"/>
                          </w:rPr>
                        </w:pPr>
                      </w:p>
                    </w:tc>
                    <w:tc>
                      <w:tcPr>
                        <w:tcW w:w="13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0"/>
                          </w:rPr>
                        </w:pPr>
                        <w:r>
                          <w:rPr>
                            <w:rFonts w:hint="eastAsia" w:ascii="宋体" w:hAnsi="宋体" w:eastAsia="宋体" w:cs="宋体"/>
                            <w:color w:val="000000"/>
                            <w:kern w:val="0"/>
                            <w:sz w:val="20"/>
                          </w:rPr>
                          <w:t>　</w:t>
                        </w:r>
                      </w:p>
                    </w:tc>
                  </w:tr>
                  <w:tr>
                    <w:tblPrEx>
                      <w:tblCellMar>
                        <w:top w:w="0" w:type="dxa"/>
                        <w:left w:w="108" w:type="dxa"/>
                        <w:bottom w:w="0" w:type="dxa"/>
                        <w:right w:w="108" w:type="dxa"/>
                      </w:tblCellMar>
                    </w:tblPrEx>
                    <w:trPr>
                      <w:trHeight w:val="280" w:hRule="atLeast"/>
                    </w:trPr>
                    <w:tc>
                      <w:tcPr>
                        <w:tcW w:w="72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说明</w:t>
                        </w:r>
                      </w:p>
                    </w:tc>
                    <w:tc>
                      <w:tcPr>
                        <w:tcW w:w="7640"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color w:val="000000"/>
                            <w:kern w:val="0"/>
                            <w:sz w:val="20"/>
                          </w:rPr>
                        </w:pPr>
                        <w:r>
                          <w:rPr>
                            <w:rFonts w:hint="eastAsia" w:ascii="宋体" w:hAnsi="宋体" w:eastAsia="宋体" w:cs="宋体"/>
                            <w:color w:val="000000"/>
                            <w:kern w:val="0"/>
                            <w:sz w:val="20"/>
                          </w:rPr>
                          <w:t>无</w:t>
                        </w:r>
                      </w:p>
                    </w:tc>
                  </w:tr>
                  <w:tr>
                    <w:tblPrEx>
                      <w:tblCellMar>
                        <w:top w:w="0" w:type="dxa"/>
                        <w:left w:w="108" w:type="dxa"/>
                        <w:bottom w:w="0" w:type="dxa"/>
                        <w:right w:w="108" w:type="dxa"/>
                      </w:tblCellMar>
                    </w:tblPrEx>
                    <w:trPr>
                      <w:trHeight w:val="720" w:hRule="atLeast"/>
                    </w:trPr>
                    <w:tc>
                      <w:tcPr>
                        <w:tcW w:w="8360" w:type="dxa"/>
                        <w:gridSpan w:val="8"/>
                        <w:tcBorders>
                          <w:top w:val="single" w:color="auto" w:sz="4" w:space="0"/>
                          <w:left w:val="nil"/>
                          <w:bottom w:val="nil"/>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注：1.其他资金包括和财政资金共同投入到同一项目的自有资金、社会资金，以及以前年度的结转结余资金等。</w:t>
                        </w:r>
                      </w:p>
                    </w:tc>
                  </w:tr>
                  <w:tr>
                    <w:tblPrEx>
                      <w:tblCellMar>
                        <w:top w:w="0" w:type="dxa"/>
                        <w:left w:w="108" w:type="dxa"/>
                        <w:bottom w:w="0" w:type="dxa"/>
                        <w:right w:w="108" w:type="dxa"/>
                      </w:tblCellMar>
                    </w:tblPrEx>
                    <w:trPr>
                      <w:trHeight w:val="720" w:hRule="atLeast"/>
                    </w:trPr>
                    <w:tc>
                      <w:tcPr>
                        <w:tcW w:w="8360" w:type="dxa"/>
                        <w:gridSpan w:val="8"/>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2.定量指标，资金使用单位填写本地区实际完成数。财政和主管部门汇总时，对绝对值直接累加计算，相对值按照资金额度加权平均计算。</w:t>
                        </w:r>
                      </w:p>
                    </w:tc>
                  </w:tr>
                  <w:tr>
                    <w:tblPrEx>
                      <w:tblCellMar>
                        <w:top w:w="0" w:type="dxa"/>
                        <w:left w:w="108" w:type="dxa"/>
                        <w:bottom w:w="0" w:type="dxa"/>
                        <w:right w:w="108" w:type="dxa"/>
                      </w:tblCellMar>
                    </w:tblPrEx>
                    <w:trPr>
                      <w:trHeight w:val="720" w:hRule="atLeast"/>
                    </w:trPr>
                    <w:tc>
                      <w:tcPr>
                        <w:tcW w:w="8360" w:type="dxa"/>
                        <w:gridSpan w:val="8"/>
                        <w:tcBorders>
                          <w:top w:val="nil"/>
                          <w:left w:val="nil"/>
                          <w:bottom w:val="nil"/>
                          <w:right w:val="nil"/>
                        </w:tcBorders>
                        <w:shd w:val="clear" w:color="auto" w:fill="auto"/>
                        <w:vAlign w:val="bottom"/>
                      </w:tcPr>
                      <w:p>
                        <w:pPr>
                          <w:widowControl/>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3.定性指标根据指标完成情况分为：全部或基本达成预期指标、部分达成预期指标并具有一定效果、未达成预期指标且效果较差三档，分别按照100%-80%（含）、80%-60%（含）、60-0%合理填写完成比例。</w:t>
                        </w:r>
                      </w:p>
                    </w:tc>
                  </w:tr>
                </w:tbl>
                <w:p>
                  <w:pPr>
                    <w:widowControl/>
                    <w:jc w:val="left"/>
                    <w:rPr>
                      <w:rFonts w:ascii="宋体" w:hAnsi="宋体" w:eastAsia="宋体" w:cs="宋体"/>
                      <w:color w:val="000000"/>
                      <w:kern w:val="0"/>
                      <w:sz w:val="18"/>
                      <w:szCs w:val="18"/>
                    </w:rPr>
                  </w:pPr>
                </w:p>
              </w:tc>
            </w:tr>
          </w:tbl>
          <w:p>
            <w:pPr>
              <w:widowControl/>
              <w:jc w:val="left"/>
              <w:rPr>
                <w:rFonts w:ascii="宋体" w:hAnsi="宋体" w:eastAsia="宋体" w:cs="宋体"/>
                <w:color w:val="000000"/>
                <w:kern w:val="0"/>
                <w:sz w:val="18"/>
                <w:szCs w:val="18"/>
              </w:rPr>
            </w:pPr>
          </w:p>
        </w:tc>
      </w:tr>
    </w:tbl>
    <w:p>
      <w:pPr>
        <w:widowControl/>
        <w:jc w:val="left"/>
        <w:rPr>
          <w:rFonts w:ascii="仿宋_GB2312" w:hAnsi="仿宋_GB2312" w:eastAsia="仿宋_GB2312" w:cs="仿宋_GB2312"/>
          <w:color w:val="000000"/>
          <w:kern w:val="0"/>
          <w:sz w:val="31"/>
          <w:szCs w:val="31"/>
        </w:rPr>
        <w:sectPr>
          <w:footerReference r:id="rId8" w:type="default"/>
          <w:pgSz w:w="11906" w:h="16838"/>
          <w:pgMar w:top="1440" w:right="1800" w:bottom="1440" w:left="1800" w:header="851" w:footer="992" w:gutter="0"/>
          <w:pgNumType w:start="1"/>
          <w:cols w:space="425" w:num="1"/>
          <w:docGrid w:type="lines" w:linePitch="312" w:charSpace="0"/>
        </w:sectPr>
      </w:pPr>
    </w:p>
    <w:p>
      <w:pPr>
        <w:widowControl/>
        <w:spacing w:line="560" w:lineRule="exact"/>
        <w:ind w:firstLine="643" w:firstLineChars="200"/>
        <w:jc w:val="left"/>
        <w:rPr>
          <w:rFonts w:ascii="仿宋" w:hAnsi="仿宋" w:eastAsia="仿宋" w:cs="楷体_GB2312"/>
          <w:b/>
          <w:color w:val="000000"/>
          <w:kern w:val="0"/>
          <w:szCs w:val="32"/>
        </w:rPr>
      </w:pPr>
      <w:r>
        <w:rPr>
          <w:rFonts w:hint="eastAsia" w:ascii="仿宋" w:hAnsi="仿宋" w:eastAsia="仿宋" w:cs="楷体_GB2312"/>
          <w:b/>
          <w:color w:val="000000"/>
          <w:kern w:val="0"/>
          <w:szCs w:val="32"/>
        </w:rPr>
        <w:t>（三）部门决算中整体支出绩效自评结果。</w:t>
      </w:r>
    </w:p>
    <w:p>
      <w:pPr>
        <w:widowControl/>
        <w:spacing w:line="560" w:lineRule="exact"/>
        <w:ind w:firstLine="640" w:firstLineChars="200"/>
        <w:jc w:val="left"/>
        <w:rPr>
          <w:rFonts w:ascii="仿宋" w:hAnsi="仿宋" w:eastAsia="仿宋" w:cs="仿宋_GB2312"/>
          <w:color w:val="000000"/>
          <w:kern w:val="0"/>
          <w:szCs w:val="32"/>
        </w:rPr>
      </w:pPr>
      <w:r>
        <w:rPr>
          <w:rFonts w:ascii="仿宋" w:hAnsi="仿宋" w:eastAsia="仿宋" w:cs="仿宋_GB2312"/>
          <w:color w:val="000000"/>
          <w:kern w:val="0"/>
          <w:szCs w:val="32"/>
        </w:rPr>
        <w:t>根据年初设定的绩效目标，</w:t>
      </w:r>
      <w:r>
        <w:rPr>
          <w:rFonts w:hint="eastAsia" w:ascii="仿宋" w:hAnsi="仿宋" w:eastAsia="仿宋" w:cs="仿宋_GB2312"/>
          <w:color w:val="000000"/>
          <w:kern w:val="0"/>
          <w:szCs w:val="32"/>
        </w:rPr>
        <w:t>本部门整体（或部门机关本级，或所属二级单位）2020年度整体</w:t>
      </w:r>
      <w:r>
        <w:rPr>
          <w:rFonts w:ascii="仿宋" w:hAnsi="仿宋" w:eastAsia="仿宋" w:cs="仿宋_GB2312"/>
          <w:color w:val="000000"/>
          <w:kern w:val="0"/>
          <w:szCs w:val="32"/>
        </w:rPr>
        <w:t>自评得分</w:t>
      </w:r>
      <w:r>
        <w:rPr>
          <w:rFonts w:hint="eastAsia" w:ascii="仿宋" w:hAnsi="仿宋" w:eastAsia="仿宋" w:cs="仿宋_GB2312"/>
          <w:color w:val="000000"/>
          <w:kern w:val="0"/>
          <w:szCs w:val="32"/>
        </w:rPr>
        <w:t>95</w:t>
      </w:r>
      <w:r>
        <w:rPr>
          <w:rFonts w:ascii="仿宋" w:hAnsi="仿宋" w:eastAsia="仿宋" w:cs="仿宋_GB2312"/>
          <w:color w:val="000000"/>
          <w:kern w:val="0"/>
          <w:szCs w:val="32"/>
        </w:rPr>
        <w:t>分。全年预算数</w:t>
      </w:r>
      <w:r>
        <w:rPr>
          <w:rFonts w:hint="eastAsia" w:ascii="仿宋" w:hAnsi="仿宋" w:eastAsia="仿宋" w:cs="仿宋_GB2312"/>
          <w:color w:val="000000"/>
          <w:kern w:val="0"/>
          <w:szCs w:val="32"/>
        </w:rPr>
        <w:t>543.32</w:t>
      </w:r>
      <w:r>
        <w:rPr>
          <w:rFonts w:ascii="仿宋" w:hAnsi="仿宋" w:eastAsia="仿宋" w:cs="仿宋_GB2312"/>
          <w:color w:val="000000"/>
          <w:kern w:val="0"/>
          <w:szCs w:val="32"/>
        </w:rPr>
        <w:t>万元，执行数</w:t>
      </w:r>
      <w:r>
        <w:rPr>
          <w:rFonts w:hint="eastAsia" w:ascii="仿宋" w:hAnsi="仿宋" w:eastAsia="仿宋" w:cs="仿宋_GB2312"/>
          <w:color w:val="000000"/>
          <w:kern w:val="0"/>
          <w:szCs w:val="32"/>
        </w:rPr>
        <w:t>644.06</w:t>
      </w:r>
      <w:r>
        <w:rPr>
          <w:rFonts w:ascii="仿宋" w:hAnsi="仿宋" w:eastAsia="仿宋" w:cs="仿宋_GB2312"/>
          <w:color w:val="000000"/>
          <w:kern w:val="0"/>
          <w:szCs w:val="32"/>
        </w:rPr>
        <w:t>万元，完成预算的</w:t>
      </w:r>
      <w:r>
        <w:rPr>
          <w:rFonts w:hint="eastAsia" w:ascii="仿宋" w:hAnsi="仿宋" w:eastAsia="仿宋" w:cs="仿宋_GB2312"/>
          <w:color w:val="000000"/>
          <w:kern w:val="0"/>
          <w:szCs w:val="32"/>
        </w:rPr>
        <w:t>118.54</w:t>
      </w:r>
      <w:r>
        <w:rPr>
          <w:rFonts w:ascii="仿宋" w:hAnsi="仿宋" w:eastAsia="仿宋" w:cs="仿宋_GB2312"/>
          <w:color w:val="000000"/>
          <w:kern w:val="0"/>
          <w:szCs w:val="32"/>
        </w:rPr>
        <w:t>%。</w:t>
      </w:r>
    </w:p>
    <w:p>
      <w:pPr>
        <w:spacing w:line="578" w:lineRule="exact"/>
        <w:ind w:firstLine="640" w:firstLineChars="200"/>
        <w:rPr>
          <w:rFonts w:ascii="仿宋" w:hAnsi="仿宋" w:eastAsia="仿宋" w:cs="仿宋_GB2312"/>
          <w:color w:val="000000"/>
          <w:kern w:val="0"/>
          <w:szCs w:val="32"/>
        </w:rPr>
      </w:pPr>
      <w:r>
        <w:rPr>
          <w:rFonts w:ascii="仿宋" w:hAnsi="仿宋" w:eastAsia="仿宋" w:cs="仿宋_GB2312"/>
          <w:color w:val="000000"/>
          <w:kern w:val="0"/>
          <w:szCs w:val="32"/>
        </w:rPr>
        <w:t>主要产出和效果：</w:t>
      </w:r>
      <w:r>
        <w:rPr>
          <w:rFonts w:ascii="仿宋" w:hAnsi="仿宋" w:eastAsia="仿宋"/>
          <w:szCs w:val="32"/>
          <w:lang w:val="zh-CN"/>
        </w:rPr>
        <w:t>20</w:t>
      </w:r>
      <w:r>
        <w:rPr>
          <w:rFonts w:hint="eastAsia" w:ascii="仿宋" w:hAnsi="仿宋" w:eastAsia="仿宋"/>
          <w:szCs w:val="32"/>
        </w:rPr>
        <w:t>20</w:t>
      </w:r>
      <w:r>
        <w:rPr>
          <w:rFonts w:ascii="仿宋" w:hAnsi="仿宋" w:eastAsia="仿宋"/>
          <w:szCs w:val="32"/>
          <w:lang w:val="zh-CN"/>
        </w:rPr>
        <w:t>年，区政府办在区委、区政府的坚强领导下，认真学习贯彻党的十九大精神和</w:t>
      </w:r>
      <w:bookmarkStart w:id="1" w:name="_GoBack"/>
      <w:r>
        <w:rPr>
          <w:rFonts w:ascii="仿宋" w:hAnsi="仿宋" w:eastAsia="仿宋"/>
          <w:szCs w:val="32"/>
          <w:lang w:val="zh-CN"/>
        </w:rPr>
        <w:t>习近平</w:t>
      </w:r>
      <w:bookmarkEnd w:id="1"/>
      <w:r>
        <w:rPr>
          <w:rFonts w:ascii="仿宋" w:hAnsi="仿宋" w:eastAsia="仿宋"/>
          <w:szCs w:val="32"/>
          <w:lang w:val="zh-CN"/>
        </w:rPr>
        <w:t>总书记</w:t>
      </w:r>
      <w:r>
        <w:rPr>
          <w:rFonts w:hint="eastAsia" w:ascii="仿宋" w:hAnsi="仿宋" w:eastAsia="仿宋"/>
          <w:szCs w:val="32"/>
          <w:lang w:val="en-US" w:eastAsia="zh-CN"/>
        </w:rPr>
        <w:t>重要</w:t>
      </w:r>
      <w:r>
        <w:rPr>
          <w:rFonts w:ascii="仿宋" w:hAnsi="仿宋" w:eastAsia="仿宋"/>
          <w:szCs w:val="32"/>
          <w:lang w:val="zh-CN"/>
        </w:rPr>
        <w:t>讲话要求，紧紧围绕区委、区政府中心工作，切实履行职责，努力做到“三个提升”、发挥“六大作用”、强化“四个意识”，较好地完成了全年各项目标任务，有力保障了区政府的高效运转</w:t>
      </w:r>
      <w:r>
        <w:rPr>
          <w:rFonts w:hint="eastAsia" w:ascii="仿宋" w:hAnsi="仿宋" w:eastAsia="仿宋" w:cs="仿宋_GB2312"/>
          <w:color w:val="000000"/>
          <w:kern w:val="0"/>
          <w:szCs w:val="32"/>
        </w:rPr>
        <w:t>。</w:t>
      </w:r>
    </w:p>
    <w:p>
      <w:pPr>
        <w:spacing w:line="578" w:lineRule="exact"/>
        <w:ind w:firstLine="640" w:firstLineChars="200"/>
        <w:rPr>
          <w:rFonts w:ascii="仿宋" w:hAnsi="仿宋" w:eastAsia="仿宋"/>
          <w:szCs w:val="32"/>
          <w:lang w:val="zh-CN"/>
        </w:rPr>
      </w:pPr>
      <w:r>
        <w:rPr>
          <w:rFonts w:hint="eastAsia" w:ascii="仿宋" w:hAnsi="仿宋" w:eastAsia="仿宋" w:cs="仿宋_GB2312"/>
          <w:color w:val="000000"/>
          <w:kern w:val="0"/>
          <w:szCs w:val="32"/>
        </w:rPr>
        <w:t>主要工作绩效是</w:t>
      </w:r>
      <w:r>
        <w:rPr>
          <w:rFonts w:ascii="仿宋" w:hAnsi="仿宋" w:eastAsia="仿宋" w:cs="仿宋_GB2312"/>
          <w:color w:val="000000"/>
          <w:kern w:val="0"/>
          <w:szCs w:val="32"/>
        </w:rPr>
        <w:t>：</w:t>
      </w:r>
      <w:r>
        <w:rPr>
          <w:rFonts w:ascii="仿宋" w:hAnsi="仿宋" w:eastAsia="仿宋"/>
          <w:b/>
          <w:szCs w:val="32"/>
          <w:lang w:val="zh-CN"/>
        </w:rPr>
        <w:t>一是当好参谋助手，为领导决策提供科学依据。</w:t>
      </w:r>
      <w:r>
        <w:rPr>
          <w:rFonts w:ascii="仿宋" w:hAnsi="仿宋" w:eastAsia="仿宋"/>
          <w:szCs w:val="32"/>
          <w:lang w:val="zh-CN"/>
        </w:rPr>
        <w:t>把参谋辅政贯穿办公室工作全过程，超前谋划，及时为领导决策想办法、出思路、提建议，较好发挥了以谋辅政作用。文稿综合精准高效。把综合文稿起草工作作为政务工作的重中之重，努力强化精品意识和效率意识。全年共指导完成领导讲话、总结汇报等各类文稿3</w:t>
      </w:r>
      <w:r>
        <w:rPr>
          <w:rFonts w:hint="eastAsia" w:ascii="仿宋" w:hAnsi="仿宋" w:eastAsia="仿宋"/>
          <w:szCs w:val="32"/>
        </w:rPr>
        <w:t>3</w:t>
      </w:r>
      <w:r>
        <w:rPr>
          <w:rFonts w:ascii="仿宋" w:hAnsi="仿宋" w:eastAsia="仿宋"/>
          <w:szCs w:val="32"/>
          <w:lang w:val="zh-CN"/>
        </w:rPr>
        <w:t>0余篇。调查研究深入具体。紧紧围绕全区工作重点、领导关注的焦点和群众反映的热点，扎实开展调研活动，认真撰写了调研报告，为领导决策献计献策。政务公开准确及时。编发阎良政务信息，第一时间呈送区政府领导，供领导参阅；上报市政府办公厅政务信息2</w:t>
      </w:r>
      <w:r>
        <w:rPr>
          <w:rFonts w:hint="eastAsia" w:ascii="仿宋" w:hAnsi="仿宋" w:eastAsia="仿宋"/>
          <w:szCs w:val="32"/>
        </w:rPr>
        <w:t>3</w:t>
      </w:r>
      <w:r>
        <w:rPr>
          <w:rFonts w:ascii="仿宋" w:hAnsi="仿宋" w:eastAsia="仿宋"/>
          <w:szCs w:val="32"/>
          <w:lang w:val="zh-CN"/>
        </w:rPr>
        <w:t>2条，确保市政府领导及时了解阎良动态。进一步完善政务公开制度，全年主动公开各类政府信息10</w:t>
      </w:r>
      <w:r>
        <w:rPr>
          <w:rFonts w:hint="eastAsia" w:ascii="仿宋" w:hAnsi="仿宋" w:eastAsia="仿宋"/>
          <w:szCs w:val="32"/>
        </w:rPr>
        <w:t>2</w:t>
      </w:r>
      <w:r>
        <w:rPr>
          <w:rFonts w:ascii="仿宋" w:hAnsi="仿宋" w:eastAsia="仿宋"/>
          <w:szCs w:val="32"/>
          <w:lang w:val="zh-CN"/>
        </w:rPr>
        <w:t>00余条，受理依申请公开事项</w:t>
      </w:r>
      <w:r>
        <w:rPr>
          <w:rFonts w:hint="eastAsia" w:ascii="仿宋" w:hAnsi="仿宋" w:eastAsia="仿宋"/>
          <w:szCs w:val="32"/>
        </w:rPr>
        <w:t>32</w:t>
      </w:r>
      <w:r>
        <w:rPr>
          <w:rFonts w:ascii="仿宋" w:hAnsi="仿宋" w:eastAsia="仿宋"/>
          <w:szCs w:val="32"/>
          <w:lang w:val="zh-CN"/>
        </w:rPr>
        <w:t>件。</w:t>
      </w:r>
    </w:p>
    <w:p>
      <w:pPr>
        <w:spacing w:line="578" w:lineRule="exact"/>
        <w:ind w:firstLine="643" w:firstLineChars="200"/>
        <w:rPr>
          <w:rFonts w:ascii="仿宋" w:hAnsi="仿宋" w:eastAsia="仿宋"/>
          <w:szCs w:val="32"/>
          <w:lang w:val="zh-CN"/>
        </w:rPr>
      </w:pPr>
      <w:r>
        <w:rPr>
          <w:rFonts w:ascii="仿宋" w:hAnsi="仿宋" w:eastAsia="仿宋"/>
          <w:b/>
          <w:szCs w:val="32"/>
          <w:lang w:val="zh-CN"/>
        </w:rPr>
        <w:t>二是发挥督办“利剑”作用，保证各项决策落实见效。</w:t>
      </w:r>
      <w:r>
        <w:rPr>
          <w:rFonts w:ascii="仿宋" w:hAnsi="仿宋" w:eastAsia="仿宋"/>
          <w:szCs w:val="32"/>
          <w:lang w:val="zh-CN"/>
        </w:rPr>
        <w:t>采取点面结合、上下联动、零距离督查等方式，加强市区《政府工作报告》、政府领导关注事项、批示件的督办落实，有力地推动了全区各项重点和群众关心关注热点工作顺利开展。编发《阎良区人民政府督查室督查催办单》1</w:t>
      </w:r>
      <w:r>
        <w:rPr>
          <w:rFonts w:hint="eastAsia" w:ascii="仿宋" w:hAnsi="仿宋" w:eastAsia="仿宋"/>
          <w:szCs w:val="32"/>
        </w:rPr>
        <w:t>03</w:t>
      </w:r>
      <w:r>
        <w:rPr>
          <w:rFonts w:ascii="仿宋" w:hAnsi="仿宋" w:eastAsia="仿宋"/>
          <w:szCs w:val="32"/>
          <w:lang w:val="zh-CN"/>
        </w:rPr>
        <w:t>件,《阎良区人民政府督查室督查报告单》</w:t>
      </w:r>
      <w:r>
        <w:rPr>
          <w:rFonts w:hint="eastAsia" w:ascii="仿宋" w:hAnsi="仿宋" w:eastAsia="仿宋"/>
          <w:szCs w:val="32"/>
        </w:rPr>
        <w:t>98</w:t>
      </w:r>
      <w:r>
        <w:rPr>
          <w:rFonts w:ascii="仿宋" w:hAnsi="仿宋" w:eastAsia="仿宋"/>
          <w:szCs w:val="32"/>
          <w:lang w:val="zh-CN"/>
        </w:rPr>
        <w:t>件。编辑《督查专报》36期，办理人大代表建议</w:t>
      </w:r>
      <w:r>
        <w:rPr>
          <w:rFonts w:hint="eastAsia" w:ascii="仿宋" w:hAnsi="仿宋" w:eastAsia="仿宋"/>
          <w:szCs w:val="32"/>
        </w:rPr>
        <w:t>85</w:t>
      </w:r>
      <w:r>
        <w:rPr>
          <w:rFonts w:ascii="仿宋" w:hAnsi="仿宋" w:eastAsia="仿宋"/>
          <w:szCs w:val="32"/>
          <w:lang w:val="zh-CN"/>
        </w:rPr>
        <w:t>件，政协委员提案13</w:t>
      </w:r>
      <w:r>
        <w:rPr>
          <w:rFonts w:hint="eastAsia" w:ascii="仿宋" w:hAnsi="仿宋" w:eastAsia="仿宋"/>
          <w:szCs w:val="32"/>
        </w:rPr>
        <w:t>2</w:t>
      </w:r>
      <w:r>
        <w:rPr>
          <w:rFonts w:ascii="仿宋" w:hAnsi="仿宋" w:eastAsia="仿宋"/>
          <w:szCs w:val="32"/>
          <w:lang w:val="zh-CN"/>
        </w:rPr>
        <w:t>件，办复率99%。努力在督查中发现问题、在督查中解决问题、在督查中推进工作，确保措施到位、落实到位。</w:t>
      </w:r>
    </w:p>
    <w:p>
      <w:pPr>
        <w:spacing w:line="578" w:lineRule="exact"/>
        <w:ind w:firstLine="643" w:firstLineChars="200"/>
        <w:rPr>
          <w:rFonts w:ascii="仿宋" w:hAnsi="仿宋" w:eastAsia="仿宋"/>
          <w:szCs w:val="32"/>
          <w:lang w:val="zh-CN"/>
        </w:rPr>
      </w:pPr>
      <w:r>
        <w:rPr>
          <w:rFonts w:ascii="仿宋" w:hAnsi="仿宋" w:eastAsia="仿宋"/>
          <w:b/>
          <w:szCs w:val="32"/>
          <w:lang w:val="zh-CN"/>
        </w:rPr>
        <w:t>三是加强综合调配，服务能力有效增强。</w:t>
      </w:r>
      <w:r>
        <w:rPr>
          <w:rFonts w:ascii="仿宋" w:hAnsi="仿宋" w:eastAsia="仿宋"/>
          <w:szCs w:val="32"/>
          <w:lang w:val="zh-CN"/>
        </w:rPr>
        <w:t>始终把提供全方位的优质高效服务作为工作目标和要求，确保政府机关高效运转。文书运转高效顺畅。全年共制发文件13</w:t>
      </w:r>
      <w:r>
        <w:rPr>
          <w:rFonts w:hint="eastAsia" w:ascii="仿宋" w:hAnsi="仿宋" w:eastAsia="仿宋"/>
          <w:szCs w:val="32"/>
        </w:rPr>
        <w:t>0</w:t>
      </w:r>
      <w:r>
        <w:rPr>
          <w:rFonts w:ascii="仿宋" w:hAnsi="仿宋" w:eastAsia="仿宋"/>
          <w:szCs w:val="32"/>
          <w:lang w:val="zh-CN"/>
        </w:rPr>
        <w:t>件，签收、转发中省市文件6000余份，全部无差错批阅、无差错交办、无差错落实。会务接待有条不紊。对会议组织过程进行细化分解，具体到事，量化到人。同时，严格会议管理，统筹安排会议，最大限度地减少会议的规模和数量。全年共筹备区政府常务会3</w:t>
      </w:r>
      <w:r>
        <w:rPr>
          <w:rFonts w:hint="eastAsia" w:ascii="仿宋" w:hAnsi="仿宋" w:eastAsia="仿宋"/>
          <w:szCs w:val="32"/>
        </w:rPr>
        <w:t>2</w:t>
      </w:r>
      <w:r>
        <w:rPr>
          <w:rFonts w:ascii="仿宋" w:hAnsi="仿宋" w:eastAsia="仿宋"/>
          <w:szCs w:val="32"/>
          <w:lang w:val="zh-CN"/>
        </w:rPr>
        <w:t>次、区政府专题会35次、区政府党组会1</w:t>
      </w:r>
      <w:r>
        <w:rPr>
          <w:rFonts w:hint="eastAsia" w:ascii="仿宋" w:hAnsi="仿宋" w:eastAsia="仿宋"/>
          <w:szCs w:val="32"/>
        </w:rPr>
        <w:t>2</w:t>
      </w:r>
      <w:r>
        <w:rPr>
          <w:rFonts w:ascii="仿宋" w:hAnsi="仿宋" w:eastAsia="仿宋"/>
          <w:szCs w:val="32"/>
          <w:lang w:val="zh-CN"/>
        </w:rPr>
        <w:t>次、区长办公会</w:t>
      </w:r>
      <w:r>
        <w:rPr>
          <w:rFonts w:hint="eastAsia" w:ascii="仿宋" w:hAnsi="仿宋" w:eastAsia="仿宋"/>
          <w:szCs w:val="32"/>
        </w:rPr>
        <w:t>18</w:t>
      </w:r>
      <w:r>
        <w:rPr>
          <w:rFonts w:ascii="仿宋" w:hAnsi="仿宋" w:eastAsia="仿宋"/>
          <w:szCs w:val="32"/>
          <w:lang w:val="zh-CN"/>
        </w:rPr>
        <w:t>次，组织各类调研和领导公务活动285次。</w:t>
      </w:r>
    </w:p>
    <w:p>
      <w:pPr>
        <w:widowControl/>
        <w:spacing w:line="560" w:lineRule="exact"/>
        <w:ind w:firstLine="643" w:firstLineChars="200"/>
        <w:jc w:val="left"/>
        <w:rPr>
          <w:rFonts w:ascii="仿宋" w:hAnsi="仿宋" w:eastAsia="仿宋"/>
          <w:szCs w:val="32"/>
          <w:lang w:val="zh-CN"/>
        </w:rPr>
      </w:pPr>
      <w:r>
        <w:rPr>
          <w:rFonts w:ascii="仿宋" w:hAnsi="仿宋" w:eastAsia="仿宋"/>
          <w:b/>
          <w:szCs w:val="32"/>
          <w:lang w:val="zh-CN"/>
        </w:rPr>
        <w:t>四是发挥牵头作用，营商环境持续优化。</w:t>
      </w:r>
      <w:r>
        <w:rPr>
          <w:rFonts w:hint="eastAsia" w:ascii="仿宋" w:hAnsi="仿宋" w:eastAsia="仿宋"/>
          <w:szCs w:val="32"/>
          <w:lang w:val="zh-CN"/>
        </w:rPr>
        <w:t>审定印发了《阎良区2020年优化营商环境深化“放管服”改革工作方案》等文件，对每项指标任务逐一落实牵头单位。建立月度通报、季度考核、半年督查等制度，督促各单位认真履职、主动创新。“一件事一次办”、不动产登记、“不见面”踏勘服务、微信预审+容缺后补、告知承诺+容缺受理等多项创新举措，得到宣传推广和省市的高度评价。定期通过召开专题会、组织调研、邀请义务监督员督查等形式强化日常工作的督促跟进。关键节点策划实施了奋战60天冲刺年目标优化营商环境再提速、季度大督查、企业满意度调查等活动，督促各项工作有效落实。</w:t>
      </w:r>
    </w:p>
    <w:p>
      <w:pPr>
        <w:spacing w:line="578" w:lineRule="exact"/>
        <w:ind w:firstLine="640" w:firstLineChars="200"/>
        <w:rPr>
          <w:rFonts w:ascii="仿宋" w:hAnsi="仿宋" w:eastAsia="仿宋"/>
          <w:szCs w:val="32"/>
          <w:lang w:val="zh-CN"/>
        </w:rPr>
      </w:pPr>
      <w:r>
        <w:rPr>
          <w:rFonts w:ascii="仿宋" w:hAnsi="仿宋" w:eastAsia="仿宋" w:cs="仿宋_GB2312"/>
          <w:color w:val="000000"/>
          <w:kern w:val="0"/>
          <w:szCs w:val="32"/>
        </w:rPr>
        <w:t>发现的问题及原因：</w:t>
      </w:r>
      <w:r>
        <w:rPr>
          <w:rFonts w:ascii="仿宋" w:hAnsi="仿宋" w:eastAsia="仿宋"/>
          <w:szCs w:val="32"/>
          <w:lang w:val="zh-CN"/>
        </w:rPr>
        <w:t>一是工作标准需要再提升，面对“追赶超越”的形势，“三服务”工作的标准、质量仍有很大提升空间。二是督查落实的力度还需进一步加大，特别是对一些复杂事项的协调上，需要再主动、再跟进。三是参谋助手作用发挥不充分，给区政府领导提供的建设性意见建议还比较少。</w:t>
      </w:r>
    </w:p>
    <w:p>
      <w:pPr>
        <w:spacing w:line="578" w:lineRule="exact"/>
        <w:ind w:firstLine="640" w:firstLineChars="200"/>
        <w:rPr>
          <w:rFonts w:ascii="仿宋" w:hAnsi="仿宋" w:eastAsia="仿宋"/>
          <w:szCs w:val="32"/>
          <w:lang w:val="zh-CN"/>
        </w:rPr>
      </w:pPr>
      <w:r>
        <w:rPr>
          <w:rFonts w:ascii="仿宋" w:hAnsi="仿宋" w:eastAsia="仿宋" w:cs="仿宋_GB2312"/>
          <w:color w:val="000000"/>
          <w:kern w:val="0"/>
          <w:szCs w:val="32"/>
        </w:rPr>
        <w:t>下一步改进措施：</w:t>
      </w:r>
      <w:r>
        <w:rPr>
          <w:rFonts w:ascii="仿宋" w:hAnsi="仿宋" w:eastAsia="仿宋"/>
          <w:szCs w:val="32"/>
          <w:lang w:val="zh-CN"/>
        </w:rPr>
        <w:t>一是进一步优化办公室管理机制，激发干部工作热情，全面提高 “三服务”水平，全力助推全区追赶超越。二是强化担当意识、创新意识，对一些复杂棘手问题，敢于迎难而上，盯住不放，一抓到底；对一些长期积累问题，积极创新思路，推进问题解决。三是加大调研工作力度，时刻关注中省市的最新部署，密切跟踪领导关注、群众关心的热点问题，切实当好参谋助手。</w:t>
      </w:r>
    </w:p>
    <w:p>
      <w:pPr>
        <w:widowControl/>
        <w:jc w:val="left"/>
        <w:rPr>
          <w:rFonts w:ascii="仿宋" w:hAnsi="仿宋" w:eastAsia="仿宋" w:cs="仿宋_GB2312"/>
          <w:color w:val="000000"/>
          <w:kern w:val="0"/>
          <w:sz w:val="18"/>
          <w:szCs w:val="18"/>
        </w:rPr>
      </w:pPr>
    </w:p>
    <w:tbl>
      <w:tblPr>
        <w:tblStyle w:val="7"/>
        <w:tblW w:w="15080" w:type="dxa"/>
        <w:tblInd w:w="98" w:type="dxa"/>
        <w:tblLayout w:type="fixed"/>
        <w:tblCellMar>
          <w:top w:w="0" w:type="dxa"/>
          <w:left w:w="108" w:type="dxa"/>
          <w:bottom w:w="0" w:type="dxa"/>
          <w:right w:w="108" w:type="dxa"/>
        </w:tblCellMar>
      </w:tblPr>
      <w:tblGrid>
        <w:gridCol w:w="843"/>
        <w:gridCol w:w="628"/>
        <w:gridCol w:w="614"/>
        <w:gridCol w:w="415"/>
        <w:gridCol w:w="2896"/>
        <w:gridCol w:w="2803"/>
        <w:gridCol w:w="1735"/>
        <w:gridCol w:w="806"/>
        <w:gridCol w:w="1130"/>
        <w:gridCol w:w="424"/>
        <w:gridCol w:w="1370"/>
        <w:gridCol w:w="1416"/>
      </w:tblGrid>
      <w:tr>
        <w:tblPrEx>
          <w:tblCellMar>
            <w:top w:w="0" w:type="dxa"/>
            <w:left w:w="108" w:type="dxa"/>
            <w:bottom w:w="0" w:type="dxa"/>
            <w:right w:w="108" w:type="dxa"/>
          </w:tblCellMar>
        </w:tblPrEx>
        <w:trPr>
          <w:trHeight w:val="808" w:hRule="atLeast"/>
        </w:trPr>
        <w:tc>
          <w:tcPr>
            <w:tcW w:w="15081" w:type="dxa"/>
            <w:gridSpan w:val="12"/>
            <w:vAlign w:val="center"/>
          </w:tcPr>
          <w:p>
            <w:pPr>
              <w:widowControl/>
              <w:jc w:val="center"/>
              <w:rPr>
                <w:rFonts w:ascii="仿宋" w:hAnsi="仿宋" w:eastAsia="仿宋" w:cs="宋体"/>
                <w:kern w:val="0"/>
                <w:szCs w:val="32"/>
              </w:rPr>
            </w:pPr>
            <w:r>
              <w:rPr>
                <w:rFonts w:hint="eastAsia" w:ascii="仿宋" w:hAnsi="仿宋" w:eastAsia="仿宋" w:cs="宋体"/>
                <w:kern w:val="0"/>
                <w:szCs w:val="32"/>
              </w:rPr>
              <w:t>部门整体支出绩效自评表</w:t>
            </w:r>
            <w:r>
              <w:rPr>
                <w:rFonts w:hint="eastAsia" w:ascii="仿宋" w:hAnsi="仿宋" w:eastAsia="仿宋" w:cs="宋体"/>
                <w:kern w:val="0"/>
                <w:szCs w:val="32"/>
              </w:rPr>
              <w:br w:type="textWrapping"/>
            </w:r>
            <w:r>
              <w:rPr>
                <w:rFonts w:hint="eastAsia" w:ascii="仿宋" w:hAnsi="仿宋" w:eastAsia="仿宋" w:cs="宋体"/>
                <w:kern w:val="0"/>
                <w:szCs w:val="32"/>
              </w:rPr>
              <w:t>（2020年度）</w:t>
            </w:r>
          </w:p>
        </w:tc>
      </w:tr>
      <w:tr>
        <w:tblPrEx>
          <w:tblCellMar>
            <w:top w:w="0" w:type="dxa"/>
            <w:left w:w="108" w:type="dxa"/>
            <w:bottom w:w="0" w:type="dxa"/>
            <w:right w:w="108" w:type="dxa"/>
          </w:tblCellMar>
        </w:tblPrEx>
        <w:trPr>
          <w:trHeight w:val="411" w:hRule="atLeast"/>
        </w:trPr>
        <w:tc>
          <w:tcPr>
            <w:tcW w:w="5397" w:type="dxa"/>
            <w:gridSpan w:val="5"/>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填报单位:</w:t>
            </w:r>
          </w:p>
        </w:tc>
        <w:tc>
          <w:tcPr>
            <w:tcW w:w="9684" w:type="dxa"/>
            <w:gridSpan w:val="7"/>
            <w:tcBorders>
              <w:top w:val="nil"/>
              <w:left w:val="nil"/>
              <w:bottom w:val="single" w:color="auto" w:sz="4" w:space="0"/>
              <w:right w:val="nil"/>
            </w:tcBorders>
            <w:vAlign w:val="center"/>
          </w:tcPr>
          <w:p>
            <w:pPr>
              <w:widowControl/>
              <w:jc w:val="right"/>
              <w:rPr>
                <w:rFonts w:ascii="仿宋" w:hAnsi="仿宋" w:eastAsia="仿宋" w:cs="宋体"/>
                <w:kern w:val="0"/>
                <w:sz w:val="18"/>
                <w:szCs w:val="18"/>
              </w:rPr>
            </w:pPr>
            <w:r>
              <w:rPr>
                <w:rFonts w:hint="eastAsia" w:ascii="仿宋" w:hAnsi="仿宋" w:eastAsia="仿宋" w:cs="宋体"/>
                <w:kern w:val="0"/>
                <w:sz w:val="18"/>
                <w:szCs w:val="18"/>
              </w:rPr>
              <w:t>自评得分：95</w:t>
            </w:r>
          </w:p>
        </w:tc>
      </w:tr>
      <w:tr>
        <w:tblPrEx>
          <w:tblCellMar>
            <w:top w:w="0" w:type="dxa"/>
            <w:left w:w="108" w:type="dxa"/>
            <w:bottom w:w="0" w:type="dxa"/>
            <w:right w:w="108" w:type="dxa"/>
          </w:tblCellMar>
        </w:tblPrEx>
        <w:trPr>
          <w:trHeight w:val="4025" w:hRule="atLeast"/>
        </w:trPr>
        <w:tc>
          <w:tcPr>
            <w:tcW w:w="5397"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（一）简要概述部门职能与职责。</w:t>
            </w:r>
          </w:p>
        </w:tc>
        <w:tc>
          <w:tcPr>
            <w:tcW w:w="9684" w:type="dxa"/>
            <w:gridSpan w:val="7"/>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xml:space="preserve">1.负责区政府日常文书处理工作。2.协助区政府领导组织起草或审核以区政府、区政府办公室名义发布的文件、文稿。3.负责区政府会议的筹备组织工作，协助区政府领导同志组织实施会议决定事项；负责区政府领导同志公务活动安排和组织工作。 4.研究区政府部门、镇街和开发区管委会请示区政府的事项，提出审核意见，报区政府审批。5.围绕区政府总体工作部署，组织开展调查研究，提出建议和意见；负责向市政府、区政府报送信息，反映各方面动态。6.督促检查区政府部门、镇街和开发区管委会对区政府决定事项及区政府领导同志批示指示的贯彻落实情况。7.负责区政府应急值班工作，协助区政府领导同志做好突发事件的应急处置工作，指导监督全区应急管理工作。8.负责全国、省、市、区人大代表建议和政协委员提案办理的协调督查工作。9.指导全区政府信息公开和电子政务工作，负责区政府、区政府办公室政务公开工作；负责区长专线、区政府门户网站管理和网民留言的办理工作。10.负责全区涉外事务工作，负责区政府公务接待工作。11.负责全区依法行政工作，承办区政府法制建设的有关具体工作。12.负责全区行政机关、人民团体、事业单位办公用房违规建设、使用的核查清理工作。13.负责区政府机关事务管理和后勤保障工作；负责区政府机关大院安全保卫、环境卫生和公共设施管理工作。14.负责全区公共机构节约能源资源工作，会同有关部门对全区公共机构节能管理进行规划，制定有关制度并组织实施。15.办理区政府领导同志交办的其他事项。                                     </w:t>
            </w:r>
          </w:p>
        </w:tc>
      </w:tr>
      <w:tr>
        <w:tblPrEx>
          <w:tblCellMar>
            <w:top w:w="0" w:type="dxa"/>
            <w:left w:w="108" w:type="dxa"/>
            <w:bottom w:w="0" w:type="dxa"/>
            <w:right w:w="108" w:type="dxa"/>
          </w:tblCellMar>
        </w:tblPrEx>
        <w:trPr>
          <w:trHeight w:val="1247" w:hRule="atLeast"/>
        </w:trPr>
        <w:tc>
          <w:tcPr>
            <w:tcW w:w="5397"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（二）简要概述部门支出情况，按活动内容分类。</w:t>
            </w:r>
          </w:p>
        </w:tc>
        <w:tc>
          <w:tcPr>
            <w:tcW w:w="9684" w:type="dxa"/>
            <w:gridSpan w:val="7"/>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2020年度部门实际支出644.06万元，主要为一般公共服务支出602.54万元、社会保障和就业支出33.16万元、卫生健康支出8.36万元。</w:t>
            </w:r>
          </w:p>
        </w:tc>
      </w:tr>
      <w:tr>
        <w:tblPrEx>
          <w:tblCellMar>
            <w:top w:w="0" w:type="dxa"/>
            <w:left w:w="108" w:type="dxa"/>
            <w:bottom w:w="0" w:type="dxa"/>
            <w:right w:w="108" w:type="dxa"/>
          </w:tblCellMar>
        </w:tblPrEx>
        <w:trPr>
          <w:trHeight w:val="887" w:hRule="atLeast"/>
        </w:trPr>
        <w:tc>
          <w:tcPr>
            <w:tcW w:w="5397"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（三）简要概述当年区委区政府下达的重点工作。</w:t>
            </w:r>
          </w:p>
        </w:tc>
        <w:tc>
          <w:tcPr>
            <w:tcW w:w="9684" w:type="dxa"/>
            <w:gridSpan w:val="7"/>
            <w:tcBorders>
              <w:top w:val="single" w:color="auto" w:sz="4" w:space="0"/>
              <w:left w:val="nil"/>
              <w:bottom w:val="single" w:color="auto" w:sz="4" w:space="0"/>
              <w:right w:val="single" w:color="auto" w:sz="4" w:space="0"/>
            </w:tcBorders>
            <w:vAlign w:val="center"/>
          </w:tcPr>
          <w:p>
            <w:pPr>
              <w:rPr>
                <w:rFonts w:ascii="仿宋" w:hAnsi="仿宋" w:eastAsia="仿宋"/>
                <w:bCs/>
                <w:color w:val="000000"/>
                <w:kern w:val="0"/>
                <w:sz w:val="18"/>
                <w:szCs w:val="18"/>
              </w:rPr>
            </w:pPr>
            <w:r>
              <w:rPr>
                <w:rFonts w:hint="eastAsia" w:ascii="仿宋" w:hAnsi="仿宋" w:eastAsia="仿宋"/>
                <w:bCs/>
                <w:color w:val="000000"/>
                <w:kern w:val="0"/>
                <w:sz w:val="18"/>
                <w:szCs w:val="18"/>
              </w:rPr>
              <w:t>一是完成我省、我市“放管服”改革暨优化营商环境2020年度重点工作任务，在全省营商环境监测评价中达到85分以上。在全省营商环境监测评价中排名达到前20位。二是着力加强基层政务公开标准化规范化建设，全面推进行政决策、执行、管理、服务、结果“五公开”，深化重大建设项目、公共资源配置、社会公益事业建设等重点领域信息公开，完善政务公开制度规范，积极推进全市政府网站集约化建设，加强政府网站和政务新媒体建设监管工作。</w:t>
            </w:r>
          </w:p>
          <w:p>
            <w:pPr>
              <w:rPr>
                <w:rFonts w:ascii="仿宋" w:hAnsi="仿宋" w:eastAsia="仿宋"/>
                <w:bCs/>
                <w:color w:val="000000"/>
                <w:kern w:val="0"/>
                <w:sz w:val="18"/>
                <w:szCs w:val="18"/>
              </w:rPr>
            </w:pPr>
            <w:r>
              <w:rPr>
                <w:rFonts w:hint="eastAsia" w:ascii="仿宋" w:hAnsi="仿宋" w:eastAsia="仿宋"/>
                <w:bCs/>
                <w:color w:val="000000"/>
                <w:kern w:val="0"/>
                <w:sz w:val="18"/>
                <w:szCs w:val="18"/>
              </w:rPr>
              <w:t>三是对市委、市政府重点工作推进中存在问题及领导批示要求整改事项，按督查要求高质高效落实到位。</w:t>
            </w:r>
          </w:p>
          <w:p>
            <w:pPr>
              <w:rPr>
                <w:rFonts w:ascii="仿宋" w:hAnsi="仿宋" w:eastAsia="仿宋"/>
                <w:bCs/>
                <w:color w:val="000000"/>
                <w:kern w:val="0"/>
                <w:sz w:val="18"/>
                <w:szCs w:val="18"/>
              </w:rPr>
            </w:pPr>
            <w:r>
              <w:rPr>
                <w:rFonts w:hint="eastAsia" w:ascii="仿宋" w:hAnsi="仿宋" w:eastAsia="仿宋"/>
                <w:bCs/>
                <w:color w:val="000000"/>
                <w:kern w:val="0"/>
                <w:sz w:val="18"/>
                <w:szCs w:val="18"/>
              </w:rPr>
              <w:t>四是按时完成人大代表议案和建议办理、政协提案办理工作。</w:t>
            </w:r>
          </w:p>
          <w:p>
            <w:pPr>
              <w:rPr>
                <w:rFonts w:ascii="仿宋" w:hAnsi="仿宋" w:eastAsia="仿宋"/>
                <w:bCs/>
                <w:color w:val="000000"/>
                <w:kern w:val="0"/>
                <w:sz w:val="18"/>
                <w:szCs w:val="18"/>
              </w:rPr>
            </w:pPr>
            <w:r>
              <w:rPr>
                <w:rFonts w:hint="eastAsia" w:ascii="仿宋" w:hAnsi="仿宋" w:eastAsia="仿宋"/>
                <w:bCs/>
                <w:color w:val="000000"/>
                <w:kern w:val="0"/>
                <w:sz w:val="18"/>
                <w:szCs w:val="18"/>
              </w:rPr>
              <w:t>五是按照《党政机关公文处理条例》规定，及时、准确、安全做好来往文电的收发、登记、呈批、传阅和办复工作，做到零积压、零差错。</w:t>
            </w:r>
          </w:p>
          <w:p>
            <w:pPr>
              <w:rPr>
                <w:rFonts w:ascii="仿宋" w:hAnsi="仿宋" w:eastAsia="仿宋"/>
                <w:bCs/>
                <w:color w:val="000000"/>
                <w:kern w:val="0"/>
                <w:sz w:val="18"/>
                <w:szCs w:val="18"/>
              </w:rPr>
            </w:pPr>
            <w:r>
              <w:rPr>
                <w:rFonts w:hint="eastAsia" w:ascii="仿宋" w:hAnsi="仿宋" w:eastAsia="仿宋"/>
                <w:bCs/>
                <w:color w:val="000000"/>
                <w:kern w:val="0"/>
                <w:sz w:val="18"/>
                <w:szCs w:val="18"/>
              </w:rPr>
              <w:t>六是高质量完成政府工作报告起草工作；做好各类文件、领导讲话的起草审改工作。</w:t>
            </w:r>
          </w:p>
          <w:p>
            <w:pPr>
              <w:rPr>
                <w:rFonts w:ascii="仿宋" w:hAnsi="仿宋" w:eastAsia="仿宋"/>
                <w:bCs/>
                <w:color w:val="000000"/>
                <w:kern w:val="0"/>
                <w:sz w:val="18"/>
                <w:szCs w:val="18"/>
              </w:rPr>
            </w:pPr>
            <w:r>
              <w:rPr>
                <w:rFonts w:hint="eastAsia" w:ascii="仿宋" w:hAnsi="仿宋" w:eastAsia="仿宋"/>
                <w:bCs/>
                <w:color w:val="000000"/>
                <w:kern w:val="0"/>
                <w:sz w:val="18"/>
                <w:szCs w:val="18"/>
              </w:rPr>
              <w:t>七是围绕区政府领导指示和工作需要开展调查研究工作，完成调研报告4篇。</w:t>
            </w:r>
          </w:p>
          <w:p>
            <w:pPr>
              <w:rPr>
                <w:rFonts w:ascii="仿宋" w:hAnsi="仿宋" w:eastAsia="仿宋"/>
                <w:bCs/>
                <w:color w:val="000000"/>
                <w:kern w:val="0"/>
                <w:sz w:val="18"/>
                <w:szCs w:val="18"/>
              </w:rPr>
            </w:pPr>
            <w:r>
              <w:rPr>
                <w:rFonts w:hint="eastAsia" w:ascii="仿宋" w:hAnsi="仿宋" w:eastAsia="仿宋"/>
                <w:bCs/>
                <w:color w:val="000000"/>
                <w:kern w:val="0"/>
                <w:sz w:val="18"/>
                <w:szCs w:val="18"/>
              </w:rPr>
              <w:t>八是组织召开营商环境本专项小组改革工作会议，学习中央、省市区改革会议精神，研究本领域改革工作。制定本专项小组2020年度改革要点，建立改革年度台账、清单，制定改革任务实施方案，加大督促力度，指导各涉改单位按时间节点要求完成本专项小组本领域2020年度改革任务。落实分级督察制度。</w:t>
            </w:r>
          </w:p>
          <w:p>
            <w:pPr>
              <w:widowControl/>
              <w:jc w:val="center"/>
              <w:rPr>
                <w:rFonts w:ascii="仿宋" w:hAnsi="仿宋" w:eastAsia="仿宋" w:cs="宋体"/>
                <w:kern w:val="0"/>
                <w:sz w:val="18"/>
                <w:szCs w:val="18"/>
              </w:rPr>
            </w:pPr>
          </w:p>
        </w:tc>
      </w:tr>
      <w:tr>
        <w:tblPrEx>
          <w:tblCellMar>
            <w:top w:w="0" w:type="dxa"/>
            <w:left w:w="108" w:type="dxa"/>
            <w:bottom w:w="0" w:type="dxa"/>
            <w:right w:w="108" w:type="dxa"/>
          </w:tblCellMar>
        </w:tblPrEx>
        <w:trPr>
          <w:trHeight w:val="726" w:hRule="atLeast"/>
        </w:trPr>
        <w:tc>
          <w:tcPr>
            <w:tcW w:w="8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一级</w:t>
            </w:r>
            <w:r>
              <w:rPr>
                <w:rFonts w:hint="eastAsia" w:ascii="仿宋" w:hAnsi="仿宋" w:eastAsia="仿宋" w:cs="宋体"/>
                <w:b/>
                <w:bCs/>
                <w:kern w:val="0"/>
                <w:sz w:val="18"/>
                <w:szCs w:val="18"/>
              </w:rPr>
              <w:br w:type="textWrapping"/>
            </w:r>
            <w:r>
              <w:rPr>
                <w:rFonts w:hint="eastAsia" w:ascii="仿宋" w:hAnsi="仿宋" w:eastAsia="仿宋" w:cs="宋体"/>
                <w:b/>
                <w:bCs/>
                <w:kern w:val="0"/>
                <w:sz w:val="18"/>
                <w:szCs w:val="18"/>
              </w:rPr>
              <w:t>指标</w:t>
            </w:r>
          </w:p>
        </w:tc>
        <w:tc>
          <w:tcPr>
            <w:tcW w:w="62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二级</w:t>
            </w:r>
            <w:r>
              <w:rPr>
                <w:rFonts w:hint="eastAsia" w:ascii="仿宋" w:hAnsi="仿宋" w:eastAsia="仿宋" w:cs="宋体"/>
                <w:b/>
                <w:bCs/>
                <w:kern w:val="0"/>
                <w:sz w:val="18"/>
                <w:szCs w:val="18"/>
              </w:rPr>
              <w:br w:type="textWrapping"/>
            </w:r>
            <w:r>
              <w:rPr>
                <w:rFonts w:hint="eastAsia" w:ascii="仿宋" w:hAnsi="仿宋" w:eastAsia="仿宋" w:cs="宋体"/>
                <w:b/>
                <w:bCs/>
                <w:kern w:val="0"/>
                <w:sz w:val="18"/>
                <w:szCs w:val="18"/>
              </w:rPr>
              <w:t>指标</w:t>
            </w:r>
          </w:p>
        </w:tc>
        <w:tc>
          <w:tcPr>
            <w:tcW w:w="61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三级指标</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c>
          <w:tcPr>
            <w:tcW w:w="289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指标说明</w:t>
            </w:r>
          </w:p>
        </w:tc>
        <w:tc>
          <w:tcPr>
            <w:tcW w:w="280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评分标准</w:t>
            </w:r>
          </w:p>
        </w:tc>
        <w:tc>
          <w:tcPr>
            <w:tcW w:w="173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指标值计算公式和数据获取方式</w:t>
            </w:r>
          </w:p>
        </w:tc>
        <w:tc>
          <w:tcPr>
            <w:tcW w:w="80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年初目标值</w:t>
            </w:r>
          </w:p>
        </w:tc>
        <w:tc>
          <w:tcPr>
            <w:tcW w:w="113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实际完成值</w:t>
            </w:r>
          </w:p>
        </w:tc>
        <w:tc>
          <w:tcPr>
            <w:tcW w:w="42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得分</w:t>
            </w:r>
          </w:p>
        </w:tc>
        <w:tc>
          <w:tcPr>
            <w:tcW w:w="137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未完成原因分析与改进措施</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绩效指标分析与建议</w:t>
            </w:r>
          </w:p>
        </w:tc>
      </w:tr>
      <w:tr>
        <w:tblPrEx>
          <w:tblCellMar>
            <w:top w:w="0" w:type="dxa"/>
            <w:left w:w="108" w:type="dxa"/>
            <w:bottom w:w="0" w:type="dxa"/>
            <w:right w:w="108" w:type="dxa"/>
          </w:tblCellMar>
        </w:tblPrEx>
        <w:trPr>
          <w:trHeight w:val="2520" w:hRule="atLeast"/>
        </w:trPr>
        <w:tc>
          <w:tcPr>
            <w:tcW w:w="844" w:type="dxa"/>
            <w:vMerge w:val="restart"/>
            <w:tcBorders>
              <w:top w:val="nil"/>
              <w:left w:val="single" w:color="auto" w:sz="4" w:space="0"/>
              <w:bottom w:val="single" w:color="auto" w:sz="4" w:space="0"/>
              <w:right w:val="single" w:color="auto" w:sz="4" w:space="0"/>
            </w:tcBorders>
            <w:noWrap/>
            <w:textDirection w:val="tbRlV"/>
            <w:vAlign w:val="center"/>
          </w:tcPr>
          <w:p>
            <w:pPr>
              <w:widowControl/>
              <w:spacing w:line="220" w:lineRule="exact"/>
              <w:jc w:val="center"/>
              <w:rPr>
                <w:rFonts w:ascii="仿宋" w:hAnsi="仿宋" w:eastAsia="仿宋" w:cs="宋体"/>
                <w:kern w:val="0"/>
                <w:sz w:val="18"/>
                <w:szCs w:val="18"/>
              </w:rPr>
            </w:pPr>
            <w:r>
              <w:rPr>
                <w:rFonts w:hint="eastAsia" w:ascii="仿宋" w:hAnsi="仿宋" w:eastAsia="仿宋" w:cs="宋体"/>
                <w:kern w:val="0"/>
                <w:sz w:val="18"/>
                <w:szCs w:val="18"/>
              </w:rPr>
              <w:t>投入</w:t>
            </w:r>
          </w:p>
        </w:tc>
        <w:tc>
          <w:tcPr>
            <w:tcW w:w="628" w:type="dxa"/>
            <w:vMerge w:val="restart"/>
            <w:tcBorders>
              <w:top w:val="nil"/>
              <w:left w:val="single" w:color="auto" w:sz="4" w:space="0"/>
              <w:bottom w:val="single" w:color="auto" w:sz="4" w:space="0"/>
              <w:right w:val="single" w:color="auto" w:sz="4" w:space="0"/>
            </w:tcBorders>
            <w:vAlign w:val="center"/>
          </w:tcPr>
          <w:p>
            <w:pPr>
              <w:widowControl/>
              <w:spacing w:line="220" w:lineRule="exact"/>
              <w:jc w:val="center"/>
              <w:rPr>
                <w:rFonts w:ascii="仿宋" w:hAnsi="仿宋" w:eastAsia="仿宋" w:cs="宋体"/>
                <w:kern w:val="0"/>
                <w:sz w:val="18"/>
                <w:szCs w:val="18"/>
              </w:rPr>
            </w:pPr>
            <w:r>
              <w:rPr>
                <w:rFonts w:hint="eastAsia" w:ascii="仿宋" w:hAnsi="仿宋" w:eastAsia="仿宋" w:cs="宋体"/>
                <w:kern w:val="0"/>
                <w:sz w:val="18"/>
                <w:szCs w:val="18"/>
              </w:rPr>
              <w:t>预算执行（25分）</w:t>
            </w:r>
          </w:p>
        </w:tc>
        <w:tc>
          <w:tcPr>
            <w:tcW w:w="614" w:type="dxa"/>
            <w:tcBorders>
              <w:top w:val="nil"/>
              <w:left w:val="nil"/>
              <w:bottom w:val="single" w:color="auto" w:sz="4" w:space="0"/>
              <w:right w:val="single" w:color="auto" w:sz="4" w:space="0"/>
            </w:tcBorders>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预算</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完成率</w:t>
            </w:r>
            <w:r>
              <w:rPr>
                <w:rFonts w:hint="eastAsia" w:ascii="仿宋" w:hAnsi="仿宋" w:eastAsia="仿宋" w:cs="宋体"/>
                <w:kern w:val="0"/>
                <w:sz w:val="18"/>
                <w:szCs w:val="18"/>
              </w:rPr>
              <w:br w:type="textWrapping"/>
            </w:r>
            <w:r>
              <w:rPr>
                <w:rFonts w:hint="eastAsia" w:ascii="仿宋" w:hAnsi="仿宋" w:eastAsia="仿宋" w:cs="宋体"/>
                <w:kern w:val="0"/>
                <w:sz w:val="18"/>
                <w:szCs w:val="18"/>
              </w:rPr>
              <w:t>（10分）</w:t>
            </w:r>
          </w:p>
        </w:tc>
        <w:tc>
          <w:tcPr>
            <w:tcW w:w="415" w:type="dxa"/>
            <w:tcBorders>
              <w:top w:val="nil"/>
              <w:left w:val="nil"/>
              <w:bottom w:val="single" w:color="auto" w:sz="4" w:space="0"/>
              <w:right w:val="single" w:color="auto" w:sz="4" w:space="0"/>
            </w:tcBorders>
            <w:vAlign w:val="center"/>
          </w:tcPr>
          <w:p>
            <w:pPr>
              <w:widowControl/>
              <w:spacing w:line="220" w:lineRule="exact"/>
              <w:jc w:val="center"/>
              <w:rPr>
                <w:rFonts w:ascii="仿宋" w:hAnsi="仿宋" w:eastAsia="仿宋" w:cs="宋体"/>
                <w:kern w:val="0"/>
                <w:sz w:val="18"/>
                <w:szCs w:val="18"/>
              </w:rPr>
            </w:pPr>
            <w:r>
              <w:rPr>
                <w:rFonts w:hint="eastAsia" w:ascii="仿宋" w:hAnsi="仿宋" w:eastAsia="仿宋" w:cs="宋体"/>
                <w:kern w:val="0"/>
                <w:sz w:val="18"/>
                <w:szCs w:val="18"/>
              </w:rPr>
              <w:t>10</w:t>
            </w:r>
          </w:p>
        </w:tc>
        <w:tc>
          <w:tcPr>
            <w:tcW w:w="2896" w:type="dxa"/>
            <w:tcBorders>
              <w:top w:val="nil"/>
              <w:left w:val="nil"/>
              <w:bottom w:val="single" w:color="auto" w:sz="4" w:space="0"/>
              <w:right w:val="single" w:color="auto" w:sz="4" w:space="0"/>
            </w:tcBorders>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预算完成率=（预算完成数/预算数）×100%，用以反映和考核部门（单位）预算完成程度。</w:t>
            </w:r>
            <w:r>
              <w:rPr>
                <w:rFonts w:hint="eastAsia" w:ascii="仿宋" w:hAnsi="仿宋" w:eastAsia="仿宋" w:cs="宋体"/>
                <w:kern w:val="0"/>
                <w:sz w:val="18"/>
                <w:szCs w:val="18"/>
              </w:rPr>
              <w:br w:type="textWrapping"/>
            </w:r>
            <w:r>
              <w:rPr>
                <w:rFonts w:hint="eastAsia" w:ascii="仿宋" w:hAnsi="仿宋" w:eastAsia="仿宋" w:cs="宋体"/>
                <w:kern w:val="0"/>
                <w:sz w:val="18"/>
                <w:szCs w:val="18"/>
              </w:rPr>
              <w:t>预算完成数：部门（单位）本年度实际完成的预算数。</w:t>
            </w:r>
            <w:r>
              <w:rPr>
                <w:rFonts w:hint="eastAsia" w:ascii="仿宋" w:hAnsi="仿宋" w:eastAsia="仿宋" w:cs="宋体"/>
                <w:kern w:val="0"/>
                <w:sz w:val="18"/>
                <w:szCs w:val="18"/>
              </w:rPr>
              <w:br w:type="textWrapping"/>
            </w:r>
            <w:r>
              <w:rPr>
                <w:rFonts w:hint="eastAsia" w:ascii="仿宋" w:hAnsi="仿宋" w:eastAsia="仿宋" w:cs="宋体"/>
                <w:kern w:val="0"/>
                <w:sz w:val="18"/>
                <w:szCs w:val="18"/>
              </w:rPr>
              <w:t>预算数：财政部门批复的本年度部门（单位）预算数。</w:t>
            </w:r>
          </w:p>
        </w:tc>
        <w:tc>
          <w:tcPr>
            <w:tcW w:w="280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预算完成率＝100%的，得10分。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预算完成率≥95%的，得9分。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预算完成率在90%（含）和95%之间，得8分。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预算完成率在85%（含）和90%之间，得7分。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预算完成率在80%（含）和85%之间，得6分。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预算完成率在70%（含）和80%之间，得4分。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预算完成率＜70%的，得0分。</w:t>
            </w:r>
          </w:p>
        </w:tc>
        <w:tc>
          <w:tcPr>
            <w:tcW w:w="1735"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136.71%=（1233.3/902.11）*100% 获取方式：2019年决算 </w:t>
            </w:r>
          </w:p>
        </w:tc>
        <w:tc>
          <w:tcPr>
            <w:tcW w:w="806"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18"/>
                <w:szCs w:val="18"/>
              </w:rPr>
            </w:pPr>
            <w:r>
              <w:rPr>
                <w:rFonts w:hint="eastAsia" w:ascii="仿宋" w:hAnsi="仿宋" w:eastAsia="仿宋" w:cs="宋体"/>
                <w:kern w:val="0"/>
                <w:sz w:val="18"/>
                <w:szCs w:val="18"/>
              </w:rPr>
              <w:t>100%</w:t>
            </w:r>
          </w:p>
        </w:tc>
        <w:tc>
          <w:tcPr>
            <w:tcW w:w="1130"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18"/>
                <w:szCs w:val="18"/>
              </w:rPr>
            </w:pPr>
            <w:r>
              <w:rPr>
                <w:rFonts w:hint="eastAsia" w:ascii="仿宋" w:hAnsi="仿宋" w:eastAsia="仿宋" w:cs="宋体"/>
                <w:kern w:val="0"/>
                <w:sz w:val="18"/>
                <w:szCs w:val="18"/>
              </w:rPr>
              <w:t>118.54%</w:t>
            </w:r>
          </w:p>
        </w:tc>
        <w:tc>
          <w:tcPr>
            <w:tcW w:w="424"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18"/>
                <w:szCs w:val="18"/>
              </w:rPr>
            </w:pPr>
            <w:r>
              <w:rPr>
                <w:rFonts w:hint="eastAsia" w:ascii="仿宋" w:hAnsi="仿宋" w:eastAsia="仿宋" w:cs="宋体"/>
                <w:kern w:val="0"/>
                <w:sz w:val="18"/>
                <w:szCs w:val="18"/>
              </w:rPr>
              <w:t>10</w:t>
            </w:r>
          </w:p>
        </w:tc>
        <w:tc>
          <w:tcPr>
            <w:tcW w:w="137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141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2790" w:hRule="atLeast"/>
        </w:trPr>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614" w:type="dxa"/>
            <w:tcBorders>
              <w:top w:val="nil"/>
              <w:left w:val="nil"/>
              <w:bottom w:val="single" w:color="auto" w:sz="4" w:space="0"/>
              <w:right w:val="single" w:color="auto" w:sz="4" w:space="0"/>
            </w:tcBorders>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预算调整率</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（5分）</w:t>
            </w:r>
          </w:p>
        </w:tc>
        <w:tc>
          <w:tcPr>
            <w:tcW w:w="415" w:type="dxa"/>
            <w:tcBorders>
              <w:top w:val="nil"/>
              <w:left w:val="nil"/>
              <w:bottom w:val="single" w:color="auto" w:sz="4" w:space="0"/>
              <w:right w:val="single" w:color="auto" w:sz="4" w:space="0"/>
            </w:tcBorders>
            <w:vAlign w:val="center"/>
          </w:tcPr>
          <w:p>
            <w:pPr>
              <w:widowControl/>
              <w:spacing w:line="220" w:lineRule="exact"/>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2896" w:type="dxa"/>
            <w:tcBorders>
              <w:top w:val="nil"/>
              <w:left w:val="nil"/>
              <w:bottom w:val="single" w:color="auto" w:sz="4" w:space="0"/>
              <w:right w:val="single" w:color="auto" w:sz="4" w:space="0"/>
            </w:tcBorders>
            <w:vAlign w:val="center"/>
          </w:tcPr>
          <w:p>
            <w:pPr>
              <w:widowControl/>
              <w:spacing w:line="220" w:lineRule="exact"/>
              <w:jc w:val="left"/>
              <w:rPr>
                <w:rFonts w:ascii="仿宋" w:hAnsi="仿宋" w:eastAsia="仿宋" w:cs="宋体"/>
                <w:kern w:val="0"/>
                <w:sz w:val="18"/>
                <w:szCs w:val="18"/>
              </w:rPr>
            </w:pPr>
            <w:r>
              <w:rPr>
                <w:rFonts w:hint="eastAsia" w:ascii="仿宋" w:hAnsi="仿宋" w:eastAsia="仿宋" w:cs="宋体"/>
                <w:kern w:val="0"/>
                <w:sz w:val="18"/>
                <w:szCs w:val="18"/>
              </w:rPr>
              <w:t>预算调整率=（预算调整数/预算数）×100%，用以反映和考核部门（单位）预算的调整程度。</w:t>
            </w:r>
            <w:r>
              <w:rPr>
                <w:rFonts w:hint="eastAsia" w:ascii="仿宋" w:hAnsi="仿宋" w:eastAsia="仿宋" w:cs="宋体"/>
                <w:kern w:val="0"/>
                <w:sz w:val="18"/>
                <w:szCs w:val="18"/>
              </w:rPr>
              <w:br w:type="textWrapping"/>
            </w:r>
            <w:r>
              <w:rPr>
                <w:rFonts w:hint="eastAsia" w:ascii="仿宋" w:hAnsi="仿宋" w:eastAsia="仿宋" w:cs="宋体"/>
                <w:kern w:val="0"/>
                <w:sz w:val="18"/>
                <w:szCs w:val="18"/>
              </w:rPr>
              <w:t>预算调整数：部门（单位）在本年度内涉及预算的追加、追减或结构调整的资金总和（因落实国家政策、发生不可抗力、上级部门或本级党委政府临时交办而产生的调整除外）。</w:t>
            </w:r>
            <w:r>
              <w:rPr>
                <w:rFonts w:hint="eastAsia" w:ascii="仿宋" w:hAnsi="仿宋" w:eastAsia="仿宋" w:cs="宋体"/>
                <w:kern w:val="0"/>
                <w:sz w:val="18"/>
                <w:szCs w:val="18"/>
              </w:rPr>
              <w:br w:type="textWrapping"/>
            </w:r>
            <w:r>
              <w:rPr>
                <w:rFonts w:hint="eastAsia" w:ascii="仿宋" w:hAnsi="仿宋" w:eastAsia="仿宋" w:cs="宋体"/>
                <w:kern w:val="0"/>
                <w:sz w:val="18"/>
                <w:szCs w:val="18"/>
              </w:rPr>
              <w:t>预算包括一般公共预算与政府性基金预算。</w:t>
            </w:r>
          </w:p>
        </w:tc>
        <w:tc>
          <w:tcPr>
            <w:tcW w:w="280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预算调整率绝对值≤5%，得5分。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预算调整率绝对值＞5%的，每增加0.1个百分点扣0.1分，扣完为止。</w:t>
            </w:r>
          </w:p>
        </w:tc>
        <w:tc>
          <w:tcPr>
            <w:tcW w:w="1735"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31.92%=287.95/902.11  获取方式：2019年决算         </w:t>
            </w:r>
          </w:p>
        </w:tc>
        <w:tc>
          <w:tcPr>
            <w:tcW w:w="806"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≤5%</w:t>
            </w:r>
          </w:p>
        </w:tc>
        <w:tc>
          <w:tcPr>
            <w:tcW w:w="1130"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18"/>
                <w:szCs w:val="18"/>
              </w:rPr>
            </w:pPr>
            <w:r>
              <w:rPr>
                <w:rFonts w:hint="eastAsia" w:ascii="仿宋" w:hAnsi="仿宋" w:eastAsia="仿宋" w:cs="宋体"/>
                <w:kern w:val="0"/>
                <w:sz w:val="18"/>
                <w:szCs w:val="18"/>
              </w:rPr>
              <w:t>0</w:t>
            </w:r>
          </w:p>
        </w:tc>
        <w:tc>
          <w:tcPr>
            <w:tcW w:w="424"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18"/>
                <w:szCs w:val="18"/>
              </w:rPr>
            </w:pPr>
            <w:r>
              <w:rPr>
                <w:rFonts w:hint="eastAsia" w:ascii="仿宋" w:hAnsi="仿宋" w:eastAsia="仿宋" w:cs="宋体"/>
                <w:kern w:val="0"/>
                <w:sz w:val="18"/>
                <w:szCs w:val="18"/>
              </w:rPr>
              <w:t>5</w:t>
            </w:r>
          </w:p>
        </w:tc>
        <w:tc>
          <w:tcPr>
            <w:tcW w:w="137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p>
        </w:tc>
        <w:tc>
          <w:tcPr>
            <w:tcW w:w="141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895" w:hRule="atLeast"/>
        </w:trPr>
        <w:tc>
          <w:tcPr>
            <w:tcW w:w="8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一级</w:t>
            </w:r>
            <w:r>
              <w:rPr>
                <w:rFonts w:hint="eastAsia" w:ascii="仿宋" w:hAnsi="仿宋" w:eastAsia="仿宋" w:cs="宋体"/>
                <w:b/>
                <w:bCs/>
                <w:kern w:val="0"/>
                <w:sz w:val="18"/>
                <w:szCs w:val="18"/>
              </w:rPr>
              <w:br w:type="textWrapping"/>
            </w:r>
            <w:r>
              <w:rPr>
                <w:rFonts w:hint="eastAsia" w:ascii="仿宋" w:hAnsi="仿宋" w:eastAsia="仿宋" w:cs="宋体"/>
                <w:b/>
                <w:bCs/>
                <w:kern w:val="0"/>
                <w:sz w:val="18"/>
                <w:szCs w:val="18"/>
              </w:rPr>
              <w:t>指标</w:t>
            </w:r>
          </w:p>
        </w:tc>
        <w:tc>
          <w:tcPr>
            <w:tcW w:w="6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二级</w:t>
            </w:r>
            <w:r>
              <w:rPr>
                <w:rFonts w:hint="eastAsia" w:ascii="仿宋" w:hAnsi="仿宋" w:eastAsia="仿宋" w:cs="宋体"/>
                <w:b/>
                <w:bCs/>
                <w:kern w:val="0"/>
                <w:sz w:val="18"/>
                <w:szCs w:val="18"/>
              </w:rPr>
              <w:br w:type="textWrapping"/>
            </w:r>
            <w:r>
              <w:rPr>
                <w:rFonts w:hint="eastAsia" w:ascii="仿宋" w:hAnsi="仿宋" w:eastAsia="仿宋" w:cs="宋体"/>
                <w:b/>
                <w:bCs/>
                <w:kern w:val="0"/>
                <w:sz w:val="18"/>
                <w:szCs w:val="18"/>
              </w:rPr>
              <w:t>指标</w:t>
            </w:r>
          </w:p>
        </w:tc>
        <w:tc>
          <w:tcPr>
            <w:tcW w:w="6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三级指标</w:t>
            </w:r>
          </w:p>
        </w:tc>
        <w:tc>
          <w:tcPr>
            <w:tcW w:w="4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c>
          <w:tcPr>
            <w:tcW w:w="28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指标说明</w:t>
            </w:r>
          </w:p>
        </w:tc>
        <w:tc>
          <w:tcPr>
            <w:tcW w:w="28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评分标准</w:t>
            </w:r>
          </w:p>
        </w:tc>
        <w:tc>
          <w:tcPr>
            <w:tcW w:w="17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指标值计算公式和数据获取方式</w:t>
            </w: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年初目标值</w:t>
            </w:r>
          </w:p>
        </w:tc>
        <w:tc>
          <w:tcPr>
            <w:tcW w:w="11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实际完成值</w:t>
            </w:r>
          </w:p>
        </w:tc>
        <w:tc>
          <w:tcPr>
            <w:tcW w:w="4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得分</w:t>
            </w:r>
          </w:p>
        </w:tc>
        <w:tc>
          <w:tcPr>
            <w:tcW w:w="13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未完成原因分析与改进措施</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绩效指标分析与建议</w:t>
            </w:r>
          </w:p>
        </w:tc>
      </w:tr>
      <w:tr>
        <w:tblPrEx>
          <w:tblCellMar>
            <w:top w:w="0" w:type="dxa"/>
            <w:left w:w="108" w:type="dxa"/>
            <w:bottom w:w="0" w:type="dxa"/>
            <w:right w:w="108" w:type="dxa"/>
          </w:tblCellMar>
        </w:tblPrEx>
        <w:trPr>
          <w:trHeight w:val="4153" w:hRule="atLeast"/>
        </w:trPr>
        <w:tc>
          <w:tcPr>
            <w:tcW w:w="844"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投入</w:t>
            </w:r>
          </w:p>
        </w:tc>
        <w:tc>
          <w:tcPr>
            <w:tcW w:w="6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预算执行（25分）</w:t>
            </w:r>
          </w:p>
        </w:tc>
        <w:tc>
          <w:tcPr>
            <w:tcW w:w="61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支出进度率</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（5分）</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289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支出进度率=（实际支出/支出预算）×100%，用以反映和考核部门（单位）预算执行的及时性和均衡性程度。</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半年支出进度＝部门上半年实际支出/（上年结余结转+本年部门预算安排+上半年执行中追加追减）*100%。</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前三季度支出进度＝部门前三季度实际支出/（上年结余结转+本年部门预算安排+前三季度执行中追加追减）*100%。</w:t>
            </w:r>
          </w:p>
        </w:tc>
        <w:tc>
          <w:tcPr>
            <w:tcW w:w="2803"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半年进度：进度率≥45%，得2分；进度率在40%（含）和45%之间，得1分；进度率＜40%，得0分。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前三季度进度：进度率≥75%，得3分；进度率在60%（含）和75%之间，得2分；进度率＜60%，得0分。</w:t>
            </w:r>
          </w:p>
        </w:tc>
        <w:tc>
          <w:tcPr>
            <w:tcW w:w="173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半年进度：进度率≥45%     前三季度进度：进度率≥75%</w:t>
            </w:r>
          </w:p>
        </w:tc>
        <w:tc>
          <w:tcPr>
            <w:tcW w:w="80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半年进度：进度率≥45%     前三季度进度：进度率≥75%</w:t>
            </w:r>
          </w:p>
        </w:tc>
        <w:tc>
          <w:tcPr>
            <w:tcW w:w="1130"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半年进度：进度率≥45%     前三季度进度：进度率≥75%</w:t>
            </w:r>
          </w:p>
        </w:tc>
        <w:tc>
          <w:tcPr>
            <w:tcW w:w="424" w:type="dxa"/>
            <w:tcBorders>
              <w:top w:val="single" w:color="auto" w:sz="4" w:space="0"/>
              <w:left w:val="nil"/>
              <w:bottom w:val="single" w:color="auto" w:sz="4" w:space="0"/>
              <w:right w:val="single" w:color="auto" w:sz="4" w:space="0"/>
            </w:tcBorders>
            <w:vAlign w:val="center"/>
          </w:tcPr>
          <w:p>
            <w:pPr>
              <w:widowControl/>
              <w:jc w:val="right"/>
              <w:rPr>
                <w:rFonts w:ascii="仿宋" w:hAnsi="仿宋" w:eastAsia="仿宋" w:cs="宋体"/>
                <w:kern w:val="0"/>
                <w:sz w:val="18"/>
                <w:szCs w:val="18"/>
              </w:rPr>
            </w:pPr>
            <w:r>
              <w:rPr>
                <w:rFonts w:hint="eastAsia" w:ascii="仿宋" w:hAnsi="仿宋" w:eastAsia="仿宋" w:cs="宋体"/>
                <w:kern w:val="0"/>
                <w:sz w:val="18"/>
                <w:szCs w:val="18"/>
              </w:rPr>
              <w:t>5</w:t>
            </w:r>
          </w:p>
        </w:tc>
        <w:tc>
          <w:tcPr>
            <w:tcW w:w="137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1957"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614"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预算编制准确率（5分）</w:t>
            </w:r>
          </w:p>
        </w:tc>
        <w:tc>
          <w:tcPr>
            <w:tcW w:w="415"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2896"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部门预算中除财政拨款外的其他收入预算与决算差异率。</w:t>
            </w:r>
            <w:r>
              <w:rPr>
                <w:rFonts w:hint="eastAsia" w:ascii="仿宋" w:hAnsi="仿宋" w:eastAsia="仿宋" w:cs="宋体"/>
                <w:kern w:val="0"/>
                <w:sz w:val="18"/>
                <w:szCs w:val="18"/>
              </w:rPr>
              <w:br w:type="textWrapping"/>
            </w:r>
            <w:r>
              <w:rPr>
                <w:rFonts w:hint="eastAsia" w:ascii="仿宋" w:hAnsi="仿宋" w:eastAsia="仿宋" w:cs="宋体"/>
                <w:kern w:val="0"/>
                <w:sz w:val="18"/>
                <w:szCs w:val="18"/>
              </w:rPr>
              <w:t>预算编制准确率＝其他收入决算数/其他收入预算数×100%-100%。</w:t>
            </w:r>
          </w:p>
        </w:tc>
        <w:tc>
          <w:tcPr>
            <w:tcW w:w="2803"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预算编制准确率≤20%，得5分。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预算编制准确率在20%和40%（含）之间，得3分。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预算编制准确率＞40%，得0分。</w:t>
            </w:r>
          </w:p>
        </w:tc>
        <w:tc>
          <w:tcPr>
            <w:tcW w:w="1735"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0%=（0/0）*100%-100%</w:t>
            </w:r>
          </w:p>
        </w:tc>
        <w:tc>
          <w:tcPr>
            <w:tcW w:w="806"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预算编制准确率≤20%</w:t>
            </w:r>
          </w:p>
        </w:tc>
        <w:tc>
          <w:tcPr>
            <w:tcW w:w="1130"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18"/>
                <w:szCs w:val="18"/>
              </w:rPr>
            </w:pPr>
            <w:r>
              <w:rPr>
                <w:rFonts w:hint="eastAsia" w:ascii="仿宋" w:hAnsi="仿宋" w:eastAsia="仿宋" w:cs="宋体"/>
                <w:kern w:val="0"/>
                <w:sz w:val="18"/>
                <w:szCs w:val="18"/>
              </w:rPr>
              <w:t>0</w:t>
            </w:r>
          </w:p>
        </w:tc>
        <w:tc>
          <w:tcPr>
            <w:tcW w:w="424" w:type="dxa"/>
            <w:tcBorders>
              <w:top w:val="nil"/>
              <w:left w:val="nil"/>
              <w:bottom w:val="single" w:color="auto" w:sz="4" w:space="0"/>
              <w:right w:val="single" w:color="auto" w:sz="4" w:space="0"/>
            </w:tcBorders>
            <w:vAlign w:val="center"/>
          </w:tcPr>
          <w:p>
            <w:pPr>
              <w:widowControl/>
              <w:jc w:val="right"/>
              <w:rPr>
                <w:rFonts w:ascii="仿宋" w:hAnsi="仿宋" w:eastAsia="仿宋" w:cs="宋体"/>
                <w:kern w:val="0"/>
                <w:sz w:val="18"/>
                <w:szCs w:val="18"/>
              </w:rPr>
            </w:pPr>
            <w:r>
              <w:rPr>
                <w:rFonts w:hint="eastAsia" w:ascii="仿宋" w:hAnsi="仿宋" w:eastAsia="仿宋" w:cs="宋体"/>
                <w:kern w:val="0"/>
                <w:sz w:val="18"/>
                <w:szCs w:val="18"/>
              </w:rPr>
              <w:t>5</w:t>
            </w:r>
          </w:p>
        </w:tc>
        <w:tc>
          <w:tcPr>
            <w:tcW w:w="1370"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1416"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3679" w:hRule="atLeast"/>
        </w:trPr>
        <w:tc>
          <w:tcPr>
            <w:tcW w:w="844"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过程</w:t>
            </w:r>
          </w:p>
        </w:tc>
        <w:tc>
          <w:tcPr>
            <w:tcW w:w="62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预算管理（15分）</w:t>
            </w:r>
          </w:p>
        </w:tc>
        <w:tc>
          <w:tcPr>
            <w:tcW w:w="6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“三公经费”控制率</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（5分）</w:t>
            </w:r>
          </w:p>
        </w:tc>
        <w:tc>
          <w:tcPr>
            <w:tcW w:w="4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28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“三公经费”控制率=（“三公经费”实际支出数/“三公经费”预算安排数）×100%，用以反映和考核部门（单位）对“三公经费”的实际控制程度。</w:t>
            </w:r>
          </w:p>
        </w:tc>
        <w:tc>
          <w:tcPr>
            <w:tcW w:w="280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三公经费控制率 ≤100%，得5分，每增加0.1个百分点扣0.5分，扣完为止。</w:t>
            </w:r>
          </w:p>
        </w:tc>
        <w:tc>
          <w:tcPr>
            <w:tcW w:w="17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xml:space="preserve">153.97%=（31.24/20.29）*100%    获取方式：2019年决算   </w:t>
            </w: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三公经费控制率 ≤100%</w:t>
            </w:r>
          </w:p>
        </w:tc>
        <w:tc>
          <w:tcPr>
            <w:tcW w:w="1130" w:type="dxa"/>
            <w:tcBorders>
              <w:top w:val="single" w:color="auto" w:sz="4" w:space="0"/>
              <w:left w:val="single" w:color="auto" w:sz="4" w:space="0"/>
              <w:bottom w:val="single" w:color="auto" w:sz="4" w:space="0"/>
              <w:right w:val="single" w:color="auto" w:sz="4" w:space="0"/>
            </w:tcBorders>
            <w:vAlign w:val="center"/>
          </w:tcPr>
          <w:p>
            <w:pPr>
              <w:widowControl/>
              <w:jc w:val="right"/>
              <w:rPr>
                <w:rFonts w:ascii="仿宋" w:hAnsi="仿宋" w:eastAsia="仿宋" w:cs="宋体"/>
                <w:kern w:val="0"/>
                <w:sz w:val="18"/>
                <w:szCs w:val="18"/>
              </w:rPr>
            </w:pPr>
            <w:r>
              <w:rPr>
                <w:rFonts w:hint="eastAsia" w:ascii="仿宋" w:hAnsi="仿宋" w:eastAsia="仿宋" w:cs="宋体"/>
                <w:kern w:val="0"/>
                <w:sz w:val="18"/>
                <w:szCs w:val="18"/>
              </w:rPr>
              <w:t>161.2%</w:t>
            </w:r>
          </w:p>
        </w:tc>
        <w:tc>
          <w:tcPr>
            <w:tcW w:w="42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0</w:t>
            </w:r>
          </w:p>
        </w:tc>
        <w:tc>
          <w:tcPr>
            <w:tcW w:w="137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c>
          <w:tcPr>
            <w:tcW w:w="141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413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3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61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资产管理规范性</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（5分）</w:t>
            </w:r>
          </w:p>
        </w:tc>
        <w:tc>
          <w:tcPr>
            <w:tcW w:w="4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289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部门（单位）资产管理是否规范，用以反映和考核部门（单位）资产管理情况。</w:t>
            </w:r>
            <w:r>
              <w:rPr>
                <w:rFonts w:hint="eastAsia" w:ascii="仿宋" w:hAnsi="仿宋" w:eastAsia="仿宋" w:cs="宋体"/>
                <w:kern w:val="0"/>
                <w:sz w:val="18"/>
                <w:szCs w:val="18"/>
              </w:rPr>
              <w:br w:type="textWrapping"/>
            </w:r>
            <w:r>
              <w:rPr>
                <w:rFonts w:hint="eastAsia" w:ascii="仿宋" w:hAnsi="仿宋" w:eastAsia="仿宋" w:cs="宋体"/>
                <w:kern w:val="0"/>
                <w:sz w:val="18"/>
                <w:szCs w:val="18"/>
              </w:rPr>
              <w:t>1.新增资产配置按预算执行。</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2.资产有偿使用、处置按规定程序审批。</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3.资产收益及时、足额上缴财政。</w:t>
            </w:r>
          </w:p>
        </w:tc>
        <w:tc>
          <w:tcPr>
            <w:tcW w:w="2803"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全部符合5分，有1项不符扣2分,扣完为止。</w:t>
            </w:r>
          </w:p>
        </w:tc>
        <w:tc>
          <w:tcPr>
            <w:tcW w:w="1735"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以上三项全部符合</w:t>
            </w:r>
          </w:p>
        </w:tc>
        <w:tc>
          <w:tcPr>
            <w:tcW w:w="806"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全部符合</w:t>
            </w:r>
          </w:p>
        </w:tc>
        <w:tc>
          <w:tcPr>
            <w:tcW w:w="113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全部符合</w:t>
            </w:r>
          </w:p>
        </w:tc>
        <w:tc>
          <w:tcPr>
            <w:tcW w:w="42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5</w:t>
            </w:r>
          </w:p>
        </w:tc>
        <w:tc>
          <w:tcPr>
            <w:tcW w:w="1370"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141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726" w:hRule="atLeast"/>
        </w:trPr>
        <w:tc>
          <w:tcPr>
            <w:tcW w:w="8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一级</w:t>
            </w:r>
            <w:r>
              <w:rPr>
                <w:rFonts w:hint="eastAsia" w:ascii="仿宋" w:hAnsi="仿宋" w:eastAsia="仿宋" w:cs="宋体"/>
                <w:b/>
                <w:bCs/>
                <w:kern w:val="0"/>
                <w:sz w:val="18"/>
                <w:szCs w:val="18"/>
              </w:rPr>
              <w:br w:type="textWrapping"/>
            </w:r>
            <w:r>
              <w:rPr>
                <w:rFonts w:hint="eastAsia" w:ascii="仿宋" w:hAnsi="仿宋" w:eastAsia="仿宋" w:cs="宋体"/>
                <w:b/>
                <w:bCs/>
                <w:kern w:val="0"/>
                <w:sz w:val="18"/>
                <w:szCs w:val="18"/>
              </w:rPr>
              <w:t>指标</w:t>
            </w:r>
          </w:p>
        </w:tc>
        <w:tc>
          <w:tcPr>
            <w:tcW w:w="62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二级</w:t>
            </w:r>
            <w:r>
              <w:rPr>
                <w:rFonts w:hint="eastAsia" w:ascii="仿宋" w:hAnsi="仿宋" w:eastAsia="仿宋" w:cs="宋体"/>
                <w:b/>
                <w:bCs/>
                <w:kern w:val="0"/>
                <w:sz w:val="18"/>
                <w:szCs w:val="18"/>
              </w:rPr>
              <w:br w:type="textWrapping"/>
            </w:r>
            <w:r>
              <w:rPr>
                <w:rFonts w:hint="eastAsia" w:ascii="仿宋" w:hAnsi="仿宋" w:eastAsia="仿宋" w:cs="宋体"/>
                <w:b/>
                <w:bCs/>
                <w:kern w:val="0"/>
                <w:sz w:val="18"/>
                <w:szCs w:val="18"/>
              </w:rPr>
              <w:t>指标</w:t>
            </w:r>
          </w:p>
        </w:tc>
        <w:tc>
          <w:tcPr>
            <w:tcW w:w="61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三级指标</w:t>
            </w:r>
          </w:p>
        </w:tc>
        <w:tc>
          <w:tcPr>
            <w:tcW w:w="41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分值</w:t>
            </w:r>
          </w:p>
        </w:tc>
        <w:tc>
          <w:tcPr>
            <w:tcW w:w="289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指标说明</w:t>
            </w:r>
          </w:p>
        </w:tc>
        <w:tc>
          <w:tcPr>
            <w:tcW w:w="280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评分标准</w:t>
            </w:r>
          </w:p>
        </w:tc>
        <w:tc>
          <w:tcPr>
            <w:tcW w:w="173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指标值计算公式和数据获取方式</w:t>
            </w:r>
          </w:p>
        </w:tc>
        <w:tc>
          <w:tcPr>
            <w:tcW w:w="80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年初目标值</w:t>
            </w:r>
          </w:p>
        </w:tc>
        <w:tc>
          <w:tcPr>
            <w:tcW w:w="113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实际完成值</w:t>
            </w:r>
          </w:p>
        </w:tc>
        <w:tc>
          <w:tcPr>
            <w:tcW w:w="42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得分</w:t>
            </w:r>
          </w:p>
        </w:tc>
        <w:tc>
          <w:tcPr>
            <w:tcW w:w="137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未完成原因分析与改进措施</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b/>
                <w:bCs/>
                <w:kern w:val="0"/>
                <w:sz w:val="18"/>
                <w:szCs w:val="18"/>
              </w:rPr>
            </w:pPr>
            <w:r>
              <w:rPr>
                <w:rFonts w:hint="eastAsia" w:ascii="仿宋" w:hAnsi="仿宋" w:eastAsia="仿宋" w:cs="宋体"/>
                <w:b/>
                <w:bCs/>
                <w:kern w:val="0"/>
                <w:sz w:val="18"/>
                <w:szCs w:val="18"/>
              </w:rPr>
              <w:t>绩效指标分析与建议</w:t>
            </w:r>
          </w:p>
        </w:tc>
      </w:tr>
      <w:tr>
        <w:tblPrEx>
          <w:tblCellMar>
            <w:top w:w="0" w:type="dxa"/>
            <w:left w:w="108" w:type="dxa"/>
            <w:bottom w:w="0" w:type="dxa"/>
            <w:right w:w="108" w:type="dxa"/>
          </w:tblCellMar>
        </w:tblPrEx>
        <w:trPr>
          <w:trHeight w:val="2630" w:hRule="atLeast"/>
        </w:trPr>
        <w:tc>
          <w:tcPr>
            <w:tcW w:w="844" w:type="dxa"/>
            <w:tcBorders>
              <w:top w:val="nil"/>
              <w:left w:val="single" w:color="auto" w:sz="4" w:space="0"/>
              <w:bottom w:val="single" w:color="auto" w:sz="4" w:space="0"/>
              <w:right w:val="single" w:color="auto" w:sz="4" w:space="0"/>
            </w:tcBorders>
            <w:noWrap/>
            <w:textDirection w:val="tbRlV"/>
            <w:vAlign w:val="center"/>
          </w:tcPr>
          <w:p>
            <w:pPr>
              <w:widowControl/>
              <w:spacing w:line="200" w:lineRule="exact"/>
              <w:jc w:val="center"/>
              <w:rPr>
                <w:rFonts w:ascii="仿宋" w:hAnsi="仿宋" w:eastAsia="仿宋" w:cs="宋体"/>
                <w:kern w:val="0"/>
                <w:sz w:val="18"/>
                <w:szCs w:val="18"/>
              </w:rPr>
            </w:pPr>
            <w:r>
              <w:rPr>
                <w:rFonts w:hint="eastAsia" w:ascii="仿宋" w:hAnsi="仿宋" w:eastAsia="仿宋" w:cs="宋体"/>
                <w:kern w:val="0"/>
                <w:sz w:val="18"/>
                <w:szCs w:val="18"/>
              </w:rPr>
              <w:t>过程</w:t>
            </w:r>
          </w:p>
        </w:tc>
        <w:tc>
          <w:tcPr>
            <w:tcW w:w="628"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预算管理（15分）</w:t>
            </w:r>
          </w:p>
        </w:tc>
        <w:tc>
          <w:tcPr>
            <w:tcW w:w="614"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资金使用合规性</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（5分）</w:t>
            </w:r>
          </w:p>
        </w:tc>
        <w:tc>
          <w:tcPr>
            <w:tcW w:w="415" w:type="dxa"/>
            <w:tcBorders>
              <w:top w:val="nil"/>
              <w:left w:val="nil"/>
              <w:bottom w:val="single" w:color="auto" w:sz="4" w:space="0"/>
              <w:right w:val="single" w:color="auto" w:sz="4" w:space="0"/>
            </w:tcBorders>
            <w:vAlign w:val="center"/>
          </w:tcPr>
          <w:p>
            <w:pPr>
              <w:widowControl/>
              <w:spacing w:line="200" w:lineRule="exact"/>
              <w:jc w:val="center"/>
              <w:rPr>
                <w:rFonts w:ascii="仿宋" w:hAnsi="仿宋" w:eastAsia="仿宋" w:cs="宋体"/>
                <w:kern w:val="0"/>
                <w:sz w:val="18"/>
                <w:szCs w:val="18"/>
              </w:rPr>
            </w:pPr>
            <w:r>
              <w:rPr>
                <w:rFonts w:hint="eastAsia" w:ascii="仿宋" w:hAnsi="仿宋" w:eastAsia="仿宋" w:cs="宋体"/>
                <w:kern w:val="0"/>
                <w:sz w:val="18"/>
                <w:szCs w:val="18"/>
              </w:rPr>
              <w:t>5</w:t>
            </w:r>
          </w:p>
        </w:tc>
        <w:tc>
          <w:tcPr>
            <w:tcW w:w="2896"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部门（单位）使用预算资金是否符合相关的预算财务管理制度的规定，用以反映和考核部门（单位）预算资金的规范运行情况。</w:t>
            </w:r>
            <w:r>
              <w:rPr>
                <w:rFonts w:hint="eastAsia" w:ascii="仿宋" w:hAnsi="仿宋" w:eastAsia="仿宋" w:cs="宋体"/>
                <w:kern w:val="0"/>
                <w:sz w:val="18"/>
                <w:szCs w:val="18"/>
              </w:rPr>
              <w:br w:type="textWrapping"/>
            </w:r>
            <w:r>
              <w:rPr>
                <w:rFonts w:hint="eastAsia" w:ascii="仿宋" w:hAnsi="仿宋" w:eastAsia="仿宋" w:cs="宋体"/>
                <w:kern w:val="0"/>
                <w:sz w:val="18"/>
                <w:szCs w:val="18"/>
              </w:rPr>
              <w:t>1.符合国家财经法规和财务管理制度规定以及有关专项资金管理办法的规定；</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2.资金的拨付有完整的审批程序和手续；</w:t>
            </w:r>
            <w:r>
              <w:rPr>
                <w:rFonts w:hint="eastAsia" w:ascii="仿宋" w:hAnsi="仿宋" w:eastAsia="仿宋" w:cs="宋体"/>
                <w:kern w:val="0"/>
                <w:sz w:val="18"/>
                <w:szCs w:val="18"/>
              </w:rPr>
              <w:br w:type="textWrapping"/>
            </w:r>
            <w:r>
              <w:rPr>
                <w:rFonts w:hint="eastAsia" w:ascii="仿宋" w:hAnsi="仿宋" w:eastAsia="仿宋" w:cs="宋体"/>
                <w:kern w:val="0"/>
                <w:sz w:val="18"/>
                <w:szCs w:val="18"/>
              </w:rPr>
              <w:t>3.重大项目开支经过评估论证；</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4.符合部门预算批复的用途；</w:t>
            </w:r>
            <w:r>
              <w:rPr>
                <w:rFonts w:hint="eastAsia" w:ascii="仿宋" w:hAnsi="仿宋" w:eastAsia="仿宋" w:cs="宋体"/>
                <w:kern w:val="0"/>
                <w:sz w:val="18"/>
                <w:szCs w:val="18"/>
              </w:rPr>
              <w:br w:type="textWrapping"/>
            </w:r>
            <w:r>
              <w:rPr>
                <w:rFonts w:hint="eastAsia" w:ascii="仿宋" w:hAnsi="仿宋" w:eastAsia="仿宋" w:cs="宋体"/>
                <w:kern w:val="0"/>
                <w:sz w:val="18"/>
                <w:szCs w:val="18"/>
              </w:rPr>
              <w:t>5.不存在截留、挤占、挪用、虚列支出等情况。</w:t>
            </w:r>
          </w:p>
        </w:tc>
        <w:tc>
          <w:tcPr>
            <w:tcW w:w="2803"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全部符合5分,有1项不符扣2分。</w:t>
            </w:r>
          </w:p>
        </w:tc>
        <w:tc>
          <w:tcPr>
            <w:tcW w:w="1735"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以上五项全部符合</w:t>
            </w:r>
          </w:p>
        </w:tc>
        <w:tc>
          <w:tcPr>
            <w:tcW w:w="806"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全部符合</w:t>
            </w:r>
          </w:p>
        </w:tc>
        <w:tc>
          <w:tcPr>
            <w:tcW w:w="1130"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全部符合</w:t>
            </w:r>
          </w:p>
        </w:tc>
        <w:tc>
          <w:tcPr>
            <w:tcW w:w="424"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5</w:t>
            </w:r>
          </w:p>
        </w:tc>
        <w:tc>
          <w:tcPr>
            <w:tcW w:w="1370" w:type="dxa"/>
            <w:tcBorders>
              <w:top w:val="nil"/>
              <w:left w:val="nil"/>
              <w:bottom w:val="single" w:color="auto" w:sz="4" w:space="0"/>
              <w:right w:val="single" w:color="auto" w:sz="4" w:space="0"/>
            </w:tcBorders>
            <w:noWrap/>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1416" w:type="dxa"/>
            <w:tcBorders>
              <w:top w:val="nil"/>
              <w:left w:val="nil"/>
              <w:bottom w:val="single" w:color="auto" w:sz="4" w:space="0"/>
              <w:right w:val="single" w:color="auto" w:sz="4" w:space="0"/>
            </w:tcBorders>
            <w:noWrap/>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1493" w:hRule="atLeast"/>
        </w:trPr>
        <w:tc>
          <w:tcPr>
            <w:tcW w:w="844" w:type="dxa"/>
            <w:vMerge w:val="restart"/>
            <w:tcBorders>
              <w:top w:val="nil"/>
              <w:left w:val="single" w:color="auto" w:sz="4" w:space="0"/>
              <w:bottom w:val="single" w:color="auto" w:sz="4" w:space="0"/>
              <w:right w:val="single" w:color="auto" w:sz="4" w:space="0"/>
            </w:tcBorders>
            <w:noWrap/>
            <w:textDirection w:val="tbRlV"/>
            <w:vAlign w:val="center"/>
          </w:tcPr>
          <w:p>
            <w:pPr>
              <w:widowControl/>
              <w:spacing w:line="200" w:lineRule="exact"/>
              <w:jc w:val="center"/>
              <w:rPr>
                <w:rFonts w:ascii="仿宋" w:hAnsi="仿宋" w:eastAsia="仿宋" w:cs="宋体"/>
                <w:kern w:val="0"/>
                <w:sz w:val="18"/>
                <w:szCs w:val="18"/>
              </w:rPr>
            </w:pPr>
            <w:r>
              <w:rPr>
                <w:rFonts w:hint="eastAsia" w:ascii="仿宋" w:hAnsi="仿宋" w:eastAsia="仿宋" w:cs="宋体"/>
                <w:kern w:val="0"/>
                <w:sz w:val="18"/>
                <w:szCs w:val="18"/>
              </w:rPr>
              <w:t>效果</w:t>
            </w:r>
          </w:p>
        </w:tc>
        <w:tc>
          <w:tcPr>
            <w:tcW w:w="628" w:type="dxa"/>
            <w:vMerge w:val="restart"/>
            <w:tcBorders>
              <w:top w:val="nil"/>
              <w:left w:val="single" w:color="auto" w:sz="4" w:space="0"/>
              <w:bottom w:val="single" w:color="auto" w:sz="4" w:space="0"/>
              <w:right w:val="single" w:color="auto" w:sz="4" w:space="0"/>
            </w:tcBorders>
            <w:vAlign w:val="center"/>
          </w:tcPr>
          <w:p>
            <w:pPr>
              <w:widowControl/>
              <w:spacing w:line="200" w:lineRule="exact"/>
              <w:jc w:val="center"/>
              <w:rPr>
                <w:rFonts w:ascii="仿宋" w:hAnsi="仿宋" w:eastAsia="仿宋" w:cs="宋体"/>
                <w:kern w:val="0"/>
                <w:sz w:val="18"/>
                <w:szCs w:val="18"/>
              </w:rPr>
            </w:pPr>
            <w:r>
              <w:rPr>
                <w:rFonts w:hint="eastAsia" w:ascii="仿宋" w:hAnsi="仿宋" w:eastAsia="仿宋" w:cs="宋体"/>
                <w:kern w:val="0"/>
                <w:sz w:val="18"/>
                <w:szCs w:val="18"/>
              </w:rPr>
              <w:t>履职尽责（60分）</w:t>
            </w:r>
          </w:p>
        </w:tc>
        <w:tc>
          <w:tcPr>
            <w:tcW w:w="614"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项目产出</w:t>
            </w:r>
            <w:r>
              <w:rPr>
                <w:rFonts w:hint="eastAsia" w:ascii="仿宋" w:hAnsi="仿宋" w:eastAsia="仿宋" w:cs="宋体"/>
                <w:kern w:val="0"/>
                <w:sz w:val="18"/>
                <w:szCs w:val="18"/>
              </w:rPr>
              <w:br w:type="textWrapping"/>
            </w:r>
            <w:r>
              <w:rPr>
                <w:rFonts w:hint="eastAsia" w:ascii="仿宋" w:hAnsi="仿宋" w:eastAsia="仿宋" w:cs="宋体"/>
                <w:kern w:val="0"/>
                <w:sz w:val="18"/>
                <w:szCs w:val="18"/>
              </w:rPr>
              <w:t>（40分）</w:t>
            </w:r>
          </w:p>
        </w:tc>
        <w:tc>
          <w:tcPr>
            <w:tcW w:w="415" w:type="dxa"/>
            <w:tcBorders>
              <w:top w:val="nil"/>
              <w:left w:val="nil"/>
              <w:bottom w:val="single" w:color="auto" w:sz="4" w:space="0"/>
              <w:right w:val="single" w:color="auto" w:sz="4" w:space="0"/>
            </w:tcBorders>
            <w:vAlign w:val="center"/>
          </w:tcPr>
          <w:p>
            <w:pPr>
              <w:widowControl/>
              <w:spacing w:line="200" w:lineRule="exact"/>
              <w:jc w:val="center"/>
              <w:rPr>
                <w:rFonts w:ascii="仿宋" w:hAnsi="仿宋" w:eastAsia="仿宋" w:cs="宋体"/>
                <w:kern w:val="0"/>
                <w:sz w:val="18"/>
                <w:szCs w:val="18"/>
              </w:rPr>
            </w:pPr>
            <w:r>
              <w:rPr>
                <w:rFonts w:hint="eastAsia" w:ascii="仿宋" w:hAnsi="仿宋" w:eastAsia="仿宋" w:cs="宋体"/>
                <w:kern w:val="0"/>
                <w:sz w:val="18"/>
                <w:szCs w:val="18"/>
              </w:rPr>
              <w:t>40</w:t>
            </w:r>
          </w:p>
        </w:tc>
        <w:tc>
          <w:tcPr>
            <w:tcW w:w="2896"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2803" w:type="dxa"/>
            <w:vMerge w:val="restart"/>
            <w:tcBorders>
              <w:top w:val="nil"/>
              <w:left w:val="single" w:color="auto" w:sz="4" w:space="0"/>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1.若为定性指标，根据“三档”原则分别按照指标分值的100-80%（含）、80-50%（含）、50-10%来记分；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735"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都按要求完成</w:t>
            </w:r>
          </w:p>
        </w:tc>
        <w:tc>
          <w:tcPr>
            <w:tcW w:w="806"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全部符合</w:t>
            </w:r>
          </w:p>
        </w:tc>
        <w:tc>
          <w:tcPr>
            <w:tcW w:w="1130"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全部符合</w:t>
            </w:r>
          </w:p>
        </w:tc>
        <w:tc>
          <w:tcPr>
            <w:tcW w:w="424"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40</w:t>
            </w:r>
          </w:p>
        </w:tc>
        <w:tc>
          <w:tcPr>
            <w:tcW w:w="1370" w:type="dxa"/>
            <w:tcBorders>
              <w:top w:val="nil"/>
              <w:left w:val="nil"/>
              <w:bottom w:val="single" w:color="auto" w:sz="4" w:space="0"/>
              <w:right w:val="single" w:color="auto" w:sz="4" w:space="0"/>
            </w:tcBorders>
            <w:noWrap/>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1416" w:type="dxa"/>
            <w:tcBorders>
              <w:top w:val="nil"/>
              <w:left w:val="nil"/>
              <w:bottom w:val="single" w:color="auto" w:sz="4" w:space="0"/>
              <w:right w:val="single" w:color="auto" w:sz="4" w:space="0"/>
            </w:tcBorders>
            <w:noWrap/>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1493" w:hRule="atLeast"/>
        </w:trPr>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614"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项目效益</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（20分）</w:t>
            </w:r>
          </w:p>
        </w:tc>
        <w:tc>
          <w:tcPr>
            <w:tcW w:w="415" w:type="dxa"/>
            <w:tcBorders>
              <w:top w:val="nil"/>
              <w:left w:val="nil"/>
              <w:bottom w:val="single" w:color="auto" w:sz="4" w:space="0"/>
              <w:right w:val="single" w:color="auto" w:sz="4" w:space="0"/>
            </w:tcBorders>
            <w:vAlign w:val="center"/>
          </w:tcPr>
          <w:p>
            <w:pPr>
              <w:widowControl/>
              <w:spacing w:line="200" w:lineRule="exact"/>
              <w:jc w:val="center"/>
              <w:rPr>
                <w:rFonts w:ascii="仿宋" w:hAnsi="仿宋" w:eastAsia="仿宋" w:cs="宋体"/>
                <w:kern w:val="0"/>
                <w:sz w:val="18"/>
                <w:szCs w:val="18"/>
              </w:rPr>
            </w:pPr>
            <w:r>
              <w:rPr>
                <w:rFonts w:hint="eastAsia" w:ascii="仿宋" w:hAnsi="仿宋" w:eastAsia="仿宋" w:cs="宋体"/>
                <w:kern w:val="0"/>
                <w:sz w:val="18"/>
                <w:szCs w:val="18"/>
              </w:rPr>
              <w:t>20</w:t>
            </w:r>
          </w:p>
        </w:tc>
        <w:tc>
          <w:tcPr>
            <w:tcW w:w="2896"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3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18"/>
                <w:szCs w:val="18"/>
              </w:rPr>
            </w:pPr>
          </w:p>
        </w:tc>
        <w:tc>
          <w:tcPr>
            <w:tcW w:w="1735"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都按要求完成</w:t>
            </w:r>
          </w:p>
        </w:tc>
        <w:tc>
          <w:tcPr>
            <w:tcW w:w="806"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全部符合</w:t>
            </w:r>
          </w:p>
        </w:tc>
        <w:tc>
          <w:tcPr>
            <w:tcW w:w="1130"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全部符合</w:t>
            </w:r>
          </w:p>
        </w:tc>
        <w:tc>
          <w:tcPr>
            <w:tcW w:w="424" w:type="dxa"/>
            <w:tcBorders>
              <w:top w:val="nil"/>
              <w:left w:val="nil"/>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20</w:t>
            </w:r>
          </w:p>
        </w:tc>
        <w:tc>
          <w:tcPr>
            <w:tcW w:w="1370" w:type="dxa"/>
            <w:tcBorders>
              <w:top w:val="nil"/>
              <w:left w:val="nil"/>
              <w:bottom w:val="single" w:color="auto" w:sz="4" w:space="0"/>
              <w:right w:val="single" w:color="auto" w:sz="4" w:space="0"/>
            </w:tcBorders>
            <w:noWrap/>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　</w:t>
            </w:r>
          </w:p>
        </w:tc>
        <w:tc>
          <w:tcPr>
            <w:tcW w:w="1416" w:type="dxa"/>
            <w:tcBorders>
              <w:top w:val="nil"/>
              <w:left w:val="nil"/>
              <w:bottom w:val="single" w:color="auto" w:sz="4" w:space="0"/>
              <w:right w:val="single" w:color="auto" w:sz="4" w:space="0"/>
            </w:tcBorders>
            <w:noWrap/>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　</w:t>
            </w:r>
          </w:p>
        </w:tc>
      </w:tr>
      <w:tr>
        <w:tblPrEx>
          <w:tblCellMar>
            <w:top w:w="0" w:type="dxa"/>
            <w:left w:w="108" w:type="dxa"/>
            <w:bottom w:w="0" w:type="dxa"/>
            <w:right w:w="108" w:type="dxa"/>
          </w:tblCellMar>
        </w:tblPrEx>
        <w:trPr>
          <w:trHeight w:val="947" w:hRule="atLeast"/>
        </w:trPr>
        <w:tc>
          <w:tcPr>
            <w:tcW w:w="15081" w:type="dxa"/>
            <w:gridSpan w:val="12"/>
            <w:tcBorders>
              <w:top w:val="single" w:color="auto" w:sz="4" w:space="0"/>
              <w:left w:val="single" w:color="auto" w:sz="4" w:space="0"/>
              <w:bottom w:val="single" w:color="auto" w:sz="4" w:space="0"/>
              <w:right w:val="single" w:color="auto" w:sz="4" w:space="0"/>
            </w:tcBorders>
            <w:vAlign w:val="center"/>
          </w:tcPr>
          <w:p>
            <w:pPr>
              <w:widowControl/>
              <w:spacing w:line="200" w:lineRule="exact"/>
              <w:jc w:val="left"/>
              <w:rPr>
                <w:rFonts w:ascii="仿宋" w:hAnsi="仿宋" w:eastAsia="仿宋" w:cs="宋体"/>
                <w:kern w:val="0"/>
                <w:sz w:val="18"/>
                <w:szCs w:val="18"/>
              </w:rPr>
            </w:pPr>
            <w:r>
              <w:rPr>
                <w:rFonts w:hint="eastAsia" w:ascii="仿宋" w:hAnsi="仿宋" w:eastAsia="仿宋" w:cs="宋体"/>
                <w:kern w:val="0"/>
                <w:sz w:val="18"/>
                <w:szCs w:val="18"/>
              </w:rPr>
              <w:t>备注：</w:t>
            </w:r>
            <w:r>
              <w:rPr>
                <w:rFonts w:hint="eastAsia" w:ascii="仿宋" w:hAnsi="仿宋" w:eastAsia="仿宋" w:cs="宋体"/>
                <w:kern w:val="0"/>
                <w:sz w:val="18"/>
                <w:szCs w:val="18"/>
              </w:rPr>
              <w:br w:type="textWrapping"/>
            </w:r>
            <w:r>
              <w:rPr>
                <w:rFonts w:hint="eastAsia" w:ascii="仿宋" w:hAnsi="仿宋" w:eastAsia="仿宋" w:cs="宋体"/>
                <w:kern w:val="0"/>
                <w:sz w:val="18"/>
                <w:szCs w:val="18"/>
              </w:rPr>
              <w:t>1.“项目产出”和“项目效果”直接细化成部门年初绩效目标中的指标，并根据重要程度赋权。</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pPr>
        <w:widowControl/>
        <w:jc w:val="left"/>
        <w:rPr>
          <w:rFonts w:ascii="仿宋" w:hAnsi="仿宋" w:eastAsia="仿宋" w:cs="仿宋_GB2312"/>
          <w:color w:val="000000"/>
          <w:kern w:val="0"/>
          <w:sz w:val="18"/>
          <w:szCs w:val="18"/>
        </w:rPr>
      </w:pPr>
    </w:p>
    <w:p>
      <w:pPr>
        <w:widowControl/>
        <w:jc w:val="left"/>
        <w:rPr>
          <w:rFonts w:ascii="仿宋" w:hAnsi="仿宋" w:eastAsia="仿宋" w:cs="仿宋_GB2312"/>
          <w:color w:val="000000"/>
          <w:kern w:val="0"/>
          <w:sz w:val="18"/>
          <w:szCs w:val="18"/>
        </w:rPr>
      </w:pPr>
    </w:p>
    <w:p>
      <w:pPr>
        <w:widowControl/>
        <w:jc w:val="left"/>
        <w:rPr>
          <w:rFonts w:ascii="黑体" w:hAnsi="黑体" w:eastAsia="黑体"/>
          <w:color w:val="000000"/>
          <w:kern w:val="0"/>
          <w:szCs w:val="32"/>
        </w:rPr>
        <w:sectPr>
          <w:pgSz w:w="16838" w:h="11906" w:orient="landscape"/>
          <w:pgMar w:top="1800" w:right="1440" w:bottom="1800" w:left="1440" w:header="851" w:footer="992" w:gutter="0"/>
          <w:cols w:space="425" w:num="1"/>
          <w:docGrid w:type="lines" w:linePitch="312" w:charSpace="0"/>
        </w:sectPr>
      </w:pPr>
      <w:bookmarkStart w:id="0" w:name="_1662907696"/>
      <w:bookmarkEnd w:id="0"/>
    </w:p>
    <w:p>
      <w:pPr>
        <w:jc w:val="center"/>
        <w:rPr>
          <w:rFonts w:ascii="仿宋" w:hAnsi="仿宋" w:eastAsia="仿宋"/>
          <w:color w:val="000000"/>
          <w:kern w:val="0"/>
          <w:szCs w:val="32"/>
        </w:rPr>
      </w:pPr>
      <w:r>
        <w:rPr>
          <w:rFonts w:hint="eastAsia" w:ascii="仿宋" w:hAnsi="仿宋" w:eastAsia="仿宋"/>
          <w:color w:val="000000"/>
          <w:kern w:val="0"/>
          <w:szCs w:val="32"/>
        </w:rPr>
        <w:t>第四部分专业名词解释</w:t>
      </w:r>
    </w:p>
    <w:p>
      <w:pPr>
        <w:jc w:val="center"/>
        <w:rPr>
          <w:rFonts w:ascii="仿宋" w:hAnsi="仿宋" w:eastAsia="仿宋"/>
          <w:color w:val="000000"/>
          <w:kern w:val="0"/>
          <w:szCs w:val="32"/>
        </w:rPr>
      </w:pPr>
    </w:p>
    <w:p>
      <w:pPr>
        <w:spacing w:line="560" w:lineRule="exact"/>
        <w:ind w:firstLine="643" w:firstLineChars="200"/>
        <w:rPr>
          <w:rFonts w:ascii="仿宋" w:hAnsi="仿宋" w:eastAsia="仿宋" w:cs="仿宋_GB2312"/>
          <w:szCs w:val="32"/>
        </w:rPr>
      </w:pPr>
      <w:r>
        <w:rPr>
          <w:rFonts w:hint="eastAsia" w:ascii="仿宋" w:hAnsi="仿宋" w:eastAsia="仿宋" w:cs="仿宋_GB2312"/>
          <w:b/>
          <w:bCs/>
          <w:szCs w:val="32"/>
        </w:rPr>
        <w:t>1.基本支出</w:t>
      </w:r>
      <w:r>
        <w:rPr>
          <w:rFonts w:hint="eastAsia" w:ascii="仿宋" w:hAnsi="仿宋" w:eastAsia="仿宋" w:cs="仿宋_GB2312"/>
          <w:szCs w:val="32"/>
        </w:rPr>
        <w:t>：指为保障机构正常运转、完成日常工作任务而发生的各项支出。</w:t>
      </w:r>
    </w:p>
    <w:p>
      <w:pPr>
        <w:spacing w:line="560" w:lineRule="exact"/>
        <w:ind w:firstLine="643" w:firstLineChars="200"/>
        <w:rPr>
          <w:rFonts w:ascii="仿宋" w:hAnsi="仿宋" w:eastAsia="仿宋" w:cs="仿宋_GB2312"/>
          <w:szCs w:val="32"/>
        </w:rPr>
      </w:pPr>
      <w:r>
        <w:rPr>
          <w:rFonts w:hint="eastAsia" w:ascii="仿宋" w:hAnsi="仿宋" w:eastAsia="仿宋" w:cs="仿宋_GB2312"/>
          <w:b/>
          <w:bCs/>
          <w:szCs w:val="32"/>
        </w:rPr>
        <w:t>2.项目支出</w:t>
      </w:r>
      <w:r>
        <w:rPr>
          <w:rFonts w:hint="eastAsia" w:ascii="仿宋" w:hAnsi="仿宋" w:eastAsia="仿宋" w:cs="仿宋_GB2312"/>
          <w:szCs w:val="32"/>
        </w:rPr>
        <w:t>：指单位为完成特定的行政工作任务或事业发展目标所发生的各项支出。</w:t>
      </w:r>
    </w:p>
    <w:p>
      <w:pPr>
        <w:spacing w:line="560" w:lineRule="exact"/>
        <w:ind w:firstLine="640"/>
        <w:rPr>
          <w:rFonts w:ascii="仿宋" w:hAnsi="仿宋" w:eastAsia="仿宋" w:cs="仿宋_GB2312"/>
          <w:szCs w:val="32"/>
        </w:rPr>
      </w:pPr>
      <w:r>
        <w:rPr>
          <w:rFonts w:hint="eastAsia" w:ascii="仿宋" w:hAnsi="仿宋" w:eastAsia="仿宋" w:cs="仿宋_GB2312"/>
          <w:b/>
          <w:bCs/>
          <w:szCs w:val="32"/>
        </w:rPr>
        <w:t>3.“三公”经费</w:t>
      </w:r>
      <w:r>
        <w:rPr>
          <w:rFonts w:hint="eastAsia" w:ascii="仿宋" w:hAnsi="仿宋" w:eastAsia="仿宋" w:cs="仿宋_GB2312"/>
          <w:szCs w:val="32"/>
        </w:rPr>
        <w:t>：指部门使用一般公共预算财政拨款安排的因公出国（境）费、公务用车购置及运行费和公务接待费支出。</w:t>
      </w:r>
    </w:p>
    <w:p>
      <w:pPr>
        <w:spacing w:line="560" w:lineRule="exact"/>
        <w:ind w:firstLine="640"/>
        <w:rPr>
          <w:rFonts w:ascii="仿宋" w:hAnsi="仿宋" w:eastAsia="仿宋" w:cs="仿宋_GB2312"/>
          <w:szCs w:val="32"/>
        </w:rPr>
      </w:pPr>
      <w:r>
        <w:rPr>
          <w:rFonts w:hint="eastAsia" w:ascii="仿宋" w:hAnsi="仿宋" w:eastAsia="仿宋" w:cs="仿宋_GB2312"/>
          <w:b/>
          <w:bCs/>
          <w:szCs w:val="32"/>
        </w:rPr>
        <w:t>4.财政拨款收入</w:t>
      </w:r>
      <w:r>
        <w:rPr>
          <w:rFonts w:hint="eastAsia" w:ascii="仿宋" w:hAnsi="仿宋" w:eastAsia="仿宋" w:cs="仿宋_GB2312"/>
          <w:szCs w:val="32"/>
        </w:rPr>
        <w:t>：指本级财政当年拨付的资金。</w:t>
      </w:r>
    </w:p>
    <w:p>
      <w:pPr>
        <w:spacing w:line="560" w:lineRule="exact"/>
        <w:ind w:firstLine="640"/>
        <w:rPr>
          <w:rFonts w:ascii="仿宋" w:hAnsi="仿宋" w:eastAsia="仿宋"/>
          <w:bCs/>
          <w:szCs w:val="32"/>
        </w:rPr>
      </w:pPr>
      <w:r>
        <w:rPr>
          <w:rFonts w:hint="eastAsia" w:ascii="仿宋" w:hAnsi="仿宋" w:eastAsia="仿宋" w:cs="仿宋_GB2312"/>
          <w:b/>
          <w:bCs/>
          <w:szCs w:val="32"/>
        </w:rPr>
        <w:t>5.调整预算数：</w:t>
      </w:r>
      <w:r>
        <w:rPr>
          <w:rFonts w:hint="eastAsia" w:ascii="仿宋" w:hAnsi="仿宋" w:eastAsia="仿宋"/>
          <w:bCs/>
          <w:szCs w:val="32"/>
        </w:rPr>
        <w:t>填列经调整后的全年预算数，包括年初预算数和预算调增调减数，即：调整预算数＝年初预算数＋预算调增数－预算调减数。</w:t>
      </w:r>
    </w:p>
    <w:p>
      <w:pPr>
        <w:widowControl/>
        <w:ind w:firstLine="640" w:firstLineChars="200"/>
        <w:jc w:val="left"/>
        <w:rPr>
          <w:rFonts w:ascii="仿宋" w:hAnsi="仿宋" w:eastAsia="仿宋" w:cs="仿宋_GB2312"/>
          <w:color w:val="000000"/>
          <w:kern w:val="0"/>
          <w:szCs w:val="32"/>
          <w:highlight w:val="yellow"/>
        </w:rPr>
      </w:pPr>
    </w:p>
    <w:p>
      <w:pPr>
        <w:widowControl/>
        <w:ind w:firstLine="640" w:firstLineChars="200"/>
        <w:jc w:val="left"/>
        <w:rPr>
          <w:rFonts w:ascii="仿宋" w:hAnsi="仿宋" w:eastAsia="仿宋" w:cs="仿宋_GB2312"/>
          <w:color w:val="000000"/>
          <w:kern w:val="0"/>
          <w:szCs w:val="32"/>
        </w:rPr>
      </w:pPr>
    </w:p>
    <w:p>
      <w:pPr>
        <w:widowControl/>
        <w:ind w:firstLine="640" w:firstLineChars="200"/>
        <w:jc w:val="left"/>
        <w:rPr>
          <w:rFonts w:ascii="仿宋" w:hAnsi="仿宋" w:eastAsia="仿宋" w:cs="仿宋_GB2312"/>
          <w:color w:val="000000"/>
          <w:kern w:val="0"/>
          <w:szCs w:val="32"/>
        </w:rPr>
      </w:pPr>
    </w:p>
    <w:p>
      <w:pPr>
        <w:widowControl/>
        <w:ind w:firstLine="640" w:firstLineChars="200"/>
        <w:jc w:val="left"/>
        <w:rPr>
          <w:rFonts w:ascii="仿宋" w:hAnsi="仿宋" w:eastAsia="仿宋" w:cs="仿宋_GB2312"/>
          <w:color w:val="000000"/>
          <w:kern w:val="0"/>
          <w:szCs w:val="32"/>
        </w:rPr>
      </w:pPr>
    </w:p>
    <w:p>
      <w:pPr>
        <w:widowControl/>
        <w:jc w:val="left"/>
        <w:rPr>
          <w:rFonts w:ascii="仿宋" w:hAnsi="仿宋" w:eastAsia="仿宋" w:cs="仿宋_GB2312"/>
          <w:color w:val="000000"/>
          <w:kern w:val="0"/>
          <w:szCs w:val="32"/>
        </w:rPr>
      </w:pPr>
    </w:p>
    <w:p>
      <w:pPr>
        <w:widowControl/>
        <w:ind w:firstLine="640" w:firstLineChars="200"/>
        <w:jc w:val="left"/>
        <w:rPr>
          <w:rFonts w:ascii="仿宋" w:hAnsi="仿宋" w:eastAsia="仿宋" w:cs="仿宋_GB2312"/>
          <w:color w:val="000000"/>
          <w:kern w:val="0"/>
          <w:szCs w:val="32"/>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pPr>
        <w:widowControl/>
        <w:ind w:firstLine="620" w:firstLineChars="200"/>
        <w:jc w:val="left"/>
        <w:rPr>
          <w:rFonts w:ascii="仿宋_GB2312" w:hAnsi="仿宋_GB2312" w:eastAsia="仿宋_GB2312" w:cs="仿宋_GB2312"/>
          <w:color w:val="000000"/>
          <w:kern w:val="0"/>
          <w:sz w:val="31"/>
          <w:szCs w:val="3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BE5BA0-D952-44D5-8F4A-5BDFB04731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2" w:usb3="00000000" w:csb0="00040001"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embedRegular r:id="rId2" w:fontKey="{EF00E4A4-1742-4DE2-80C1-F7B7EDF7874D}"/>
  </w:font>
  <w:font w:name="仿宋">
    <w:panose1 w:val="02010609060101010101"/>
    <w:charset w:val="86"/>
    <w:family w:val="modern"/>
    <w:pitch w:val="default"/>
    <w:sig w:usb0="800002BF" w:usb1="38CF7CFA" w:usb2="00000016" w:usb3="00000000" w:csb0="00040001" w:csb1="00000000"/>
    <w:embedRegular r:id="rId3" w:fontKey="{D190F6E7-5D9F-49ED-983C-E3E73E5BC609}"/>
  </w:font>
  <w:font w:name="楷体">
    <w:panose1 w:val="02010609060101010101"/>
    <w:charset w:val="86"/>
    <w:family w:val="modern"/>
    <w:pitch w:val="default"/>
    <w:sig w:usb0="800002BF" w:usb1="38CF7CFA" w:usb2="00000016" w:usb3="00000000" w:csb0="00040001" w:csb1="00000000"/>
    <w:embedRegular r:id="rId4" w:fontKey="{2D300AF6-1298-40DD-9DE9-3B465A0ED6D7}"/>
  </w:font>
  <w:font w:name="仿宋_GB2312">
    <w:altName w:val="仿宋"/>
    <w:panose1 w:val="00000000000000000000"/>
    <w:charset w:val="86"/>
    <w:family w:val="auto"/>
    <w:pitch w:val="default"/>
    <w:sig w:usb0="00000000" w:usb1="00000000" w:usb2="00000000" w:usb3="00000000" w:csb0="00040000" w:csb1="00000000"/>
    <w:embedRegular r:id="rId5" w:fontKey="{A8839BAC-10F7-4C0B-B36E-F8BDE509B899}"/>
  </w:font>
  <w:font w:name="华文仿宋">
    <w:panose1 w:val="02010600040101010101"/>
    <w:charset w:val="86"/>
    <w:family w:val="auto"/>
    <w:pitch w:val="default"/>
    <w:sig w:usb0="00000287" w:usb1="080F0000" w:usb2="00000000" w:usb3="00000000" w:csb0="0004009F" w:csb1="DFD70000"/>
    <w:embedRegular r:id="rId6" w:fontKey="{E45C7087-6090-4F06-BA35-3D00DF2EA627}"/>
  </w:font>
  <w:font w:name="Arial">
    <w:panose1 w:val="020B0604020202020204"/>
    <w:charset w:val="00"/>
    <w:family w:val="swiss"/>
    <w:pitch w:val="default"/>
    <w:sig w:usb0="E0002EFF" w:usb1="C000785B" w:usb2="00000009" w:usb3="00000000" w:csb0="400001FF" w:csb1="FFFF0000"/>
    <w:embedRegular r:id="rId7" w:fontKey="{5E14C5B1-04A2-42EE-8D10-0CEE32405DED}"/>
  </w:font>
  <w:font w:name="楷体_GB2312">
    <w:altName w:val="楷体"/>
    <w:panose1 w:val="00000000000000000000"/>
    <w:charset w:val="86"/>
    <w:family w:val="auto"/>
    <w:pitch w:val="default"/>
    <w:sig w:usb0="00000000" w:usb1="00000000" w:usb2="00000000" w:usb3="00000000" w:csb0="00040000" w:csb1="00000000"/>
    <w:embedRegular r:id="rId8" w:fontKey="{2C76582B-1B98-41C4-8D8A-66F29F87F4E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path/>
          <v:fill on="f" focussize="0,0"/>
          <v:stroke on="f" joinstyle="miter"/>
          <v:imagedata o:title=""/>
          <o:lock v:ext="edit"/>
          <v:textbox inset="0mm,0mm,0mm,0mm" style="mso-fit-shape-to-text:t;">
            <w:txbxContent>
              <w:p>
                <w:pPr>
                  <w:pStyle w:val="4"/>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26</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sdt>
      <w:sdtPr>
        <w:id w:val="184844993"/>
      </w:sdtPr>
      <w:sdtContent/>
    </w:sdt>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AC9976CA"/>
    <w:multiLevelType w:val="singleLevel"/>
    <w:tmpl w:val="AC9976C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3NmI3ZTE1ZTYyNTljN2NjOTVmNGFiZmYyMDkyMWEifQ=="/>
  </w:docVars>
  <w:rsids>
    <w:rsidRoot w:val="20E506C4"/>
    <w:rsid w:val="000355F3"/>
    <w:rsid w:val="00073E57"/>
    <w:rsid w:val="000D6FD5"/>
    <w:rsid w:val="00173675"/>
    <w:rsid w:val="00194EEF"/>
    <w:rsid w:val="00237E72"/>
    <w:rsid w:val="00280374"/>
    <w:rsid w:val="0028672D"/>
    <w:rsid w:val="002A7789"/>
    <w:rsid w:val="002B2276"/>
    <w:rsid w:val="003255AA"/>
    <w:rsid w:val="00381C07"/>
    <w:rsid w:val="003A4621"/>
    <w:rsid w:val="003C618D"/>
    <w:rsid w:val="003F1FD9"/>
    <w:rsid w:val="0042431B"/>
    <w:rsid w:val="00435FEA"/>
    <w:rsid w:val="00441BD0"/>
    <w:rsid w:val="00484FF7"/>
    <w:rsid w:val="00486343"/>
    <w:rsid w:val="00492643"/>
    <w:rsid w:val="004938F8"/>
    <w:rsid w:val="004A7EA1"/>
    <w:rsid w:val="004D26CE"/>
    <w:rsid w:val="00511652"/>
    <w:rsid w:val="005117BD"/>
    <w:rsid w:val="005D1599"/>
    <w:rsid w:val="005F1602"/>
    <w:rsid w:val="006561EC"/>
    <w:rsid w:val="006E77AB"/>
    <w:rsid w:val="00714030"/>
    <w:rsid w:val="00741A44"/>
    <w:rsid w:val="0077085B"/>
    <w:rsid w:val="00793920"/>
    <w:rsid w:val="007A1F00"/>
    <w:rsid w:val="007A39F4"/>
    <w:rsid w:val="00893298"/>
    <w:rsid w:val="008B33E7"/>
    <w:rsid w:val="008E00E4"/>
    <w:rsid w:val="008E3114"/>
    <w:rsid w:val="00915583"/>
    <w:rsid w:val="009604B0"/>
    <w:rsid w:val="00966FD6"/>
    <w:rsid w:val="009A7BFE"/>
    <w:rsid w:val="009B69B9"/>
    <w:rsid w:val="009F205E"/>
    <w:rsid w:val="00A10D5C"/>
    <w:rsid w:val="00A117DB"/>
    <w:rsid w:val="00A90DB7"/>
    <w:rsid w:val="00AB7245"/>
    <w:rsid w:val="00BA31B8"/>
    <w:rsid w:val="00BA3846"/>
    <w:rsid w:val="00BA6168"/>
    <w:rsid w:val="00C111F4"/>
    <w:rsid w:val="00C14EFB"/>
    <w:rsid w:val="00C269EB"/>
    <w:rsid w:val="00C47E60"/>
    <w:rsid w:val="00C7665F"/>
    <w:rsid w:val="00C862EE"/>
    <w:rsid w:val="00CA3659"/>
    <w:rsid w:val="00CD6D2D"/>
    <w:rsid w:val="00CF3616"/>
    <w:rsid w:val="00D44852"/>
    <w:rsid w:val="00D57AEC"/>
    <w:rsid w:val="00D81F98"/>
    <w:rsid w:val="00D85D7A"/>
    <w:rsid w:val="00DA7643"/>
    <w:rsid w:val="00DB476D"/>
    <w:rsid w:val="00DE2A89"/>
    <w:rsid w:val="00E6453A"/>
    <w:rsid w:val="00E90C0A"/>
    <w:rsid w:val="00EE4B16"/>
    <w:rsid w:val="00F26C18"/>
    <w:rsid w:val="00F40728"/>
    <w:rsid w:val="00F5373E"/>
    <w:rsid w:val="00F5777D"/>
    <w:rsid w:val="00F84C0D"/>
    <w:rsid w:val="00F918AB"/>
    <w:rsid w:val="00FB6859"/>
    <w:rsid w:val="00FB7DD9"/>
    <w:rsid w:val="00FD2334"/>
    <w:rsid w:val="010E3361"/>
    <w:rsid w:val="01840A76"/>
    <w:rsid w:val="019001DE"/>
    <w:rsid w:val="01E73B91"/>
    <w:rsid w:val="03A7089C"/>
    <w:rsid w:val="047F1934"/>
    <w:rsid w:val="04DB464C"/>
    <w:rsid w:val="068B7849"/>
    <w:rsid w:val="07292B29"/>
    <w:rsid w:val="07422AC4"/>
    <w:rsid w:val="07B61C44"/>
    <w:rsid w:val="08134E54"/>
    <w:rsid w:val="08586301"/>
    <w:rsid w:val="086C1E64"/>
    <w:rsid w:val="093E0634"/>
    <w:rsid w:val="09F56D6B"/>
    <w:rsid w:val="0A557F81"/>
    <w:rsid w:val="0BA7522A"/>
    <w:rsid w:val="0C2C1F1F"/>
    <w:rsid w:val="0C2D7704"/>
    <w:rsid w:val="0D0C2BC4"/>
    <w:rsid w:val="0DBA6E85"/>
    <w:rsid w:val="0DC72692"/>
    <w:rsid w:val="0E2B5C83"/>
    <w:rsid w:val="0EC368FB"/>
    <w:rsid w:val="0ECE423F"/>
    <w:rsid w:val="0EF5200E"/>
    <w:rsid w:val="102B6DF1"/>
    <w:rsid w:val="120E784D"/>
    <w:rsid w:val="12184E79"/>
    <w:rsid w:val="13753E1B"/>
    <w:rsid w:val="14174CED"/>
    <w:rsid w:val="15916C1F"/>
    <w:rsid w:val="16921B06"/>
    <w:rsid w:val="178E4E9E"/>
    <w:rsid w:val="18281798"/>
    <w:rsid w:val="18634A0D"/>
    <w:rsid w:val="18BC4DAB"/>
    <w:rsid w:val="18E20488"/>
    <w:rsid w:val="191A102A"/>
    <w:rsid w:val="19DA40E6"/>
    <w:rsid w:val="1A6178A4"/>
    <w:rsid w:val="1A913AE8"/>
    <w:rsid w:val="1AF22409"/>
    <w:rsid w:val="1B055B6B"/>
    <w:rsid w:val="1CC315DB"/>
    <w:rsid w:val="1D8B0C78"/>
    <w:rsid w:val="1E6E4C3B"/>
    <w:rsid w:val="1E711180"/>
    <w:rsid w:val="1E7D6429"/>
    <w:rsid w:val="1F1A1F49"/>
    <w:rsid w:val="1F226BC7"/>
    <w:rsid w:val="20B96E79"/>
    <w:rsid w:val="20E506C4"/>
    <w:rsid w:val="220031EB"/>
    <w:rsid w:val="22551999"/>
    <w:rsid w:val="2256467C"/>
    <w:rsid w:val="23610FD3"/>
    <w:rsid w:val="236267D8"/>
    <w:rsid w:val="23857D2F"/>
    <w:rsid w:val="24171B10"/>
    <w:rsid w:val="24537A42"/>
    <w:rsid w:val="245918C8"/>
    <w:rsid w:val="246B06D0"/>
    <w:rsid w:val="24861FF8"/>
    <w:rsid w:val="256264C3"/>
    <w:rsid w:val="262C087E"/>
    <w:rsid w:val="2642696E"/>
    <w:rsid w:val="2660352B"/>
    <w:rsid w:val="27345405"/>
    <w:rsid w:val="287C13F1"/>
    <w:rsid w:val="28C03F87"/>
    <w:rsid w:val="28E71CD7"/>
    <w:rsid w:val="28FB2AB2"/>
    <w:rsid w:val="295415FA"/>
    <w:rsid w:val="2A7F5B56"/>
    <w:rsid w:val="2C1E58CB"/>
    <w:rsid w:val="2C366C63"/>
    <w:rsid w:val="2C8F7948"/>
    <w:rsid w:val="2CF051FA"/>
    <w:rsid w:val="2D38229C"/>
    <w:rsid w:val="2D62741D"/>
    <w:rsid w:val="2DA368D1"/>
    <w:rsid w:val="2DF854D4"/>
    <w:rsid w:val="2EC53938"/>
    <w:rsid w:val="2F3F7267"/>
    <w:rsid w:val="30DF4759"/>
    <w:rsid w:val="32370DD4"/>
    <w:rsid w:val="324878CF"/>
    <w:rsid w:val="32E651BA"/>
    <w:rsid w:val="3339709D"/>
    <w:rsid w:val="333C204A"/>
    <w:rsid w:val="339F628F"/>
    <w:rsid w:val="33B06F9D"/>
    <w:rsid w:val="3504022C"/>
    <w:rsid w:val="350A5D93"/>
    <w:rsid w:val="3669223E"/>
    <w:rsid w:val="366C12FC"/>
    <w:rsid w:val="37000267"/>
    <w:rsid w:val="373E3750"/>
    <w:rsid w:val="390A5D5B"/>
    <w:rsid w:val="39BE5AB2"/>
    <w:rsid w:val="3AFB7F86"/>
    <w:rsid w:val="3B0C2B2C"/>
    <w:rsid w:val="3BFC6DCC"/>
    <w:rsid w:val="3C067D8D"/>
    <w:rsid w:val="3C446E8B"/>
    <w:rsid w:val="3C7A6DAB"/>
    <w:rsid w:val="3D380F19"/>
    <w:rsid w:val="3D4E2733"/>
    <w:rsid w:val="3D904069"/>
    <w:rsid w:val="3DB01CC2"/>
    <w:rsid w:val="3E3479B1"/>
    <w:rsid w:val="3FCA23EC"/>
    <w:rsid w:val="40871E38"/>
    <w:rsid w:val="41383F2E"/>
    <w:rsid w:val="41520264"/>
    <w:rsid w:val="41942E54"/>
    <w:rsid w:val="424D60E4"/>
    <w:rsid w:val="42DF3ED1"/>
    <w:rsid w:val="42FA4769"/>
    <w:rsid w:val="433A1366"/>
    <w:rsid w:val="43BC1030"/>
    <w:rsid w:val="43BF7D37"/>
    <w:rsid w:val="4447106E"/>
    <w:rsid w:val="44786400"/>
    <w:rsid w:val="46F82343"/>
    <w:rsid w:val="47964FBE"/>
    <w:rsid w:val="47A141F9"/>
    <w:rsid w:val="482E2C6E"/>
    <w:rsid w:val="48F12D42"/>
    <w:rsid w:val="49616AEF"/>
    <w:rsid w:val="49915349"/>
    <w:rsid w:val="49DB26F6"/>
    <w:rsid w:val="49EA6175"/>
    <w:rsid w:val="4A1752A2"/>
    <w:rsid w:val="4A583C8E"/>
    <w:rsid w:val="4AB663FF"/>
    <w:rsid w:val="4AC94221"/>
    <w:rsid w:val="4B18398F"/>
    <w:rsid w:val="4B1D404D"/>
    <w:rsid w:val="4BCF243C"/>
    <w:rsid w:val="4C8F1C6B"/>
    <w:rsid w:val="4DAC3D0C"/>
    <w:rsid w:val="4E1826EB"/>
    <w:rsid w:val="502162E1"/>
    <w:rsid w:val="50446E39"/>
    <w:rsid w:val="50C46A00"/>
    <w:rsid w:val="50C62B98"/>
    <w:rsid w:val="51AA47B2"/>
    <w:rsid w:val="51C1525F"/>
    <w:rsid w:val="52AC7AB3"/>
    <w:rsid w:val="532511AB"/>
    <w:rsid w:val="54207C4C"/>
    <w:rsid w:val="544D3043"/>
    <w:rsid w:val="555C235D"/>
    <w:rsid w:val="561550C1"/>
    <w:rsid w:val="572016AE"/>
    <w:rsid w:val="577C7255"/>
    <w:rsid w:val="57E3761C"/>
    <w:rsid w:val="58E26FD5"/>
    <w:rsid w:val="59477A05"/>
    <w:rsid w:val="596D661C"/>
    <w:rsid w:val="59836C48"/>
    <w:rsid w:val="59C246B5"/>
    <w:rsid w:val="5A610FED"/>
    <w:rsid w:val="5AD32C36"/>
    <w:rsid w:val="5C252D34"/>
    <w:rsid w:val="5C8073CA"/>
    <w:rsid w:val="5C85137D"/>
    <w:rsid w:val="5DBC131F"/>
    <w:rsid w:val="5DF34FA9"/>
    <w:rsid w:val="5E7E3630"/>
    <w:rsid w:val="5F5027A5"/>
    <w:rsid w:val="604B4D81"/>
    <w:rsid w:val="6151303A"/>
    <w:rsid w:val="618A6433"/>
    <w:rsid w:val="625B2DA2"/>
    <w:rsid w:val="636A5BE2"/>
    <w:rsid w:val="6516448E"/>
    <w:rsid w:val="65706DA4"/>
    <w:rsid w:val="664C1E33"/>
    <w:rsid w:val="671E745B"/>
    <w:rsid w:val="68777ACE"/>
    <w:rsid w:val="692B7805"/>
    <w:rsid w:val="696473D9"/>
    <w:rsid w:val="6977251D"/>
    <w:rsid w:val="697876A2"/>
    <w:rsid w:val="69A157A9"/>
    <w:rsid w:val="6AF21D88"/>
    <w:rsid w:val="6B3B79EC"/>
    <w:rsid w:val="6C875E70"/>
    <w:rsid w:val="6CAD3A0C"/>
    <w:rsid w:val="6EAC6681"/>
    <w:rsid w:val="6EB546C3"/>
    <w:rsid w:val="6F094735"/>
    <w:rsid w:val="6F4F2D6C"/>
    <w:rsid w:val="70D566CD"/>
    <w:rsid w:val="70EA4662"/>
    <w:rsid w:val="71840673"/>
    <w:rsid w:val="72647864"/>
    <w:rsid w:val="72856C98"/>
    <w:rsid w:val="72CC2CB1"/>
    <w:rsid w:val="72E47E81"/>
    <w:rsid w:val="73431FE5"/>
    <w:rsid w:val="74F620C5"/>
    <w:rsid w:val="75761969"/>
    <w:rsid w:val="7594634B"/>
    <w:rsid w:val="75B86FF9"/>
    <w:rsid w:val="760A19E3"/>
    <w:rsid w:val="76301274"/>
    <w:rsid w:val="7687055C"/>
    <w:rsid w:val="76D06209"/>
    <w:rsid w:val="76DF5587"/>
    <w:rsid w:val="77285EAB"/>
    <w:rsid w:val="778B0394"/>
    <w:rsid w:val="77C43856"/>
    <w:rsid w:val="791C4BA8"/>
    <w:rsid w:val="79861760"/>
    <w:rsid w:val="79DA500A"/>
    <w:rsid w:val="7A7921D3"/>
    <w:rsid w:val="7A9354C5"/>
    <w:rsid w:val="7B465659"/>
    <w:rsid w:val="7B6D5E4A"/>
    <w:rsid w:val="7CC00C24"/>
    <w:rsid w:val="7D91393A"/>
    <w:rsid w:val="7E8C0663"/>
    <w:rsid w:val="7F203382"/>
    <w:rsid w:val="7F8F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eastAsia="宋体"/>
      <w:sz w:val="21"/>
    </w:rPr>
  </w:style>
  <w:style w:type="paragraph" w:styleId="3">
    <w:name w:val="Balloon Text"/>
    <w:basedOn w:val="1"/>
    <w:link w:val="18"/>
    <w:qFormat/>
    <w:uiPriority w:val="0"/>
    <w:rPr>
      <w:sz w:val="18"/>
      <w:szCs w:val="18"/>
    </w:rPr>
  </w:style>
  <w:style w:type="paragraph" w:styleId="4">
    <w:name w:val="footer"/>
    <w:basedOn w:val="1"/>
    <w:link w:val="19"/>
    <w:autoRedefine/>
    <w:qFormat/>
    <w:uiPriority w:val="99"/>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next w:val="5"/>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font11"/>
    <w:basedOn w:val="9"/>
    <w:qFormat/>
    <w:uiPriority w:val="0"/>
    <w:rPr>
      <w:rFonts w:hint="eastAsia" w:ascii="宋体" w:hAnsi="宋体" w:eastAsia="宋体" w:cs="宋体"/>
      <w:b/>
      <w:color w:val="000000"/>
      <w:sz w:val="32"/>
      <w:szCs w:val="32"/>
      <w:u w:val="none"/>
    </w:rPr>
  </w:style>
  <w:style w:type="character" w:customStyle="1" w:styleId="12">
    <w:name w:val="font91"/>
    <w:basedOn w:val="9"/>
    <w:qFormat/>
    <w:uiPriority w:val="0"/>
    <w:rPr>
      <w:rFonts w:hint="eastAsia" w:ascii="宋体" w:hAnsi="宋体" w:eastAsia="宋体" w:cs="宋体"/>
      <w:color w:val="000000"/>
      <w:sz w:val="32"/>
      <w:szCs w:val="32"/>
      <w:u w:val="none"/>
    </w:rPr>
  </w:style>
  <w:style w:type="character" w:customStyle="1" w:styleId="13">
    <w:name w:val="font51"/>
    <w:basedOn w:val="9"/>
    <w:autoRedefine/>
    <w:qFormat/>
    <w:uiPriority w:val="0"/>
    <w:rPr>
      <w:rFonts w:hint="eastAsia" w:ascii="宋体" w:hAnsi="宋体" w:eastAsia="宋体" w:cs="宋体"/>
      <w:color w:val="000000"/>
      <w:sz w:val="20"/>
      <w:szCs w:val="20"/>
      <w:u w:val="none"/>
    </w:rPr>
  </w:style>
  <w:style w:type="character" w:customStyle="1" w:styleId="14">
    <w:name w:val="font101"/>
    <w:basedOn w:val="9"/>
    <w:autoRedefine/>
    <w:qFormat/>
    <w:uiPriority w:val="0"/>
    <w:rPr>
      <w:rFonts w:hint="eastAsia" w:ascii="宋体" w:hAnsi="宋体" w:eastAsia="宋体" w:cs="宋体"/>
      <w:color w:val="000000"/>
      <w:sz w:val="20"/>
      <w:szCs w:val="20"/>
      <w:u w:val="none"/>
    </w:rPr>
  </w:style>
  <w:style w:type="character" w:customStyle="1" w:styleId="15">
    <w:name w:val="font21"/>
    <w:basedOn w:val="9"/>
    <w:qFormat/>
    <w:uiPriority w:val="0"/>
    <w:rPr>
      <w:rFonts w:hint="eastAsia" w:ascii="宋体" w:hAnsi="宋体" w:eastAsia="宋体" w:cs="宋体"/>
      <w:color w:val="000000"/>
      <w:sz w:val="18"/>
      <w:szCs w:val="18"/>
      <w:u w:val="none"/>
    </w:rPr>
  </w:style>
  <w:style w:type="character" w:customStyle="1" w:styleId="16">
    <w:name w:val="font112"/>
    <w:basedOn w:val="9"/>
    <w:qFormat/>
    <w:uiPriority w:val="0"/>
    <w:rPr>
      <w:rFonts w:hint="eastAsia" w:ascii="宋体" w:hAnsi="宋体" w:eastAsia="宋体" w:cs="宋体"/>
      <w:color w:val="000000"/>
      <w:sz w:val="20"/>
      <w:szCs w:val="20"/>
      <w:u w:val="none"/>
    </w:rPr>
  </w:style>
  <w:style w:type="character" w:customStyle="1" w:styleId="17">
    <w:name w:val="font61"/>
    <w:basedOn w:val="9"/>
    <w:autoRedefine/>
    <w:qFormat/>
    <w:uiPriority w:val="0"/>
    <w:rPr>
      <w:rFonts w:hint="eastAsia" w:ascii="宋体" w:hAnsi="宋体" w:eastAsia="宋体" w:cs="宋体"/>
      <w:color w:val="000000"/>
      <w:sz w:val="24"/>
      <w:szCs w:val="24"/>
      <w:u w:val="none"/>
    </w:rPr>
  </w:style>
  <w:style w:type="character" w:customStyle="1" w:styleId="18">
    <w:name w:val="批注框文本 Char"/>
    <w:basedOn w:val="9"/>
    <w:link w:val="3"/>
    <w:qFormat/>
    <w:uiPriority w:val="0"/>
    <w:rPr>
      <w:rFonts w:ascii="Calibri" w:hAnsi="Calibri" w:eastAsia="方正仿宋简体"/>
      <w:kern w:val="2"/>
      <w:sz w:val="18"/>
      <w:szCs w:val="18"/>
    </w:rPr>
  </w:style>
  <w:style w:type="character" w:customStyle="1" w:styleId="19">
    <w:name w:val="页脚 Char"/>
    <w:basedOn w:val="9"/>
    <w:link w:val="4"/>
    <w:qFormat/>
    <w:uiPriority w:val="99"/>
    <w:rPr>
      <w:rFonts w:ascii="Calibri" w:hAnsi="Calibri" w:eastAsia="方正仿宋简体"/>
      <w:kern w:val="2"/>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0&#24180;&#20915;&#31639;\&#22270;&#3492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0&#24180;&#20915;&#31639;\&#22270;&#3492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0&#24180;&#20915;&#31639;\&#22270;&#3492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0&#24180;&#20915;&#31639;\&#22270;&#3492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20&#24180;&#20915;&#31639;\&#22270;&#34920;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20&#24180;&#20915;&#31639;\&#22270;&#34920;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20&#24180;&#20915;&#31639;\&#22270;&#349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7602461457024"/>
          <c:y val="0.069919072615923"/>
          <c:w val="0.828700059551381"/>
          <c:h val="0.58301764362788"/>
        </c:manualLayout>
      </c:layout>
      <c:barChart>
        <c:barDir val="col"/>
        <c:grouping val="stacked"/>
        <c:varyColors val="0"/>
        <c:ser>
          <c:idx val="0"/>
          <c:order val="0"/>
          <c:invertIfNegative val="0"/>
          <c:dLbls>
            <c:delete val="1"/>
          </c:dLbls>
          <c:cat>
            <c:strRef>
              <c:f>部门人员!$A$2:$A$8</c:f>
              <c:strCache>
                <c:ptCount val="7"/>
                <c:pt idx="0">
                  <c:v>本部门人员编制</c:v>
                </c:pt>
                <c:pt idx="1">
                  <c:v>行政编制</c:v>
                </c:pt>
                <c:pt idx="2">
                  <c:v>事业编制</c:v>
                </c:pt>
                <c:pt idx="3">
                  <c:v>实有人员</c:v>
                </c:pt>
                <c:pt idx="4">
                  <c:v>行政</c:v>
                </c:pt>
                <c:pt idx="5">
                  <c:v>事业</c:v>
                </c:pt>
                <c:pt idx="6">
                  <c:v>离退休</c:v>
                </c:pt>
              </c:strCache>
            </c:strRef>
          </c:cat>
          <c:val>
            <c:numRef>
              <c:f>部门人员!$B$2:$B$8</c:f>
              <c:numCache>
                <c:formatCode>General</c:formatCode>
                <c:ptCount val="7"/>
                <c:pt idx="0">
                  <c:v>31</c:v>
                </c:pt>
                <c:pt idx="1">
                  <c:v>19</c:v>
                </c:pt>
                <c:pt idx="2">
                  <c:v>12</c:v>
                </c:pt>
                <c:pt idx="3">
                  <c:v>23</c:v>
                </c:pt>
                <c:pt idx="4">
                  <c:v>15</c:v>
                </c:pt>
                <c:pt idx="5">
                  <c:v>8</c:v>
                </c:pt>
                <c:pt idx="6">
                  <c:v>15</c:v>
                </c:pt>
              </c:numCache>
            </c:numRef>
          </c:val>
        </c:ser>
        <c:dLbls>
          <c:showLegendKey val="0"/>
          <c:showVal val="0"/>
          <c:showCatName val="0"/>
          <c:showSerName val="0"/>
          <c:showPercent val="0"/>
          <c:showBubbleSize val="0"/>
        </c:dLbls>
        <c:gapWidth val="150"/>
        <c:overlap val="100"/>
        <c:axId val="144869632"/>
        <c:axId val="144901632"/>
      </c:barChart>
      <c:catAx>
        <c:axId val="144869632"/>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4901632"/>
        <c:crosses val="autoZero"/>
        <c:auto val="1"/>
        <c:lblAlgn val="ctr"/>
        <c:lblOffset val="100"/>
        <c:noMultiLvlLbl val="0"/>
      </c:catAx>
      <c:valAx>
        <c:axId val="1449016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486963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invertIfNegative val="0"/>
          <c:dLbls>
            <c:delete val="1"/>
          </c:dLbls>
          <c:cat>
            <c:multiLvlStrRef>
              <c:f>收入支出总体!$A$1:$B$2</c:f>
              <c:multiLvlStrCache>
                <c:ptCount val="2"/>
                <c:lvl>
                  <c:pt idx="0">
                    <c:v>2020年收入总体</c:v>
                  </c:pt>
                  <c:pt idx="1">
                    <c:v>2020年支出总体</c:v>
                  </c:pt>
                </c:lvl>
                <c:lvl>
                  <c:pt idx="0">
                    <c:v>收入支出决算总体情况</c:v>
                  </c:pt>
                </c:lvl>
              </c:multiLvlStrCache>
            </c:multiLvlStrRef>
          </c:cat>
          <c:val>
            <c:numRef>
              <c:f>收入支出总体!$A$3:$B$3</c:f>
              <c:numCache>
                <c:formatCode>General</c:formatCode>
                <c:ptCount val="2"/>
                <c:pt idx="0">
                  <c:v>644.059999999999</c:v>
                </c:pt>
                <c:pt idx="1">
                  <c:v>644.059999999999</c:v>
                </c:pt>
              </c:numCache>
            </c:numRef>
          </c:val>
        </c:ser>
        <c:dLbls>
          <c:showLegendKey val="0"/>
          <c:showVal val="0"/>
          <c:showCatName val="0"/>
          <c:showSerName val="0"/>
          <c:showPercent val="0"/>
          <c:showBubbleSize val="0"/>
        </c:dLbls>
        <c:gapWidth val="150"/>
        <c:overlap val="100"/>
        <c:axId val="145035648"/>
        <c:axId val="145037184"/>
      </c:barChart>
      <c:catAx>
        <c:axId val="14503564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5037184"/>
        <c:crosses val="autoZero"/>
        <c:auto val="1"/>
        <c:lblAlgn val="ctr"/>
        <c:lblOffset val="100"/>
        <c:noMultiLvlLbl val="0"/>
      </c:catAx>
      <c:valAx>
        <c:axId val="14503718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503564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0" i="0" u="none" strike="noStrike" kern="1200" baseline="0">
                <a:solidFill>
                  <a:schemeClr val="tx1"/>
                </a:solidFill>
                <a:latin typeface="+mn-ea"/>
                <a:ea typeface="+mn-ea"/>
                <a:cs typeface="+mn-cs"/>
              </a:defRPr>
            </a:pPr>
            <a:r>
              <a:rPr lang="en-US" altLang="en-US" sz="1200" b="0">
                <a:latin typeface="+mn-ea"/>
                <a:ea typeface="+mn-ea"/>
              </a:rPr>
              <a:t>2020</a:t>
            </a:r>
            <a:r>
              <a:rPr lang="zh-CN" altLang="en-US" sz="1200" b="0">
                <a:latin typeface="+mn-ea"/>
                <a:ea typeface="+mn-ea"/>
              </a:rPr>
              <a:t>年度收入</a:t>
            </a:r>
            <a:endParaRPr lang="en-US" altLang="en-US" sz="1200" b="0">
              <a:latin typeface="+mn-ea"/>
              <a:ea typeface="+mn-ea"/>
            </a:endParaRPr>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Lbls>
            <c:delete val="1"/>
          </c:dLbls>
          <c:cat>
            <c:multiLvlStrRef>
              <c:f>收入决算!$A$1:$D$2</c:f>
              <c:multiLvlStrCache>
                <c:ptCount val="4"/>
                <c:lvl>
                  <c:pt idx="0">
                    <c:v>财政拨款收入</c:v>
                  </c:pt>
                  <c:pt idx="1">
                    <c:v>事业收入</c:v>
                  </c:pt>
                  <c:pt idx="2">
                    <c:v>经营收入</c:v>
                  </c:pt>
                  <c:pt idx="3">
                    <c:v>其他收入</c:v>
                  </c:pt>
                </c:lvl>
                <c:lvl>
                  <c:pt idx="0">
                    <c:v>本年收入</c:v>
                  </c:pt>
                </c:lvl>
              </c:multiLvlStrCache>
            </c:multiLvlStrRef>
          </c:cat>
          <c:val>
            <c:numRef>
              <c:f>收入决算!$A$3:$D$3</c:f>
              <c:numCache>
                <c:formatCode>General</c:formatCode>
                <c:ptCount val="4"/>
                <c:pt idx="0">
                  <c:v>644.059999999999</c:v>
                </c:pt>
                <c:pt idx="1">
                  <c:v>0</c:v>
                </c:pt>
                <c:pt idx="2">
                  <c:v>0</c:v>
                </c:pt>
                <c:pt idx="3">
                  <c:v>0</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ea"/>
                <a:ea typeface="+mn-ea"/>
                <a:cs typeface="+mn-cs"/>
              </a:defRPr>
            </a:pPr>
            <a:r>
              <a:rPr lang="en-US" altLang="zh-CN" sz="1400">
                <a:latin typeface="+mn-ea"/>
                <a:ea typeface="+mn-ea"/>
              </a:rPr>
              <a:t>2020</a:t>
            </a:r>
            <a:r>
              <a:rPr lang="zh-CN" altLang="en-US" sz="1400">
                <a:latin typeface="+mn-ea"/>
                <a:ea typeface="+mn-ea"/>
              </a:rPr>
              <a:t>年度支出构成</a:t>
            </a:r>
            <a:endParaRPr lang="zh-CN" altLang="en-US" sz="1400">
              <a:latin typeface="+mn-ea"/>
              <a:ea typeface="+mn-ea"/>
            </a:endParaRPr>
          </a:p>
        </c:rich>
      </c:tx>
      <c:layout>
        <c:manualLayout>
          <c:xMode val="edge"/>
          <c:yMode val="edge"/>
          <c:x val="0.35775"/>
          <c:y val="0.0277777777777778"/>
        </c:manualLayout>
      </c:layout>
      <c:overlay val="0"/>
    </c:title>
    <c:autoTitleDeleted val="0"/>
    <c:plotArea>
      <c:layout/>
      <c:barChart>
        <c:barDir val="col"/>
        <c:grouping val="stacked"/>
        <c:varyColors val="0"/>
        <c:ser>
          <c:idx val="0"/>
          <c:order val="0"/>
          <c:invertIfNegative val="0"/>
          <c:dLbls>
            <c:delete val="1"/>
          </c:dLbls>
          <c:cat>
            <c:strRef>
              <c:f>支出决算!$A$1:$A$4</c:f>
              <c:strCache>
                <c:ptCount val="4"/>
                <c:pt idx="0">
                  <c:v>本年支出情况</c:v>
                </c:pt>
                <c:pt idx="1">
                  <c:v>基本支出</c:v>
                </c:pt>
                <c:pt idx="2">
                  <c:v>项目支出</c:v>
                </c:pt>
                <c:pt idx="3">
                  <c:v>经营支出</c:v>
                </c:pt>
              </c:strCache>
            </c:strRef>
          </c:cat>
          <c:val>
            <c:numRef>
              <c:f>支出决算!$B$1:$B$4</c:f>
              <c:numCache>
                <c:formatCode>General</c:formatCode>
                <c:ptCount val="4"/>
                <c:pt idx="1">
                  <c:v>484.06</c:v>
                </c:pt>
                <c:pt idx="2">
                  <c:v>160</c:v>
                </c:pt>
                <c:pt idx="3">
                  <c:v>0</c:v>
                </c:pt>
              </c:numCache>
            </c:numRef>
          </c:val>
        </c:ser>
        <c:dLbls>
          <c:showLegendKey val="0"/>
          <c:showVal val="0"/>
          <c:showCatName val="0"/>
          <c:showSerName val="0"/>
          <c:showPercent val="0"/>
          <c:showBubbleSize val="0"/>
        </c:dLbls>
        <c:gapWidth val="55"/>
        <c:overlap val="100"/>
        <c:axId val="145203584"/>
        <c:axId val="145205120"/>
      </c:barChart>
      <c:catAx>
        <c:axId val="145203584"/>
        <c:scaling>
          <c:orientation val="minMax"/>
        </c:scaling>
        <c:delete val="0"/>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5205120"/>
        <c:crosses val="autoZero"/>
        <c:auto val="1"/>
        <c:lblAlgn val="ctr"/>
        <c:lblOffset val="100"/>
        <c:noMultiLvlLbl val="0"/>
      </c:catAx>
      <c:valAx>
        <c:axId val="145205120"/>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5203584"/>
        <c:crosses val="autoZero"/>
        <c:crossBetween val="between"/>
      </c:valAx>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elete val="1"/>
          </c:dLbls>
          <c:cat>
            <c:multiLvlStrRef>
              <c:f>财政拨款收入支出决算总体!$A$1:$D$3</c:f>
              <c:multiLvlStrCache>
                <c:ptCount val="4"/>
                <c:lvl>
                  <c:pt idx="0">
                    <c:v>2020年度</c:v>
                  </c:pt>
                  <c:pt idx="1">
                    <c:v>2019年度</c:v>
                  </c:pt>
                  <c:pt idx="2">
                    <c:v>2020年度</c:v>
                  </c:pt>
                  <c:pt idx="3">
                    <c:v>2019年度</c:v>
                  </c:pt>
                </c:lvl>
                <c:lvl>
                  <c:pt idx="0">
                    <c:v>收入总体</c:v>
                  </c:pt>
                  <c:pt idx="2">
                    <c:v>支出总体</c:v>
                  </c:pt>
                </c:lvl>
                <c:lvl>
                  <c:pt idx="0">
                    <c:v>财政拨款收入支出决算总体</c:v>
                  </c:pt>
                </c:lvl>
              </c:multiLvlStrCache>
            </c:multiLvlStrRef>
          </c:cat>
          <c:val>
            <c:numRef>
              <c:f>财政拨款收入支出决算总体!$A$4:$D$4</c:f>
              <c:numCache>
                <c:formatCode>General</c:formatCode>
                <c:ptCount val="4"/>
                <c:pt idx="0">
                  <c:v>644.059999999999</c:v>
                </c:pt>
                <c:pt idx="1">
                  <c:v>1190.06</c:v>
                </c:pt>
                <c:pt idx="2">
                  <c:v>644.059999999999</c:v>
                </c:pt>
                <c:pt idx="3">
                  <c:v>1233.3</c:v>
                </c:pt>
              </c:numCache>
            </c:numRef>
          </c:val>
        </c:ser>
        <c:dLbls>
          <c:showLegendKey val="0"/>
          <c:showVal val="0"/>
          <c:showCatName val="0"/>
          <c:showSerName val="0"/>
          <c:showPercent val="0"/>
          <c:showBubbleSize val="0"/>
        </c:dLbls>
        <c:gapWidth val="150"/>
        <c:axId val="145282560"/>
        <c:axId val="145284096"/>
      </c:barChart>
      <c:catAx>
        <c:axId val="1452825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5284096"/>
        <c:crosses val="autoZero"/>
        <c:auto val="1"/>
        <c:lblAlgn val="ctr"/>
        <c:lblOffset val="100"/>
        <c:noMultiLvlLbl val="0"/>
      </c:catAx>
      <c:valAx>
        <c:axId val="1452840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5282560"/>
        <c:crosses val="autoZero"/>
        <c:crossBetween val="between"/>
      </c:valAx>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elete val="1"/>
          </c:dLbls>
          <c:cat>
            <c:multiLvlStrRef>
              <c:f>财政拨款支出决算!$A$1:$B$2</c:f>
              <c:multiLvlStrCache>
                <c:ptCount val="2"/>
                <c:lvl>
                  <c:pt idx="0">
                    <c:v>2020年度</c:v>
                  </c:pt>
                  <c:pt idx="1">
                    <c:v>2019年度</c:v>
                  </c:pt>
                </c:lvl>
                <c:lvl>
                  <c:pt idx="0">
                    <c:v>财政拨款支出决算总体</c:v>
                  </c:pt>
                </c:lvl>
              </c:multiLvlStrCache>
            </c:multiLvlStrRef>
          </c:cat>
          <c:val>
            <c:numRef>
              <c:f>财政拨款支出决算!$A$3:$B$3</c:f>
              <c:numCache>
                <c:formatCode>General</c:formatCode>
                <c:ptCount val="2"/>
                <c:pt idx="0">
                  <c:v>644.059999999999</c:v>
                </c:pt>
                <c:pt idx="1">
                  <c:v>1233.3</c:v>
                </c:pt>
              </c:numCache>
            </c:numRef>
          </c:val>
        </c:ser>
        <c:dLbls>
          <c:showLegendKey val="0"/>
          <c:showVal val="0"/>
          <c:showCatName val="0"/>
          <c:showSerName val="0"/>
          <c:showPercent val="0"/>
          <c:showBubbleSize val="0"/>
        </c:dLbls>
        <c:gapWidth val="150"/>
        <c:axId val="145291520"/>
        <c:axId val="152842240"/>
      </c:barChart>
      <c:catAx>
        <c:axId val="14529152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52842240"/>
        <c:crosses val="autoZero"/>
        <c:auto val="1"/>
        <c:lblAlgn val="ctr"/>
        <c:lblOffset val="100"/>
        <c:noMultiLvlLbl val="0"/>
      </c:catAx>
      <c:valAx>
        <c:axId val="15284224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45291520"/>
        <c:crosses val="autoZero"/>
        <c:crossBetween val="between"/>
      </c:valAx>
      <c:spPr>
        <a:solidFill>
          <a:schemeClr val="bg1"/>
        </a:solidFill>
        <a:ln>
          <a:noFill/>
        </a:ln>
        <a:effectLst/>
      </c:spPr>
    </c:plotArea>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2019</a:t>
            </a:r>
            <a:r>
              <a:rPr lang="zh-CN" altLang="en-US"/>
              <a:t>年三公经费分布</a:t>
            </a:r>
            <a:endParaRPr lang="zh-CN" altLang="en-US"/>
          </a:p>
        </c:rich>
      </c:tx>
      <c:layout/>
      <c:overlay val="0"/>
    </c:title>
    <c:autoTitleDeleted val="0"/>
    <c:plotArea>
      <c:layout/>
      <c:pieChart>
        <c:varyColors val="1"/>
        <c:ser>
          <c:idx val="0"/>
          <c:order val="0"/>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三公经费!$A$1:$A$4</c:f>
              <c:strCache>
                <c:ptCount val="4"/>
                <c:pt idx="0">
                  <c:v>因公出国</c:v>
                </c:pt>
                <c:pt idx="1">
                  <c:v>公务用车购置</c:v>
                </c:pt>
                <c:pt idx="2">
                  <c:v>公务用车运行维护费</c:v>
                </c:pt>
                <c:pt idx="3">
                  <c:v>公务接待费</c:v>
                </c:pt>
              </c:strCache>
            </c:strRef>
          </c:cat>
          <c:val>
            <c:numRef>
              <c:f>三公经费!$B$1:$B$4</c:f>
              <c:numCache>
                <c:formatCode>General</c:formatCode>
                <c:ptCount val="4"/>
                <c:pt idx="0">
                  <c:v>0</c:v>
                </c:pt>
                <c:pt idx="1">
                  <c:v>0</c:v>
                </c:pt>
                <c:pt idx="2">
                  <c:v>14.45</c:v>
                </c:pt>
                <c:pt idx="3">
                  <c:v>0</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5FF237-4498-4DFB-8A1D-CA1A67009A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3392</Words>
  <Characters>19336</Characters>
  <Lines>161</Lines>
  <Paragraphs>45</Paragraphs>
  <TotalTime>3</TotalTime>
  <ScaleCrop>false</ScaleCrop>
  <LinksUpToDate>false</LinksUpToDate>
  <CharactersWithSpaces>22683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zhouqin</cp:lastModifiedBy>
  <cp:lastPrinted>2021-10-29T01:09:00Z</cp:lastPrinted>
  <dcterms:modified xsi:type="dcterms:W3CDTF">2024-04-29T09:29:36Z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5761B997E9114BF3A81CF3CAEDD50C82</vt:lpwstr>
  </property>
</Properties>
</file>