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西安市阎良区医疗保障局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2022年法治政府建设情况报告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2022</w:t>
      </w:r>
      <w:r>
        <w:rPr>
          <w:rFonts w:ascii="Times New Roman" w:hAnsi="仿宋_GB2312" w:eastAsia="仿宋_GB2312" w:cs="Times New Roman"/>
          <w:bCs/>
          <w:sz w:val="32"/>
          <w:szCs w:val="32"/>
        </w:rPr>
        <w:t>年，我局在区委、区政府和市医保局的正确领导下，坚持以习近平新时代中国特色社会主义思想为指导，深入学习贯彻习近平总书记关于法治政府建设的重要指示精神，自觉运用法治思维和法治方法，坚持以人民为中心，在医疗保障领域认真落实法治政府建设主体责任。现将年度工作情况汇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111111"/>
          <w:sz w:val="32"/>
          <w:szCs w:val="32"/>
        </w:rPr>
      </w:pPr>
      <w:r>
        <w:rPr>
          <w:rFonts w:ascii="Times New Roman" w:hAnsi="黑体" w:eastAsia="黑体" w:cs="Times New Roman"/>
          <w:color w:val="111111"/>
          <w:sz w:val="32"/>
          <w:szCs w:val="32"/>
        </w:rPr>
        <w:t>一、法治政府建设工作开展情况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color w:val="111111"/>
          <w:sz w:val="32"/>
          <w:szCs w:val="32"/>
        </w:rPr>
      </w:pP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（一）加强组织学习，强化主体责任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111111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>明确局党组书记作为第一责任人，认真履行法治建设重要职责，始终做到重要工作亲自部署、重大问题亲自过问、重点环节亲自协调，有效推动我局法治政府建设工作开展。</w:t>
      </w:r>
      <w:r>
        <w:rPr>
          <w:rFonts w:ascii="Times New Roman" w:hAnsi="Times New Roman" w:eastAsia="仿宋_GB2312" w:cs="Times New Roman"/>
          <w:b/>
          <w:color w:val="111111"/>
          <w:sz w:val="32"/>
          <w:szCs w:val="32"/>
        </w:rPr>
        <w:t>一是加强对习近平法治思想的学习。</w:t>
      </w: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>把习近平法治思想作为重点学习内容，结合部门职能，制定学法计划，通过学习会、全干会等形式，线上与线下相结合，实现干部队伍法治学习培训全覆盖；一年来，学习以《宪法》及习近平法治思想的核心要义为主的各类法律法规3次，积极开展宪法宣传，组织党员干部参加法律知识答题活动。</w:t>
      </w:r>
      <w:r>
        <w:rPr>
          <w:rFonts w:ascii="Times New Roman" w:hAnsi="Times New Roman" w:eastAsia="仿宋_GB2312" w:cs="Times New Roman"/>
          <w:b/>
          <w:color w:val="111111"/>
          <w:sz w:val="32"/>
          <w:szCs w:val="32"/>
        </w:rPr>
        <w:t>二是加强依法行政能力建设。</w:t>
      </w: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>组织我局全体干部认真学习《医疗保障基金使用监督管理条例》等相关法律法规，牢固树立法治理念，将依法办事，公正执法，文明执法融入医保业务全过程，促使全体干部职工提高运用法治思维、法治方式推进工作的能力。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color w:val="111111"/>
          <w:sz w:val="32"/>
          <w:szCs w:val="32"/>
        </w:rPr>
      </w:pP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（二）贯彻落实行政执法</w:t>
      </w:r>
      <w:r>
        <w:rPr>
          <w:rFonts w:ascii="Times New Roman" w:hAnsi="Times New Roman" w:eastAsia="楷体" w:cs="Times New Roman"/>
          <w:bCs/>
          <w:color w:val="111111"/>
          <w:sz w:val="32"/>
          <w:szCs w:val="32"/>
        </w:rPr>
        <w:t>“</w:t>
      </w: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三项制度</w:t>
      </w:r>
      <w:r>
        <w:rPr>
          <w:rFonts w:ascii="Times New Roman" w:hAnsi="Times New Roman" w:eastAsia="楷体" w:cs="Times New Roman"/>
          <w:bCs/>
          <w:color w:val="111111"/>
          <w:sz w:val="32"/>
          <w:szCs w:val="32"/>
        </w:rPr>
        <w:t>”</w:t>
      </w:r>
    </w:p>
    <w:p>
      <w:pPr>
        <w:pStyle w:val="2"/>
        <w:spacing w:line="560" w:lineRule="exact"/>
        <w:ind w:left="0" w:firstLine="643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napToGrid/>
          <w:color w:val="111111"/>
          <w:kern w:val="2"/>
        </w:rPr>
        <w:t>一是全面落实行政执法公示制度。</w:t>
      </w:r>
      <w:r>
        <w:rPr>
          <w:rFonts w:ascii="Times New Roman" w:hAnsi="仿宋_GB2312" w:eastAsia="仿宋_GB2312" w:cs="Times New Roman"/>
        </w:rPr>
        <w:t>严格落实公示责任、强化事前公示、规范事中公示，着力保障参保群众的知情权、参与权和监督权。</w:t>
      </w:r>
      <w:r>
        <w:rPr>
          <w:rFonts w:ascii="Times New Roman" w:hAnsi="Times New Roman" w:eastAsia="仿宋_GB2312" w:cs="Times New Roman"/>
          <w:b/>
          <w:snapToGrid/>
          <w:color w:val="111111"/>
          <w:kern w:val="2"/>
        </w:rPr>
        <w:t>二是全面落实行政执法全过程记录制度</w:t>
      </w:r>
      <w:r>
        <w:rPr>
          <w:rFonts w:ascii="Times New Roman" w:hAnsi="仿宋_GB2312" w:eastAsia="仿宋_GB2312" w:cs="Times New Roman"/>
        </w:rPr>
        <w:t>。结合我局实际制定规范的执法文书模本，在日常执法检查中科学选择执法文书。将每次检查的现场笔录等作为证据材料整理归档，做到一案一卷，由专人保管，确保执法留痕和可回溯管理。</w:t>
      </w:r>
      <w:r>
        <w:rPr>
          <w:rFonts w:ascii="Times New Roman" w:hAnsi="Times New Roman" w:eastAsia="仿宋_GB2312" w:cs="Times New Roman"/>
          <w:b/>
          <w:snapToGrid/>
          <w:color w:val="111111"/>
          <w:kern w:val="2"/>
        </w:rPr>
        <w:t>三是全面推行重大行政执法决定法制审核制度。</w:t>
      </w:r>
      <w:r>
        <w:rPr>
          <w:rFonts w:ascii="Times New Roman" w:hAnsi="仿宋_GB2312" w:eastAsia="仿宋_GB2312" w:cs="Times New Roman"/>
        </w:rPr>
        <w:t>对检查中发现的重大违法违规案件或群众举报案件，符合行政处罚的，我局严格执行《陕西省医疗保障行政处罚案件办理程序暂行规定》，由局长和持有执法证的分管副局长负责审核。</w:t>
      </w:r>
      <w:r>
        <w:rPr>
          <w:rFonts w:ascii="Times New Roman" w:hAnsi="Times New Roman" w:eastAsia="仿宋_GB2312" w:cs="Times New Roman"/>
          <w:b/>
          <w:snapToGrid/>
          <w:color w:val="111111"/>
          <w:kern w:val="2"/>
        </w:rPr>
        <w:t>四是加强组织保障。</w:t>
      </w:r>
      <w:r>
        <w:rPr>
          <w:rFonts w:ascii="Times New Roman" w:hAnsi="仿宋_GB2312" w:eastAsia="仿宋_GB2312" w:cs="Times New Roman"/>
        </w:rPr>
        <w:t>始终坚持把行政执法</w:t>
      </w:r>
      <w:r>
        <w:rPr>
          <w:rFonts w:ascii="Times New Roman" w:hAnsi="Times New Roman" w:eastAsia="仿宋_GB2312" w:cs="Times New Roman"/>
        </w:rPr>
        <w:t>“</w:t>
      </w:r>
      <w:r>
        <w:rPr>
          <w:rFonts w:ascii="Times New Roman" w:hAnsi="仿宋_GB2312" w:eastAsia="仿宋_GB2312" w:cs="Times New Roman"/>
        </w:rPr>
        <w:t>三项制度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与业务工作进行共同部署安排，确定局长为</w:t>
      </w:r>
      <w:r>
        <w:rPr>
          <w:rFonts w:ascii="Times New Roman" w:hAnsi="Times New Roman" w:eastAsia="仿宋_GB2312" w:cs="Times New Roman"/>
        </w:rPr>
        <w:t>“</w:t>
      </w:r>
      <w:r>
        <w:rPr>
          <w:rFonts w:ascii="Times New Roman" w:hAnsi="仿宋_GB2312" w:eastAsia="仿宋_GB2312" w:cs="Times New Roman"/>
        </w:rPr>
        <w:t>三项制度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工作的第一责任人，分管局长具体组织实施，同时聘请全年法律顾问，为行政执法工作提供有力的组织保障。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color w:val="111111"/>
          <w:sz w:val="32"/>
          <w:szCs w:val="32"/>
        </w:rPr>
      </w:pP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（三）开展医保基金</w:t>
      </w:r>
      <w:r>
        <w:rPr>
          <w:rFonts w:ascii="Times New Roman" w:hAnsi="Times New Roman" w:eastAsia="楷体" w:cs="Times New Roman"/>
          <w:bCs/>
          <w:color w:val="111111"/>
          <w:sz w:val="32"/>
          <w:szCs w:val="32"/>
        </w:rPr>
        <w:t>“</w:t>
      </w: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双随机</w:t>
      </w:r>
      <w:r>
        <w:rPr>
          <w:rFonts w:hint="eastAsia" w:ascii="Times New Roman" w:hAnsi="楷体" w:eastAsia="楷体" w:cs="Times New Roman"/>
          <w:bCs/>
          <w:color w:val="111111"/>
          <w:sz w:val="32"/>
          <w:szCs w:val="32"/>
          <w:lang w:eastAsia="zh-CN"/>
        </w:rPr>
        <w:t>、</w:t>
      </w: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一公开</w:t>
      </w:r>
      <w:r>
        <w:rPr>
          <w:rFonts w:ascii="Times New Roman" w:hAnsi="Times New Roman" w:eastAsia="楷体" w:cs="Times New Roman"/>
          <w:bCs/>
          <w:color w:val="111111"/>
          <w:sz w:val="32"/>
          <w:szCs w:val="32"/>
        </w:rPr>
        <w:t>”</w:t>
      </w: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监督检查工作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仿宋_GB2312" w:eastAsia="仿宋_GB2312" w:cs="Times New Roman"/>
        </w:rPr>
        <w:t>科学合理制定检查工作计划，广泛搜集案源线索，及时获取日常监管、专项整治、投诉举报发现的违法行为。加大日常监督稽核力度，并通过后台大数据筛选分析，疏通数据梗塞，实现医保基金全流程、立体式、信息化监管。今年以来，共计追回违规医保基金</w:t>
      </w:r>
      <w:r>
        <w:rPr>
          <w:rFonts w:ascii="Times New Roman" w:hAnsi="Times New Roman" w:eastAsia="仿宋_GB2312" w:cs="Times New Roman"/>
        </w:rPr>
        <w:t>12</w:t>
      </w:r>
      <w:r>
        <w:rPr>
          <w:rFonts w:ascii="Times New Roman" w:hAnsi="仿宋_GB2312" w:eastAsia="仿宋_GB2312" w:cs="Times New Roman"/>
        </w:rPr>
        <w:t>万余元，拒付医药机构违规资金</w:t>
      </w:r>
      <w:r>
        <w:rPr>
          <w:rFonts w:ascii="Times New Roman" w:hAnsi="Times New Roman" w:eastAsia="仿宋_GB2312" w:cs="Times New Roman"/>
        </w:rPr>
        <w:t>5</w:t>
      </w:r>
      <w:r>
        <w:rPr>
          <w:rFonts w:ascii="Times New Roman" w:hAnsi="仿宋_GB2312" w:eastAsia="仿宋_GB2312" w:cs="Times New Roman"/>
        </w:rPr>
        <w:t>万余元，立案查处</w:t>
      </w:r>
      <w:r>
        <w:rPr>
          <w:rFonts w:ascii="Times New Roman" w:hAnsi="Times New Roman" w:eastAsia="仿宋_GB2312" w:cs="Times New Roman"/>
        </w:rPr>
        <w:t>5</w:t>
      </w:r>
      <w:r>
        <w:rPr>
          <w:rFonts w:ascii="Times New Roman" w:hAnsi="仿宋_GB2312" w:eastAsia="仿宋_GB2312" w:cs="Times New Roman"/>
        </w:rPr>
        <w:t>家医药机构，罚款</w:t>
      </w:r>
      <w:r>
        <w:rPr>
          <w:rFonts w:ascii="Times New Roman" w:hAnsi="Times New Roman" w:eastAsia="仿宋_GB2312" w:cs="Times New Roman"/>
        </w:rPr>
        <w:t>22</w:t>
      </w:r>
      <w:r>
        <w:rPr>
          <w:rFonts w:ascii="Times New Roman" w:hAnsi="仿宋_GB2312" w:eastAsia="仿宋_GB2312" w:cs="Times New Roman"/>
        </w:rPr>
        <w:t>万余元，形成查处一个、震慑一片的效果，有力的打出了医保基金整治组合拳。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bCs/>
          <w:color w:val="111111"/>
          <w:sz w:val="32"/>
          <w:szCs w:val="32"/>
        </w:rPr>
      </w:pPr>
      <w:r>
        <w:rPr>
          <w:rFonts w:ascii="Times New Roman" w:hAnsi="楷体" w:eastAsia="楷体" w:cs="Times New Roman"/>
          <w:bCs/>
          <w:color w:val="111111"/>
          <w:sz w:val="32"/>
          <w:szCs w:val="32"/>
        </w:rPr>
        <w:t>（四）落实行政执法责任制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仿宋_GB2312" w:eastAsia="仿宋_GB2312" w:cs="Times New Roman"/>
        </w:rPr>
        <w:t>为进一步落实法治政府建设示范创建工作，</w:t>
      </w:r>
      <w:r>
        <w:rPr>
          <w:rFonts w:ascii="Times New Roman" w:hAnsi="Times New Roman" w:eastAsia="仿宋_GB2312" w:cs="Times New Roman"/>
        </w:rPr>
        <w:t>2022</w:t>
      </w:r>
      <w:r>
        <w:rPr>
          <w:rFonts w:ascii="Times New Roman" w:hAnsi="仿宋_GB2312" w:eastAsia="仿宋_GB2312" w:cs="Times New Roman"/>
        </w:rPr>
        <w:t>年，我局以医保基金监管为抓手，以宣传《医疗保障基金使用监督管理条例》</w:t>
      </w:r>
      <w:r>
        <w:rPr>
          <w:rFonts w:ascii="Times New Roman" w:hAnsi="仿宋_GB2312" w:eastAsia="仿宋_GB2312" w:cs="Times New Roman"/>
        </w:rPr>
        <w:t>为重点，认真贯彻落实</w:t>
      </w:r>
      <w:r>
        <w:rPr>
          <w:rFonts w:ascii="Times New Roman" w:hAnsi="Times New Roman" w:eastAsia="仿宋_GB2312" w:cs="Times New Roman"/>
        </w:rPr>
        <w:t>“</w:t>
      </w:r>
      <w:r>
        <w:rPr>
          <w:rFonts w:ascii="Times New Roman" w:hAnsi="仿宋_GB2312" w:eastAsia="仿宋_GB2312" w:cs="Times New Roman"/>
        </w:rPr>
        <w:t>谁执法谁普法</w:t>
      </w:r>
      <w:r>
        <w:rPr>
          <w:rFonts w:ascii="Times New Roman" w:hAnsi="Times New Roman" w:eastAsia="仿宋_GB2312" w:cs="Times New Roman"/>
        </w:rPr>
        <w:t>”</w:t>
      </w:r>
      <w:r>
        <w:rPr>
          <w:rFonts w:ascii="Times New Roman" w:hAnsi="仿宋_GB2312" w:eastAsia="仿宋_GB2312" w:cs="Times New Roman"/>
        </w:rPr>
        <w:t>的普法责任制，全面落实行政执法责任制，严格落实行政执法责任追究制度。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二、存在的不足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2022</w:t>
      </w:r>
      <w:r>
        <w:rPr>
          <w:rFonts w:ascii="Times New Roman" w:hAnsi="仿宋_GB2312" w:eastAsia="仿宋_GB2312" w:cs="Times New Roman"/>
          <w:snapToGrid w:val="0"/>
          <w:color w:val="000000"/>
          <w:kern w:val="0"/>
          <w:sz w:val="32"/>
          <w:szCs w:val="32"/>
        </w:rPr>
        <w:t>年我局法治政府建设取得了积极成效，但仍存有一定不足，主要体现在：一是基层医保经办工作</w:t>
      </w:r>
      <w:r>
        <w:rPr>
          <w:rFonts w:ascii="Times New Roman" w:hAnsi="Times New Roman" w:eastAsia="仿宋_GB2312" w:cs="Times New Roman"/>
          <w:sz w:val="32"/>
          <w:szCs w:val="32"/>
        </w:rPr>
        <w:t>人员法治水平还需进一步提高，经办服务规范化标准化程度还有待加强。</w:t>
      </w:r>
      <w:r>
        <w:rPr>
          <w:rFonts w:ascii="Times New Roman" w:hAnsi="仿宋_GB2312" w:eastAsia="仿宋_GB2312" w:cs="Times New Roman"/>
          <w:snapToGrid w:val="0"/>
          <w:color w:val="000000"/>
          <w:kern w:val="0"/>
          <w:sz w:val="32"/>
          <w:szCs w:val="32"/>
        </w:rPr>
        <w:t>二是拥有执法权限人员不足，</w:t>
      </w:r>
      <w:r>
        <w:rPr>
          <w:rFonts w:ascii="Times New Roman" w:hAnsi="Times New Roman" w:eastAsia="仿宋_GB2312" w:cs="Times New Roman"/>
          <w:sz w:val="32"/>
          <w:szCs w:val="32"/>
        </w:rPr>
        <w:t>难以满足和适应大量的监管业务需要和监管形势发展，</w:t>
      </w:r>
      <w:r>
        <w:rPr>
          <w:rFonts w:ascii="Times New Roman" w:hAnsi="仿宋_GB2312" w:eastAsia="仿宋_GB2312" w:cs="Times New Roman"/>
          <w:snapToGrid w:val="0"/>
          <w:color w:val="000000"/>
          <w:kern w:val="0"/>
          <w:sz w:val="32"/>
          <w:szCs w:val="32"/>
        </w:rPr>
        <w:t>法治人才队伍需进一步加强。</w:t>
      </w:r>
      <w:r>
        <w:rPr>
          <w:rFonts w:ascii="Times New Roman" w:hAnsi="Times New Roman" w:eastAsia="仿宋_GB2312" w:cs="Times New Roman"/>
          <w:sz w:val="32"/>
          <w:szCs w:val="32"/>
        </w:rPr>
        <w:t>三是法治宣传普及工作还有待加强，参保群众对医保政策法规知晓率还有待提高，在开展有特色、有深度的医保政策法规宣传活动上创新思路还不够开阔。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2023</w:t>
      </w:r>
      <w:r>
        <w:rPr>
          <w:rFonts w:ascii="Times New Roman" w:hAnsi="黑体" w:eastAsia="黑体" w:cs="Times New Roman"/>
          <w:sz w:val="32"/>
          <w:szCs w:val="32"/>
        </w:rPr>
        <w:t>年工作计划</w:t>
      </w:r>
    </w:p>
    <w:p>
      <w:pPr>
        <w:spacing w:line="560" w:lineRule="exact"/>
        <w:ind w:firstLine="66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191919"/>
          <w:spacing w:val="5"/>
          <w:sz w:val="32"/>
          <w:szCs w:val="32"/>
          <w:shd w:val="clear" w:color="auto" w:fill="FFFFFF"/>
        </w:rPr>
        <w:t>一是认真履行部门职责，强化医保基金监管。</w:t>
      </w:r>
      <w:r>
        <w:rPr>
          <w:rFonts w:ascii="Times New Roman" w:hAnsi="仿宋_GB2312" w:eastAsia="仿宋_GB2312" w:cs="Times New Roman"/>
          <w:sz w:val="32"/>
          <w:szCs w:val="32"/>
        </w:rPr>
        <w:t>严格按照《医疗保障基金使用监督管理条例》和基金监管检查全覆盖工作要求，进一步聚焦全区医疗保障领域违法违规和欺诈骗保行为，通过自查自纠、抽查复查等方式，逐一排查违法违规违约行为，实现现场检查全覆盖，规范医保服务行为。建立完善医保基金监管信用体系和诚信档案，对失信的单位及个人实施重点监控，严厉惩戒医保领域失信行为，不断提升行政执法监管效能。</w:t>
      </w:r>
    </w:p>
    <w:p>
      <w:pPr>
        <w:spacing w:line="560" w:lineRule="exact"/>
        <w:ind w:firstLine="66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191919"/>
          <w:spacing w:val="5"/>
          <w:sz w:val="32"/>
          <w:szCs w:val="32"/>
          <w:shd w:val="clear" w:color="auto" w:fill="FFFFFF"/>
        </w:rPr>
        <w:t>二是继续开展法治宣传教育，加强队伍建设。</w:t>
      </w:r>
      <w:r>
        <w:rPr>
          <w:rFonts w:ascii="Times New Roman" w:hAnsi="仿宋_GB2312" w:eastAsia="仿宋_GB2312" w:cs="Times New Roman"/>
          <w:sz w:val="32"/>
          <w:szCs w:val="32"/>
        </w:rPr>
        <w:t>深入学习宣传习近平法治思想、全面依法治国新理念新思想新战略，落实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sz w:val="32"/>
          <w:szCs w:val="32"/>
        </w:rPr>
        <w:t>谁执法谁普法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sz w:val="32"/>
          <w:szCs w:val="32"/>
        </w:rPr>
        <w:t>普法责任制；开展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仿宋_GB2312" w:eastAsia="仿宋_GB2312" w:cs="Times New Roman"/>
          <w:sz w:val="32"/>
          <w:szCs w:val="32"/>
        </w:rPr>
        <w:t>尊崇宪法、学习宪法、遵守宪法、维护宪法、运用宪法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仿宋_GB2312" w:eastAsia="仿宋_GB2312" w:cs="Times New Roman"/>
          <w:sz w:val="32"/>
          <w:szCs w:val="32"/>
        </w:rPr>
        <w:t>主题宣传教育活动，深入学习民法典、医保基金使用监督条例等法律法规，不断提高领导干部的法治意识；强化法治工作培训，加强法治队伍建设；</w:t>
      </w: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>紧密结合实际，制作医保领域法律法规宣传海报、宣传手册，利用“两微一端”等媒介广泛开展宣传，提高普及效果。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111111"/>
          <w:sz w:val="32"/>
          <w:szCs w:val="32"/>
        </w:rPr>
      </w:pP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color w:val="191919"/>
          <w:spacing w:val="5"/>
          <w:sz w:val="32"/>
          <w:szCs w:val="32"/>
          <w:shd w:val="clear" w:color="auto" w:fill="FFFFFF"/>
        </w:rPr>
        <w:t>三是完善法治政府制度建设，抓好政务公开</w:t>
      </w:r>
      <w:r>
        <w:rPr>
          <w:rFonts w:ascii="Times New Roman" w:hAnsi="Times New Roman" w:eastAsia="仿宋_GB2312" w:cs="Times New Roman"/>
          <w:color w:val="111111"/>
          <w:sz w:val="32"/>
          <w:szCs w:val="32"/>
        </w:rPr>
        <w:t>。在法治政府建设工作中，我局将进一步完善相关制度，紧紧围绕法治政府的总体建设目标，通过深化医保制度改革，完善政务服务体系建设，健全依法决策机制；加强规范性文件监管，加强行政执法监督检查；完善内部监督，强化医保重点领域监督，从而强化对行政权力的制约和监督，全面推进政务公开，推进政府的廉洁廉政建设。</w:t>
      </w:r>
    </w:p>
    <w:p>
      <w:pPr>
        <w:spacing w:line="560" w:lineRule="exact"/>
        <w:rPr>
          <w:rFonts w:ascii="Times New Roman" w:hAnsi="Times New Roman" w:eastAsia="仿宋_GB2312" w:cs="Times New Roman"/>
          <w:color w:val="111111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111111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color w:val="11111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9202302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                                                      </w:t>
        </w: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38818518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3NmI3ZTE1ZTYyNTljN2NjOTVmNGFiZmYyMDkyMWEifQ=="/>
  </w:docVars>
  <w:rsids>
    <w:rsidRoot w:val="00CB4F4F"/>
    <w:rsid w:val="000022ED"/>
    <w:rsid w:val="00085265"/>
    <w:rsid w:val="000B2225"/>
    <w:rsid w:val="000B3676"/>
    <w:rsid w:val="000E059C"/>
    <w:rsid w:val="00130108"/>
    <w:rsid w:val="00130C55"/>
    <w:rsid w:val="00135B61"/>
    <w:rsid w:val="00147370"/>
    <w:rsid w:val="001674C4"/>
    <w:rsid w:val="001746E2"/>
    <w:rsid w:val="001A61C4"/>
    <w:rsid w:val="001D2B07"/>
    <w:rsid w:val="00206EB8"/>
    <w:rsid w:val="002128D8"/>
    <w:rsid w:val="0022558A"/>
    <w:rsid w:val="0022791D"/>
    <w:rsid w:val="002A06C6"/>
    <w:rsid w:val="002B3695"/>
    <w:rsid w:val="00315F85"/>
    <w:rsid w:val="0032319D"/>
    <w:rsid w:val="00370338"/>
    <w:rsid w:val="00372F2A"/>
    <w:rsid w:val="00395990"/>
    <w:rsid w:val="003B0CE6"/>
    <w:rsid w:val="004015B0"/>
    <w:rsid w:val="00417698"/>
    <w:rsid w:val="004316DB"/>
    <w:rsid w:val="00454F4E"/>
    <w:rsid w:val="004644EB"/>
    <w:rsid w:val="00483F2F"/>
    <w:rsid w:val="00493E83"/>
    <w:rsid w:val="004C00D4"/>
    <w:rsid w:val="0055115A"/>
    <w:rsid w:val="00574974"/>
    <w:rsid w:val="005761B0"/>
    <w:rsid w:val="005B3E18"/>
    <w:rsid w:val="0060337A"/>
    <w:rsid w:val="006360BD"/>
    <w:rsid w:val="00636FD0"/>
    <w:rsid w:val="006444A5"/>
    <w:rsid w:val="0066795B"/>
    <w:rsid w:val="006A3904"/>
    <w:rsid w:val="006B702B"/>
    <w:rsid w:val="007074BA"/>
    <w:rsid w:val="007F49D4"/>
    <w:rsid w:val="00832227"/>
    <w:rsid w:val="0085450E"/>
    <w:rsid w:val="008952A7"/>
    <w:rsid w:val="0089642F"/>
    <w:rsid w:val="008F6882"/>
    <w:rsid w:val="009845CC"/>
    <w:rsid w:val="00A00355"/>
    <w:rsid w:val="00A174A6"/>
    <w:rsid w:val="00A2760B"/>
    <w:rsid w:val="00A37F23"/>
    <w:rsid w:val="00A669D4"/>
    <w:rsid w:val="00AE4C2D"/>
    <w:rsid w:val="00AE6343"/>
    <w:rsid w:val="00AE77B4"/>
    <w:rsid w:val="00B057C2"/>
    <w:rsid w:val="00B343E2"/>
    <w:rsid w:val="00B56FE5"/>
    <w:rsid w:val="00B6722D"/>
    <w:rsid w:val="00B74580"/>
    <w:rsid w:val="00B94ACD"/>
    <w:rsid w:val="00BA0A24"/>
    <w:rsid w:val="00C371F4"/>
    <w:rsid w:val="00C37D15"/>
    <w:rsid w:val="00CA64DD"/>
    <w:rsid w:val="00CB4F4F"/>
    <w:rsid w:val="00CF57AF"/>
    <w:rsid w:val="00D0713D"/>
    <w:rsid w:val="00D23C2D"/>
    <w:rsid w:val="00D90848"/>
    <w:rsid w:val="00D91740"/>
    <w:rsid w:val="00DB769F"/>
    <w:rsid w:val="00DC2117"/>
    <w:rsid w:val="00DE4263"/>
    <w:rsid w:val="00E16EFE"/>
    <w:rsid w:val="00E33588"/>
    <w:rsid w:val="00E41E3F"/>
    <w:rsid w:val="00E6201A"/>
    <w:rsid w:val="00E834E3"/>
    <w:rsid w:val="00E96008"/>
    <w:rsid w:val="00EA41F4"/>
    <w:rsid w:val="00EB71E8"/>
    <w:rsid w:val="00F059BC"/>
    <w:rsid w:val="00F7192C"/>
    <w:rsid w:val="00F75DE7"/>
    <w:rsid w:val="00FD042D"/>
    <w:rsid w:val="00FF4DE0"/>
    <w:rsid w:val="024141DC"/>
    <w:rsid w:val="02841BA1"/>
    <w:rsid w:val="02ED7EC0"/>
    <w:rsid w:val="039447DF"/>
    <w:rsid w:val="05947E3D"/>
    <w:rsid w:val="08283748"/>
    <w:rsid w:val="083E4D1A"/>
    <w:rsid w:val="091D7025"/>
    <w:rsid w:val="0A982E07"/>
    <w:rsid w:val="0C331EC9"/>
    <w:rsid w:val="0C550884"/>
    <w:rsid w:val="0E0407B3"/>
    <w:rsid w:val="0EC95C85"/>
    <w:rsid w:val="0F7756E1"/>
    <w:rsid w:val="100B7BD7"/>
    <w:rsid w:val="109E3C76"/>
    <w:rsid w:val="14FA32EB"/>
    <w:rsid w:val="15597637"/>
    <w:rsid w:val="15A9411A"/>
    <w:rsid w:val="15D1541F"/>
    <w:rsid w:val="16E15B36"/>
    <w:rsid w:val="17C074F9"/>
    <w:rsid w:val="17FB2C27"/>
    <w:rsid w:val="18027B12"/>
    <w:rsid w:val="18694035"/>
    <w:rsid w:val="18D92F68"/>
    <w:rsid w:val="18DA6CE0"/>
    <w:rsid w:val="199C7AF2"/>
    <w:rsid w:val="19C71013"/>
    <w:rsid w:val="1BE7774A"/>
    <w:rsid w:val="1D882867"/>
    <w:rsid w:val="21885769"/>
    <w:rsid w:val="22883309"/>
    <w:rsid w:val="228C2DF9"/>
    <w:rsid w:val="22B12860"/>
    <w:rsid w:val="2610789E"/>
    <w:rsid w:val="26D11723"/>
    <w:rsid w:val="27421CD9"/>
    <w:rsid w:val="294B0784"/>
    <w:rsid w:val="2B004385"/>
    <w:rsid w:val="2BC52ED8"/>
    <w:rsid w:val="2C1D4AC2"/>
    <w:rsid w:val="2C6B1CD2"/>
    <w:rsid w:val="2C7072E8"/>
    <w:rsid w:val="2D452523"/>
    <w:rsid w:val="2D483DC1"/>
    <w:rsid w:val="2DDD3C56"/>
    <w:rsid w:val="2EB45BB2"/>
    <w:rsid w:val="2EE713B8"/>
    <w:rsid w:val="2F2216DE"/>
    <w:rsid w:val="32F200C1"/>
    <w:rsid w:val="34050C5E"/>
    <w:rsid w:val="375C0B95"/>
    <w:rsid w:val="37D20E57"/>
    <w:rsid w:val="3A233BEC"/>
    <w:rsid w:val="3A257964"/>
    <w:rsid w:val="3BCB62E9"/>
    <w:rsid w:val="3CC03974"/>
    <w:rsid w:val="3DE25B6C"/>
    <w:rsid w:val="3E7C2600"/>
    <w:rsid w:val="3FB377C0"/>
    <w:rsid w:val="40FC63F3"/>
    <w:rsid w:val="41614FF9"/>
    <w:rsid w:val="42D9753D"/>
    <w:rsid w:val="42DE4B54"/>
    <w:rsid w:val="43D917BF"/>
    <w:rsid w:val="45F35A54"/>
    <w:rsid w:val="47145264"/>
    <w:rsid w:val="474C429D"/>
    <w:rsid w:val="4A0267A1"/>
    <w:rsid w:val="4B074E64"/>
    <w:rsid w:val="4BC30D8B"/>
    <w:rsid w:val="4C8524E4"/>
    <w:rsid w:val="4DC4703C"/>
    <w:rsid w:val="4F610FE6"/>
    <w:rsid w:val="51402E7D"/>
    <w:rsid w:val="523E73BD"/>
    <w:rsid w:val="524B3888"/>
    <w:rsid w:val="561072C2"/>
    <w:rsid w:val="57A001D2"/>
    <w:rsid w:val="58C24B9F"/>
    <w:rsid w:val="594A6647"/>
    <w:rsid w:val="5D333896"/>
    <w:rsid w:val="5ED05841"/>
    <w:rsid w:val="5F6F54B5"/>
    <w:rsid w:val="5F775CBC"/>
    <w:rsid w:val="62273381"/>
    <w:rsid w:val="666D1BC7"/>
    <w:rsid w:val="66FA39C9"/>
    <w:rsid w:val="674943E2"/>
    <w:rsid w:val="67EB36EB"/>
    <w:rsid w:val="683138AD"/>
    <w:rsid w:val="6B563571"/>
    <w:rsid w:val="6EBD218D"/>
    <w:rsid w:val="736C4C36"/>
    <w:rsid w:val="73920EBF"/>
    <w:rsid w:val="73BB0416"/>
    <w:rsid w:val="74E514C2"/>
    <w:rsid w:val="763B5B52"/>
    <w:rsid w:val="77843214"/>
    <w:rsid w:val="778C0BCB"/>
    <w:rsid w:val="7A5C3FD5"/>
    <w:rsid w:val="7C18217D"/>
    <w:rsid w:val="7DB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ind w:left="1680"/>
      <w:jc w:val="left"/>
      <w:textAlignment w:val="baseline"/>
    </w:pPr>
    <w:rPr>
      <w:rFonts w:ascii="黑体" w:hAnsi="Arial" w:eastAsia="黑体" w:cs="Arial"/>
      <w:snapToGrid w:val="0"/>
      <w:color w:val="000000"/>
      <w:kern w:val="0"/>
      <w:sz w:val="32"/>
      <w:szCs w:val="3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491C12-5C41-4211-A60F-B18E03FDD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303</Words>
  <Characters>1732</Characters>
  <Lines>14</Lines>
  <Paragraphs>4</Paragraphs>
  <TotalTime>113</TotalTime>
  <ScaleCrop>false</ScaleCrop>
  <LinksUpToDate>false</LinksUpToDate>
  <CharactersWithSpaces>2031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2022-12-16T07:15:00Z</dcterms:created>
  <dc:creator>Administrator</dc:creator>
  <cp:lastModifiedBy>zhouqin</cp:lastModifiedBy>
  <cp:lastPrinted>2022-12-19T06:04:00Z</cp:lastPrinted>
  <dcterms:modified xsi:type="dcterms:W3CDTF">2024-05-15T08:57:17Z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4ECDCDE8C619473CB7BF46A4454551AA</vt:lpwstr>
  </property>
</Properties>
</file>