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2DEF">
      <w:pPr>
        <w:keepNext w:val="0"/>
        <w:keepLines w:val="0"/>
        <w:pageBreakBefore w:val="0"/>
        <w:widowControl w:val="0"/>
        <w:tabs>
          <w:tab w:val="left" w:pos="25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件</w:t>
      </w:r>
    </w:p>
    <w:p w14:paraId="6D7CEFEC">
      <w:pPr>
        <w:keepNext w:val="0"/>
        <w:keepLines w:val="0"/>
        <w:pageBreakBefore w:val="0"/>
        <w:widowControl w:val="0"/>
        <w:tabs>
          <w:tab w:val="left" w:pos="25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征收农用地和未利用地区片综合地价及土地补偿费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安置补助费比例表</w:t>
      </w:r>
    </w:p>
    <w:p w14:paraId="492E45B7">
      <w:pPr>
        <w:keepNext w:val="0"/>
        <w:keepLines w:val="0"/>
        <w:pageBreakBefore w:val="0"/>
        <w:widowControl w:val="0"/>
        <w:tabs>
          <w:tab w:val="left" w:pos="25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ind w:right="0"/>
        <w:jc w:val="right"/>
        <w:textAlignment w:val="auto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  <w:t>单位：元/亩</w:t>
      </w:r>
    </w:p>
    <w:tbl>
      <w:tblPr>
        <w:tblStyle w:val="4"/>
        <w:tblW w:w="14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10"/>
        <w:gridCol w:w="1140"/>
        <w:gridCol w:w="765"/>
        <w:gridCol w:w="705"/>
        <w:gridCol w:w="1020"/>
        <w:gridCol w:w="1260"/>
        <w:gridCol w:w="7704"/>
      </w:tblGrid>
      <w:tr w14:paraId="053F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2101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36F5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农用地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6DE5C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未利用地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2C36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土地补偿费安置补助费</w:t>
            </w:r>
          </w:p>
        </w:tc>
        <w:tc>
          <w:tcPr>
            <w:tcW w:w="7704" w:type="dxa"/>
            <w:vMerge w:val="restart"/>
            <w:noWrap w:val="0"/>
            <w:vAlign w:val="center"/>
          </w:tcPr>
          <w:p w14:paraId="1240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区片范围描述</w:t>
            </w:r>
          </w:p>
        </w:tc>
      </w:tr>
      <w:tr w14:paraId="7FAB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24E8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A3D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耕地</w:t>
            </w:r>
          </w:p>
        </w:tc>
        <w:tc>
          <w:tcPr>
            <w:tcW w:w="1140" w:type="dxa"/>
            <w:noWrap w:val="0"/>
            <w:vAlign w:val="center"/>
          </w:tcPr>
          <w:p w14:paraId="6C96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种植园用地</w:t>
            </w:r>
          </w:p>
        </w:tc>
        <w:tc>
          <w:tcPr>
            <w:tcW w:w="765" w:type="dxa"/>
            <w:noWrap w:val="0"/>
            <w:vAlign w:val="center"/>
          </w:tcPr>
          <w:p w14:paraId="229C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林地</w:t>
            </w:r>
          </w:p>
        </w:tc>
        <w:tc>
          <w:tcPr>
            <w:tcW w:w="705" w:type="dxa"/>
            <w:noWrap w:val="0"/>
            <w:vAlign w:val="center"/>
          </w:tcPr>
          <w:p w14:paraId="2D74E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草地</w:t>
            </w:r>
          </w:p>
        </w:tc>
        <w:tc>
          <w:tcPr>
            <w:tcW w:w="1020" w:type="dxa"/>
            <w:vMerge w:val="continue"/>
            <w:noWrap w:val="0"/>
            <w:vAlign w:val="top"/>
          </w:tcPr>
          <w:p w14:paraId="551A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 w14:paraId="45C3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7704" w:type="dxa"/>
            <w:vMerge w:val="continue"/>
            <w:noWrap w:val="0"/>
            <w:vAlign w:val="top"/>
          </w:tcPr>
          <w:p w14:paraId="13CC664C">
            <w:pPr>
              <w:keepNext w:val="0"/>
              <w:keepLines w:val="0"/>
              <w:pageBreakBefore w:val="0"/>
              <w:tabs>
                <w:tab w:val="left" w:pos="2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12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  <w:tr w14:paraId="2F29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1206" w:type="dxa"/>
            <w:noWrap w:val="0"/>
            <w:vAlign w:val="center"/>
          </w:tcPr>
          <w:p w14:paraId="1B0B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610114001</w:t>
            </w:r>
          </w:p>
        </w:tc>
        <w:tc>
          <w:tcPr>
            <w:tcW w:w="810" w:type="dxa"/>
            <w:noWrap w:val="0"/>
            <w:vAlign w:val="center"/>
          </w:tcPr>
          <w:p w14:paraId="6CC7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64080</w:t>
            </w:r>
          </w:p>
        </w:tc>
        <w:tc>
          <w:tcPr>
            <w:tcW w:w="1140" w:type="dxa"/>
            <w:noWrap w:val="0"/>
            <w:vAlign w:val="center"/>
          </w:tcPr>
          <w:p w14:paraId="204F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64080</w:t>
            </w:r>
          </w:p>
        </w:tc>
        <w:tc>
          <w:tcPr>
            <w:tcW w:w="765" w:type="dxa"/>
            <w:noWrap w:val="0"/>
            <w:vAlign w:val="center"/>
          </w:tcPr>
          <w:p w14:paraId="66E4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64080</w:t>
            </w:r>
          </w:p>
        </w:tc>
        <w:tc>
          <w:tcPr>
            <w:tcW w:w="705" w:type="dxa"/>
            <w:noWrap w:val="0"/>
            <w:vAlign w:val="center"/>
          </w:tcPr>
          <w:p w14:paraId="510F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noWrap w:val="0"/>
            <w:vAlign w:val="center"/>
          </w:tcPr>
          <w:p w14:paraId="1390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38450</w:t>
            </w:r>
          </w:p>
        </w:tc>
        <w:tc>
          <w:tcPr>
            <w:tcW w:w="1260" w:type="dxa"/>
            <w:noWrap w:val="0"/>
            <w:vAlign w:val="center"/>
          </w:tcPr>
          <w:p w14:paraId="0FA2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</w:t>
            </w:r>
          </w:p>
        </w:tc>
        <w:tc>
          <w:tcPr>
            <w:tcW w:w="7704" w:type="dxa"/>
            <w:noWrap w:val="0"/>
            <w:vAlign w:val="center"/>
          </w:tcPr>
          <w:p w14:paraId="1B4F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主城区片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涵盖新华路街道全部区域和凤凰路街道铁路以南区域，共涉及2个街道的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24个社区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、6个行政村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。包括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新华路街道：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胜利街社区、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红旗社区、凌云社区、润天花苑社区、兴飞社区、同飞社区、航飞社区、科苑社区、航苑社区、公园街社区、福美社区、前进东路社区、人民东路社区、倚天社区、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麻张村、农兴村、绳张村；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凤凰路街道</w:t>
            </w:r>
            <w:r>
              <w:rPr>
                <w:rStyle w:val="9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佳苑社区、竹苑社区、延凤社区、凤凰东路社区、迎宾社区、铁路社区、鸿飞社区、蓝天路社区、文化路社区、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三贤村、新跃村、凤凰街社区（铁路以南部分）、阎良村（铁路以南部分）。</w:t>
            </w:r>
          </w:p>
        </w:tc>
      </w:tr>
      <w:tr w14:paraId="1079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exact"/>
          <w:jc w:val="center"/>
        </w:trPr>
        <w:tc>
          <w:tcPr>
            <w:tcW w:w="1206" w:type="dxa"/>
            <w:noWrap w:val="0"/>
            <w:vAlign w:val="center"/>
          </w:tcPr>
          <w:p w14:paraId="6A56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610114002</w:t>
            </w:r>
          </w:p>
        </w:tc>
        <w:tc>
          <w:tcPr>
            <w:tcW w:w="810" w:type="dxa"/>
            <w:noWrap w:val="0"/>
            <w:vAlign w:val="center"/>
          </w:tcPr>
          <w:p w14:paraId="377A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55890</w:t>
            </w:r>
          </w:p>
        </w:tc>
        <w:tc>
          <w:tcPr>
            <w:tcW w:w="1140" w:type="dxa"/>
            <w:noWrap w:val="0"/>
            <w:vAlign w:val="center"/>
          </w:tcPr>
          <w:p w14:paraId="4DB6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55890</w:t>
            </w:r>
          </w:p>
        </w:tc>
        <w:tc>
          <w:tcPr>
            <w:tcW w:w="765" w:type="dxa"/>
            <w:noWrap w:val="0"/>
            <w:vAlign w:val="center"/>
          </w:tcPr>
          <w:p w14:paraId="3452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55890</w:t>
            </w:r>
          </w:p>
        </w:tc>
        <w:tc>
          <w:tcPr>
            <w:tcW w:w="705" w:type="dxa"/>
            <w:noWrap w:val="0"/>
            <w:vAlign w:val="center"/>
          </w:tcPr>
          <w:p w14:paraId="01BE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noWrap w:val="0"/>
            <w:vAlign w:val="center"/>
          </w:tcPr>
          <w:p w14:paraId="6F27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33540</w:t>
            </w:r>
          </w:p>
        </w:tc>
        <w:tc>
          <w:tcPr>
            <w:tcW w:w="1260" w:type="dxa"/>
            <w:noWrap w:val="0"/>
            <w:vAlign w:val="center"/>
          </w:tcPr>
          <w:p w14:paraId="6225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</w:t>
            </w:r>
          </w:p>
        </w:tc>
        <w:tc>
          <w:tcPr>
            <w:tcW w:w="7704" w:type="dxa"/>
            <w:noWrap w:val="0"/>
            <w:vAlign w:val="center"/>
          </w:tcPr>
          <w:p w14:paraId="5DA3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主城周边区片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涵盖振兴街道、北屯街道、新兴街道全部区域和凤凰路街道铁路以北区域，共涉及4个街道的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9个社区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、29个行政村。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包括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北屯街道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：北屯村、箭王村、靳家村、李浩村（含浩东村）、李桥村（含禄寨村）、桥东村、秦家村、腰张村；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新兴街道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航新社区、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井家村、咀子村、屈家村、滨河村（含关/官路村、水北村）、邰家村、万南村、新牛村；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振兴街道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皇冠社区、人民西路社区、航空一路社区、航空二路社区、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昌平村、官刘村、龙游村（含红荆村）、聚宝村（含万先村屯南组、魏家组部分）、民合村（含万先村屯东、屯西部分）、慕郑村（又名慕政村）、坡底村、清河村、谭家村、新来村、新农村、郑家村；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凤凰路街道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前进中路社区、荆塬社区、荆航社区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、断垣村、凤凰街社区（铁路以北部分）、阎良村（铁路以北部分）。</w:t>
            </w:r>
          </w:p>
        </w:tc>
      </w:tr>
      <w:tr w14:paraId="5922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206" w:type="dxa"/>
            <w:noWrap w:val="0"/>
            <w:vAlign w:val="center"/>
          </w:tcPr>
          <w:p w14:paraId="7FBD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610114003</w:t>
            </w:r>
          </w:p>
        </w:tc>
        <w:tc>
          <w:tcPr>
            <w:tcW w:w="810" w:type="dxa"/>
            <w:noWrap w:val="0"/>
            <w:vAlign w:val="center"/>
          </w:tcPr>
          <w:p w14:paraId="3E14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48090</w:t>
            </w:r>
          </w:p>
        </w:tc>
        <w:tc>
          <w:tcPr>
            <w:tcW w:w="1140" w:type="dxa"/>
            <w:noWrap w:val="0"/>
            <w:vAlign w:val="center"/>
          </w:tcPr>
          <w:p w14:paraId="4DBE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48090</w:t>
            </w:r>
          </w:p>
        </w:tc>
        <w:tc>
          <w:tcPr>
            <w:tcW w:w="765" w:type="dxa"/>
            <w:noWrap w:val="0"/>
            <w:vAlign w:val="center"/>
          </w:tcPr>
          <w:p w14:paraId="70CD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48090</w:t>
            </w:r>
          </w:p>
        </w:tc>
        <w:tc>
          <w:tcPr>
            <w:tcW w:w="705" w:type="dxa"/>
            <w:noWrap w:val="0"/>
            <w:vAlign w:val="center"/>
          </w:tcPr>
          <w:p w14:paraId="3CCA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noWrap w:val="0"/>
            <w:vAlign w:val="center"/>
          </w:tcPr>
          <w:p w14:paraId="7E1F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28860</w:t>
            </w:r>
          </w:p>
        </w:tc>
        <w:tc>
          <w:tcPr>
            <w:tcW w:w="1260" w:type="dxa"/>
            <w:noWrap w:val="0"/>
            <w:vAlign w:val="center"/>
          </w:tcPr>
          <w:p w14:paraId="0923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3:7</w:t>
            </w:r>
          </w:p>
        </w:tc>
        <w:tc>
          <w:tcPr>
            <w:tcW w:w="7704" w:type="dxa"/>
            <w:noWrap w:val="0"/>
            <w:vAlign w:val="center"/>
          </w:tcPr>
          <w:p w14:paraId="0D9A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武屯、关山区片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涵盖武屯街道、关山街道全部区域，共涉及2个街道的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1个社区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39个行政村。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包括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关山街道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永丰社区、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北樊村、北冯村、北马村、代家村、东丁村、东兴村、樊家村、付马村、关山村、界坊村（又名介坊村）、康村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（又名康村村）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、康桥村、老王村、刘家村、南樊村、南房村、南冯村、光明村（含南良村、乔家村）、水寨村、苏赵村、粟邑村（含炮张村）、孙家村、新马村、新义村、长山村；</w:t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武屯街道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 w:bidi="ar"/>
              </w:rPr>
              <w:t>：东孙村、房村（又名房村委/房村村）、沟王村、广阳村、宏丰村、老寨村、栎阳村（含联党村、任张村）、仁官村（又名仁关村）、三合村、西相村、新庄村、杨居村（又名扬居村）、御宝村、御东村。</w:t>
            </w:r>
          </w:p>
        </w:tc>
      </w:tr>
    </w:tbl>
    <w:p w14:paraId="79C6E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00000000"/>
    <w:rsid w:val="0F6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111"/>
    <w:basedOn w:val="2"/>
    <w:unhideWhenUsed/>
    <w:qFormat/>
    <w:uiPriority w:val="59"/>
    <w:rPr>
      <w:rFonts w:ascii="Calibri" w:hAnsi="Calibri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2024-08-23T09:43:18Z</dcterms:created>
  <dc:creator>dyt</dc:creator>
  <cp:lastModifiedBy>zhouqin</cp:lastModifiedBy>
  <dcterms:modified xsi:type="dcterms:W3CDTF">2024-08-23T09:45:49Z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E0342D788A8548A8940629E734EE7518_12</vt:lpwstr>
  </property>
</Properties>
</file>