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83B1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i w:val="0"/>
          <w:iCs w:val="0"/>
          <w:caps w:val="0"/>
          <w:color w:val="000000"/>
          <w:spacing w:val="0"/>
          <w:sz w:val="40"/>
          <w:szCs w:val="40"/>
          <w:u w:val="none"/>
          <w:shd w:val="clear" w:fill="FFFFFF"/>
        </w:rPr>
      </w:pPr>
      <w:r>
        <w:rPr>
          <w:rFonts w:hint="eastAsia" w:ascii="宋体" w:hAnsi="宋体" w:eastAsia="宋体" w:cs="宋体"/>
          <w:b/>
          <w:bCs/>
          <w:i w:val="0"/>
          <w:iCs w:val="0"/>
          <w:caps w:val="0"/>
          <w:color w:val="000000"/>
          <w:spacing w:val="0"/>
          <w:sz w:val="40"/>
          <w:szCs w:val="40"/>
          <w:u w:val="none"/>
          <w:shd w:val="clear" w:fill="FFFFFF"/>
          <w:lang w:eastAsia="zh-CN"/>
        </w:rPr>
        <w:t>西安市阎良区水务局</w:t>
      </w:r>
      <w:r>
        <w:rPr>
          <w:rFonts w:hint="eastAsia" w:ascii="宋体" w:hAnsi="宋体" w:eastAsia="宋体" w:cs="宋体"/>
          <w:b/>
          <w:bCs/>
          <w:i w:val="0"/>
          <w:iCs w:val="0"/>
          <w:caps w:val="0"/>
          <w:color w:val="000000"/>
          <w:spacing w:val="0"/>
          <w:sz w:val="40"/>
          <w:szCs w:val="40"/>
          <w:u w:val="none"/>
          <w:shd w:val="clear" w:fill="FFFFFF"/>
        </w:rPr>
        <w:t>涉企行政执法事项清单</w:t>
      </w:r>
      <w:bookmarkStart w:id="0" w:name="_GoBack"/>
      <w:bookmarkEnd w:id="0"/>
    </w:p>
    <w:p w14:paraId="5466B945">
      <w:pPr>
        <w:keepNext w:val="0"/>
        <w:keepLines w:val="0"/>
        <w:pageBreakBefore w:val="0"/>
        <w:widowControl w:val="0"/>
        <w:kinsoku/>
        <w:wordWrap/>
        <w:overflowPunct/>
        <w:topLinePunct w:val="0"/>
        <w:autoSpaceDE/>
        <w:autoSpaceDN/>
        <w:bidi w:val="0"/>
        <w:adjustRightInd/>
        <w:snapToGrid/>
        <w:spacing w:after="157" w:afterLines="50"/>
        <w:ind w:firstLine="240" w:firstLineChars="100"/>
        <w:jc w:val="both"/>
        <w:textAlignment w:val="auto"/>
        <w:rPr>
          <w:rFonts w:hint="eastAsia" w:ascii="黑体" w:hAnsi="黑体" w:eastAsia="黑体" w:cs="黑体"/>
          <w:b w:val="0"/>
          <w:bCs w:val="0"/>
          <w:i w:val="0"/>
          <w:iCs w:val="0"/>
          <w:caps w:val="0"/>
          <w:color w:val="000000"/>
          <w:spacing w:val="0"/>
          <w:sz w:val="24"/>
          <w:szCs w:val="24"/>
          <w:u w:val="none"/>
          <w:shd w:val="clear" w:fill="FFFFFF"/>
          <w:lang w:val="en-US" w:eastAsia="zh-CN"/>
        </w:rPr>
      </w:pPr>
      <w:r>
        <w:rPr>
          <w:rFonts w:hint="eastAsia" w:ascii="黑体" w:hAnsi="黑体" w:eastAsia="黑体" w:cs="黑体"/>
          <w:b w:val="0"/>
          <w:bCs w:val="0"/>
          <w:i w:val="0"/>
          <w:iCs w:val="0"/>
          <w:caps w:val="0"/>
          <w:color w:val="000000"/>
          <w:spacing w:val="0"/>
          <w:sz w:val="24"/>
          <w:szCs w:val="24"/>
          <w:u w:val="none"/>
          <w:shd w:val="clear" w:fill="FFFFFF"/>
          <w:lang w:val="en-US" w:eastAsia="zh-CN"/>
        </w:rPr>
        <w:t>填报单位：西安市阎良区水务局                                                            填报时间：2025年2月21日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220"/>
        <w:gridCol w:w="1800"/>
        <w:gridCol w:w="2145"/>
        <w:gridCol w:w="4485"/>
        <w:gridCol w:w="1440"/>
        <w:gridCol w:w="1154"/>
      </w:tblGrid>
      <w:tr w14:paraId="60F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 w:type="dxa"/>
            <w:vAlign w:val="center"/>
          </w:tcPr>
          <w:p w14:paraId="2F40BDA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序号</w:t>
            </w:r>
          </w:p>
        </w:tc>
        <w:tc>
          <w:tcPr>
            <w:tcW w:w="2220" w:type="dxa"/>
            <w:vAlign w:val="center"/>
          </w:tcPr>
          <w:p w14:paraId="5952102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sz w:val="32"/>
                <w:szCs w:val="32"/>
                <w:vertAlign w:val="baseline"/>
                <w:lang w:val="en-US"/>
              </w:rPr>
            </w:pPr>
            <w:r>
              <w:rPr>
                <w:rFonts w:hint="eastAsia" w:ascii="宋体" w:hAnsi="宋体" w:eastAsia="宋体" w:cs="宋体"/>
                <w:b/>
                <w:bCs/>
                <w:i w:val="0"/>
                <w:iCs w:val="0"/>
                <w:caps w:val="0"/>
                <w:color w:val="000000"/>
                <w:spacing w:val="0"/>
                <w:kern w:val="0"/>
                <w:sz w:val="24"/>
                <w:szCs w:val="24"/>
                <w:u w:val="none"/>
                <w:lang w:val="en-US" w:eastAsia="zh-CN" w:bidi="ar"/>
              </w:rPr>
              <w:t>执法事项</w:t>
            </w:r>
          </w:p>
        </w:tc>
        <w:tc>
          <w:tcPr>
            <w:tcW w:w="1800" w:type="dxa"/>
            <w:vAlign w:val="center"/>
          </w:tcPr>
          <w:p w14:paraId="49CA330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执法类别</w:t>
            </w:r>
          </w:p>
        </w:tc>
        <w:tc>
          <w:tcPr>
            <w:tcW w:w="2145" w:type="dxa"/>
            <w:vAlign w:val="center"/>
          </w:tcPr>
          <w:p w14:paraId="309322B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执法主体</w:t>
            </w:r>
          </w:p>
        </w:tc>
        <w:tc>
          <w:tcPr>
            <w:tcW w:w="4485" w:type="dxa"/>
            <w:vAlign w:val="center"/>
          </w:tcPr>
          <w:p w14:paraId="7A791A5F">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vertAlign w:val="baseline"/>
              </w:rPr>
            </w:pPr>
            <w:r>
              <w:rPr>
                <w:rFonts w:hint="eastAsia" w:ascii="宋体" w:hAnsi="宋体" w:eastAsia="宋体" w:cs="宋体"/>
                <w:b/>
                <w:bCs/>
                <w:i w:val="0"/>
                <w:iCs w:val="0"/>
                <w:caps w:val="0"/>
                <w:color w:val="000000"/>
                <w:spacing w:val="0"/>
                <w:kern w:val="0"/>
                <w:sz w:val="24"/>
                <w:szCs w:val="24"/>
                <w:u w:val="none"/>
                <w:lang w:val="en-US" w:eastAsia="zh-CN" w:bidi="ar"/>
              </w:rPr>
              <w:t>执法依据</w:t>
            </w:r>
          </w:p>
        </w:tc>
        <w:tc>
          <w:tcPr>
            <w:tcW w:w="1440" w:type="dxa"/>
            <w:vAlign w:val="center"/>
          </w:tcPr>
          <w:p w14:paraId="4EE0B65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aps w:val="0"/>
                <w:color w:val="000000"/>
                <w:spacing w:val="0"/>
                <w:kern w:val="0"/>
                <w:sz w:val="24"/>
                <w:szCs w:val="24"/>
                <w:u w:val="none"/>
                <w:lang w:val="en-US" w:eastAsia="zh-CN" w:bidi="ar"/>
              </w:rPr>
            </w:pPr>
            <w:r>
              <w:rPr>
                <w:rFonts w:hint="eastAsia" w:ascii="宋体" w:hAnsi="宋体" w:eastAsia="宋体" w:cs="宋体"/>
                <w:b/>
                <w:bCs/>
                <w:i w:val="0"/>
                <w:iCs w:val="0"/>
                <w:caps w:val="0"/>
                <w:color w:val="000000"/>
                <w:spacing w:val="0"/>
                <w:kern w:val="0"/>
                <w:sz w:val="24"/>
                <w:szCs w:val="24"/>
                <w:u w:val="none"/>
                <w:lang w:val="en-US" w:eastAsia="zh-CN" w:bidi="ar"/>
              </w:rPr>
              <w:t>执法频次</w:t>
            </w:r>
          </w:p>
        </w:tc>
        <w:tc>
          <w:tcPr>
            <w:tcW w:w="1154" w:type="dxa"/>
            <w:vAlign w:val="center"/>
          </w:tcPr>
          <w:p w14:paraId="56DC3D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aps w:val="0"/>
                <w:color w:val="000000"/>
                <w:spacing w:val="0"/>
                <w:kern w:val="0"/>
                <w:sz w:val="24"/>
                <w:szCs w:val="24"/>
                <w:u w:val="none"/>
                <w:lang w:val="en-US" w:eastAsia="zh-CN" w:bidi="ar"/>
              </w:rPr>
            </w:pPr>
            <w:r>
              <w:rPr>
                <w:rFonts w:hint="eastAsia" w:ascii="宋体" w:hAnsi="宋体" w:eastAsia="宋体" w:cs="宋体"/>
                <w:b/>
                <w:bCs/>
                <w:i w:val="0"/>
                <w:iCs w:val="0"/>
                <w:caps w:val="0"/>
                <w:color w:val="000000"/>
                <w:spacing w:val="0"/>
                <w:kern w:val="0"/>
                <w:sz w:val="24"/>
                <w:szCs w:val="24"/>
                <w:u w:val="none"/>
                <w:lang w:val="en-US" w:eastAsia="zh-CN" w:bidi="ar"/>
              </w:rPr>
              <w:t>备注</w:t>
            </w:r>
          </w:p>
        </w:tc>
      </w:tr>
      <w:tr w14:paraId="6993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30" w:type="dxa"/>
            <w:vAlign w:val="center"/>
          </w:tcPr>
          <w:p w14:paraId="2E2EB0CB">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color w:val="000000"/>
                <w:sz w:val="21"/>
                <w:szCs w:val="21"/>
                <w:lang w:val="en-US" w:eastAsia="zh-CN" w:bidi="ar"/>
              </w:rPr>
              <w:t>1</w:t>
            </w:r>
          </w:p>
        </w:tc>
        <w:tc>
          <w:tcPr>
            <w:tcW w:w="2220" w:type="dxa"/>
            <w:vAlign w:val="center"/>
          </w:tcPr>
          <w:p w14:paraId="1083EE59">
            <w:pPr>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对行政许可事项进行监督检查</w:t>
            </w:r>
          </w:p>
        </w:tc>
        <w:tc>
          <w:tcPr>
            <w:tcW w:w="1800" w:type="dxa"/>
            <w:vAlign w:val="center"/>
          </w:tcPr>
          <w:p w14:paraId="4DE5D99D">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14:paraId="3AF9D54B">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14:paraId="4CAADAAD">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《取水许可和水资源费征收管理条例》第四十五条，即：县级以上人民政府水行政主管部门或者流域管理机构在进行监督检查时，有权采取下列措施：</w:t>
            </w:r>
          </w:p>
          <w:p w14:paraId="6988E102">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（一）要求被检查单位或者个人提供有关文件、证照、资料；</w:t>
            </w:r>
          </w:p>
          <w:p w14:paraId="6A0883D4">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（二）要求被检查单位或者个人就执行本条例的有关问题作出说明；</w:t>
            </w:r>
          </w:p>
          <w:p w14:paraId="63FC6B74">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（三）进入被检查单位或者个人的生产场所进行调查；</w:t>
            </w:r>
          </w:p>
          <w:p w14:paraId="51F4E309">
            <w:pPr>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（四）责令被检查单位或者个人停止违反本条例的行为，履行法定义务。</w:t>
            </w:r>
          </w:p>
        </w:tc>
        <w:tc>
          <w:tcPr>
            <w:tcW w:w="1440" w:type="dxa"/>
            <w:vAlign w:val="center"/>
          </w:tcPr>
          <w:p w14:paraId="40D7A4A1">
            <w:pPr>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14:paraId="1BC8F4EE">
            <w:pPr>
              <w:jc w:val="center"/>
              <w:rPr>
                <w:rFonts w:hint="eastAsia" w:ascii="仿宋" w:hAnsi="仿宋" w:eastAsia="仿宋" w:cs="仿宋"/>
                <w:i w:val="0"/>
                <w:iCs w:val="0"/>
                <w:caps w:val="0"/>
                <w:color w:val="000000"/>
                <w:spacing w:val="0"/>
                <w:kern w:val="2"/>
                <w:sz w:val="24"/>
                <w:szCs w:val="24"/>
                <w:shd w:val="clear" w:fill="FFFFFF"/>
                <w:lang w:val="en-US" w:eastAsia="zh-CN" w:bidi="ar-SA"/>
              </w:rPr>
            </w:pPr>
          </w:p>
        </w:tc>
      </w:tr>
      <w:tr w14:paraId="4C6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30" w:type="dxa"/>
            <w:vAlign w:val="center"/>
          </w:tcPr>
          <w:p w14:paraId="24C7F3B9">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color w:val="000000"/>
                <w:sz w:val="21"/>
                <w:szCs w:val="21"/>
                <w:lang w:val="en-US" w:eastAsia="zh-CN" w:bidi="ar"/>
              </w:rPr>
              <w:t>2</w:t>
            </w:r>
          </w:p>
        </w:tc>
        <w:tc>
          <w:tcPr>
            <w:tcW w:w="2220" w:type="dxa"/>
            <w:vAlign w:val="center"/>
          </w:tcPr>
          <w:p w14:paraId="0428E830">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对城区供水工程的监督检查</w:t>
            </w:r>
          </w:p>
        </w:tc>
        <w:tc>
          <w:tcPr>
            <w:tcW w:w="1800" w:type="dxa"/>
            <w:vAlign w:val="center"/>
          </w:tcPr>
          <w:p w14:paraId="0771E5B0">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default"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14:paraId="3673024A">
            <w:pPr>
              <w:pStyle w:val="3"/>
              <w:keepNext w:val="0"/>
              <w:keepLines w:val="0"/>
              <w:pageBreakBefore w:val="0"/>
              <w:shd w:val="clear" w:color="auto" w:fill="FFFFFF"/>
              <w:kinsoku/>
              <w:wordWrap/>
              <w:overflowPunct/>
              <w:topLinePunct w:val="0"/>
              <w:bidi w:val="0"/>
              <w:spacing w:before="0" w:beforeAutospacing="0" w:after="0" w:afterAutospacing="0" w:line="320" w:lineRule="exact"/>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14:paraId="7E85130E">
            <w:pPr>
              <w:jc w:val="both"/>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城市供水水质管理规定》第四条，即：国务院建设主管部门负责全国城市供水水质监督管理工作。省、自治区人民政府建设主管部门负责本行政区域内的城市供水水质监督管理工作。直辖市、市、县人民政府确定的城市供水主管部门负责本行政区域内的城市供水水质监督管理工作。涉及生活饮用水的卫生监督管理，由县级以上人民政府建设、卫生主管部门按照《生活饮用水卫生监督管理办法》（建设部、卫生部令第53号）的规定分工负责。</w:t>
            </w:r>
          </w:p>
        </w:tc>
        <w:tc>
          <w:tcPr>
            <w:tcW w:w="1440" w:type="dxa"/>
            <w:vAlign w:val="center"/>
          </w:tcPr>
          <w:p w14:paraId="103EF6EA">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14:paraId="272E9483">
            <w:pPr>
              <w:jc w:val="center"/>
              <w:rPr>
                <w:rFonts w:hint="eastAsia" w:ascii="仿宋_GB2312" w:hAnsi="仿宋_GB2312" w:eastAsia="仿宋_GB2312" w:cs="仿宋_GB2312"/>
                <w:sz w:val="32"/>
                <w:szCs w:val="32"/>
                <w:vertAlign w:val="baseline"/>
              </w:rPr>
            </w:pPr>
          </w:p>
        </w:tc>
      </w:tr>
      <w:tr w14:paraId="1C99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14:paraId="61E323D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220" w:type="dxa"/>
            <w:vAlign w:val="center"/>
          </w:tcPr>
          <w:p w14:paraId="1FADF541">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对取用水行为的监督检查</w:t>
            </w:r>
          </w:p>
        </w:tc>
        <w:tc>
          <w:tcPr>
            <w:tcW w:w="1800" w:type="dxa"/>
            <w:vAlign w:val="center"/>
          </w:tcPr>
          <w:p w14:paraId="1529EEB4">
            <w:pPr>
              <w:jc w:val="center"/>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14:paraId="793EE0F3">
            <w:pPr>
              <w:jc w:val="center"/>
              <w:rPr>
                <w:rFonts w:hint="eastAsia" w:ascii="仿宋_GB2312" w:hAnsi="仿宋_GB2312" w:eastAsia="仿宋_GB2312" w:cs="仿宋_GB2312"/>
                <w:sz w:val="32"/>
                <w:szCs w:val="32"/>
                <w:vertAlign w:val="baseline"/>
                <w:lang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14:paraId="2B4BC83B">
            <w:pPr>
              <w:jc w:val="left"/>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《中华人民共和国水法》第六十条，即：县级以上人民政府水行政主管部门、流域管理机构及其水政监督检查人员履行本法规定的监督检查职责时，有权采取下列措施：</w:t>
            </w:r>
          </w:p>
          <w:p w14:paraId="2FD65CB5">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(一)要求被检查单位提供有关文件、证照、资料；</w:t>
            </w:r>
          </w:p>
          <w:p w14:paraId="4A4787FE">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(二)要求被检查单位就执行本法的有关问题作出说明；</w:t>
            </w:r>
          </w:p>
          <w:p w14:paraId="57229F00">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(三)进入被检查单位的生产场所进行调查；</w:t>
            </w:r>
          </w:p>
          <w:p w14:paraId="455C9764">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(四)责令被检查单位停止违反本法的行为，履行法定义务。</w:t>
            </w:r>
          </w:p>
        </w:tc>
        <w:tc>
          <w:tcPr>
            <w:tcW w:w="1440" w:type="dxa"/>
            <w:vAlign w:val="center"/>
          </w:tcPr>
          <w:p w14:paraId="1E4E6322">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auto"/>
                <w:spacing w:val="0"/>
                <w:kern w:val="2"/>
                <w:sz w:val="24"/>
                <w:szCs w:val="24"/>
                <w:shd w:val="clear" w:fill="FFFFFF"/>
                <w:lang w:val="en-US" w:eastAsia="zh-CN" w:bidi="ar-SA"/>
              </w:rPr>
              <w:t>1次</w:t>
            </w:r>
          </w:p>
        </w:tc>
        <w:tc>
          <w:tcPr>
            <w:tcW w:w="1154" w:type="dxa"/>
            <w:vAlign w:val="center"/>
          </w:tcPr>
          <w:p w14:paraId="09423E0B">
            <w:pPr>
              <w:jc w:val="center"/>
              <w:rPr>
                <w:rFonts w:hint="eastAsia" w:ascii="仿宋_GB2312" w:hAnsi="仿宋_GB2312" w:eastAsia="仿宋_GB2312" w:cs="仿宋_GB2312"/>
                <w:sz w:val="32"/>
                <w:szCs w:val="32"/>
                <w:vertAlign w:val="baseline"/>
              </w:rPr>
            </w:pPr>
          </w:p>
        </w:tc>
      </w:tr>
      <w:tr w14:paraId="3E8D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30" w:type="dxa"/>
            <w:vAlign w:val="center"/>
          </w:tcPr>
          <w:p w14:paraId="30E47733">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220" w:type="dxa"/>
            <w:vAlign w:val="center"/>
          </w:tcPr>
          <w:p w14:paraId="6B800162">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对水资源税缴纳情况的监督检查</w:t>
            </w:r>
          </w:p>
        </w:tc>
        <w:tc>
          <w:tcPr>
            <w:tcW w:w="1800" w:type="dxa"/>
            <w:vAlign w:val="center"/>
          </w:tcPr>
          <w:p w14:paraId="635E944D">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行政监督检查</w:t>
            </w:r>
          </w:p>
        </w:tc>
        <w:tc>
          <w:tcPr>
            <w:tcW w:w="2145" w:type="dxa"/>
            <w:vAlign w:val="center"/>
          </w:tcPr>
          <w:p w14:paraId="43CCE32A">
            <w:pPr>
              <w:jc w:val="center"/>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西安市阎良区水务局</w:t>
            </w:r>
          </w:p>
        </w:tc>
        <w:tc>
          <w:tcPr>
            <w:tcW w:w="4485" w:type="dxa"/>
            <w:vAlign w:val="center"/>
          </w:tcPr>
          <w:p w14:paraId="20D09F76">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《取水许可和水资源费征收管理条例》第四十五条，即：县级以上人民政府水行政主管部门或者流域管理机构在进行监督检查时，有权采取下列措施：</w:t>
            </w:r>
          </w:p>
          <w:p w14:paraId="6E33F831">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（一）要求被检查单位或者个人提供有关文件、证照、资料；</w:t>
            </w:r>
          </w:p>
          <w:p w14:paraId="176E1ABB">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（二）要求被检查单位或者个人就执行本条例的有关问题作出说明；</w:t>
            </w:r>
          </w:p>
          <w:p w14:paraId="543BA8DE">
            <w:pPr>
              <w:jc w:val="both"/>
              <w:rPr>
                <w:rFonts w:hint="eastAsia" w:ascii="仿宋" w:hAnsi="仿宋" w:eastAsia="仿宋" w:cs="仿宋"/>
                <w:i w:val="0"/>
                <w:iCs w:val="0"/>
                <w:caps w:val="0"/>
                <w:color w:val="000000"/>
                <w:spacing w:val="0"/>
                <w:kern w:val="2"/>
                <w:sz w:val="24"/>
                <w:szCs w:val="24"/>
                <w:shd w:val="clear" w:fill="FFFFFF"/>
                <w:lang w:val="en-US" w:eastAsia="zh-CN" w:bidi="ar-SA"/>
              </w:rPr>
            </w:pPr>
            <w:r>
              <w:rPr>
                <w:rFonts w:hint="eastAsia" w:ascii="仿宋" w:hAnsi="仿宋" w:eastAsia="仿宋" w:cs="仿宋"/>
                <w:i w:val="0"/>
                <w:iCs w:val="0"/>
                <w:caps w:val="0"/>
                <w:color w:val="000000"/>
                <w:spacing w:val="0"/>
                <w:kern w:val="2"/>
                <w:sz w:val="24"/>
                <w:szCs w:val="24"/>
                <w:shd w:val="clear" w:fill="FFFFFF"/>
                <w:lang w:val="en-US" w:eastAsia="zh-CN" w:bidi="ar-SA"/>
              </w:rPr>
              <w:t>（三）进入被检查单位或者个人的生产场所进行调查；</w:t>
            </w:r>
          </w:p>
          <w:p w14:paraId="1DC094CE">
            <w:pPr>
              <w:jc w:val="left"/>
              <w:rPr>
                <w:rFonts w:hint="eastAsia" w:ascii="仿宋_GB2312" w:hAnsi="仿宋_GB2312" w:eastAsia="仿宋_GB2312" w:cs="仿宋_GB2312"/>
                <w:sz w:val="32"/>
                <w:szCs w:val="32"/>
                <w:vertAlign w:val="baseline"/>
              </w:rPr>
            </w:pPr>
            <w:r>
              <w:rPr>
                <w:rFonts w:hint="eastAsia" w:ascii="仿宋" w:hAnsi="仿宋" w:eastAsia="仿宋" w:cs="仿宋"/>
                <w:i w:val="0"/>
                <w:iCs w:val="0"/>
                <w:caps w:val="0"/>
                <w:color w:val="000000"/>
                <w:spacing w:val="0"/>
                <w:kern w:val="2"/>
                <w:sz w:val="24"/>
                <w:szCs w:val="24"/>
                <w:shd w:val="clear" w:fill="FFFFFF"/>
                <w:lang w:val="en-US" w:eastAsia="zh-CN" w:bidi="ar-SA"/>
              </w:rPr>
              <w:t>（四）责令被检查单位或者个人停止违反本条例的行为，履行法定义务。</w:t>
            </w:r>
          </w:p>
        </w:tc>
        <w:tc>
          <w:tcPr>
            <w:tcW w:w="1440" w:type="dxa"/>
            <w:vAlign w:val="center"/>
          </w:tcPr>
          <w:p w14:paraId="4E4861DB">
            <w:pPr>
              <w:jc w:val="center"/>
              <w:rPr>
                <w:rFonts w:hint="eastAsia" w:ascii="仿宋_GB2312" w:hAnsi="仿宋_GB2312" w:eastAsia="仿宋_GB2312" w:cs="仿宋_GB2312"/>
                <w:sz w:val="32"/>
                <w:szCs w:val="32"/>
                <w:vertAlign w:val="baseline"/>
                <w:lang w:val="en-US" w:eastAsia="zh-CN"/>
              </w:rPr>
            </w:pPr>
            <w:r>
              <w:rPr>
                <w:rFonts w:hint="eastAsia" w:ascii="仿宋" w:hAnsi="仿宋" w:eastAsia="仿宋" w:cs="仿宋"/>
                <w:i w:val="0"/>
                <w:iCs w:val="0"/>
                <w:caps w:val="0"/>
                <w:color w:val="000000"/>
                <w:spacing w:val="0"/>
                <w:kern w:val="2"/>
                <w:sz w:val="24"/>
                <w:szCs w:val="24"/>
                <w:shd w:val="clear" w:fill="FFFFFF"/>
                <w:lang w:val="en-US" w:eastAsia="zh-CN" w:bidi="ar-SA"/>
              </w:rPr>
              <w:t>1次</w:t>
            </w:r>
          </w:p>
        </w:tc>
        <w:tc>
          <w:tcPr>
            <w:tcW w:w="1154" w:type="dxa"/>
            <w:vAlign w:val="center"/>
          </w:tcPr>
          <w:p w14:paraId="741E0FFD">
            <w:pPr>
              <w:jc w:val="center"/>
              <w:rPr>
                <w:rFonts w:hint="eastAsia" w:ascii="仿宋_GB2312" w:hAnsi="仿宋_GB2312" w:eastAsia="仿宋_GB2312" w:cs="仿宋_GB2312"/>
                <w:sz w:val="32"/>
                <w:szCs w:val="32"/>
                <w:vertAlign w:val="baseline"/>
              </w:rPr>
            </w:pPr>
          </w:p>
        </w:tc>
      </w:tr>
    </w:tbl>
    <w:p w14:paraId="7A800C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备注：1.执法类别具体包括行政处罚、行政强制、行政许可、行政征收、行政给付、行政确认、行政裁决、行政补偿、行政奖励及行政监督检查。</w:t>
      </w:r>
    </w:p>
    <w:p w14:paraId="354DF56F">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2.执法依据需参照表中示例格式填写。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6241"/>
    <w:rsid w:val="07632135"/>
    <w:rsid w:val="0D503B02"/>
    <w:rsid w:val="23625B6A"/>
    <w:rsid w:val="3A5E5D35"/>
    <w:rsid w:val="4FB10AE9"/>
    <w:rsid w:val="66B54814"/>
    <w:rsid w:val="7888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1001</Characters>
  <Lines>0</Lines>
  <Paragraphs>0</Paragraphs>
  <TotalTime>44</TotalTime>
  <ScaleCrop>false</ScaleCrop>
  <LinksUpToDate>false</LinksUpToDate>
  <CharactersWithSpaces>1061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2023-08-17T03:50:00Z</dcterms:created>
  <dc:creator>Administrator</dc:creator>
  <cp:lastModifiedBy>zhouqin</cp:lastModifiedBy>
  <cp:lastPrinted>2023-08-17T08:01:00Z</cp:lastPrinted>
  <dcterms:modified xsi:type="dcterms:W3CDTF">2025-02-28T03:52:06Z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eyJoZGlkIjoiOTM3NmI3ZTE1ZTYyNTljN2NjOTVmNGFiZmYyMDkyMWEiLCJ1c2VySWQiOiI0ODg5MTU2MDkifQ==</vt:lpwstr>
  </property>
  <property fmtid="{D5CDD505-2E9C-101B-9397-08002B2CF9AE}" pid="4" name="ICV">
    <vt:lpwstr>22379E61EC4C4A0193DAB1AA8E8D8B1B_12</vt:lpwstr>
  </property>
</Properties>
</file>