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西安市阎良区交通运输局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2024年度生态环境保护职责履行情况报告</w:t>
      </w:r>
      <w:bookmarkStart w:id="0" w:name="_GoBack"/>
      <w:bookmarkEnd w:id="0"/>
    </w:p>
    <w:p>
      <w:pPr>
        <w:jc w:val="left"/>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ind w:leftChars="0" w:firstLine="64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一、重点工作完成情况</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en-US" w:eastAsia="zh-CN" w:bidi="ar-SA"/>
        </w:rPr>
        <w:t>指导、落实优化全区公路网建设，调整运输结构，减少道路移动源污染排放，倡导推动绿色出行。</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完成情况：优化公路网建设方面：对宏新路、阎富路进行路面养护，消除路面破损带来的扬尘隐患。运输及绿色出行方面，指导运输企业投资300余万元，购置了15台北汽新能源9座商务客车，开通了阎良—西安（小寨）新能源定制快客；更新新能源出租车175辆，我区47辆公交车223辆出租汽车全部为零污染的新能源纯电动公交车，新能源纯电动车辆的投入使用，降低了尾气污染 ，提高了城市形象，为我区人民群众提供绿色、低碳、环保的出行环境。</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以公共领域用车为重点推进新能源化，全年新增或更新的公交车、出租车（含网约车）中，新能源或清洁能源车辆比例达到100%。</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完成情况：本年度更新新能源出租车175辆，其中大地出租汽车公司98辆，佳翔出租汽车公司75辆，华谊出租汽车公司2辆，目前阎良区223辆出租汽车全部更新为新能源，出租车100%实现新能源；47辆公交车新能源纯电动公交车，公交车100%实现新能源。</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加强公路两侧公路用地范围内裸土的绿化、硬化。协调国省干线公路加强扬尘清扫清洗力度，细化结冰期和非结冰期道路清扫方案，提高洒水降尘频次，有效降低道路二次扬尘污染。</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完成情况：2024年</w:t>
      </w:r>
      <w:r>
        <w:rPr>
          <w:rFonts w:hint="eastAsia" w:ascii="仿宋_GB2312" w:hAnsi="仿宋_GB2312" w:eastAsia="仿宋_GB2312" w:cs="仿宋_GB2312"/>
          <w:sz w:val="32"/>
          <w:szCs w:val="32"/>
          <w:highlight w:val="none"/>
          <w:lang w:val="en-US" w:eastAsia="zh-CN"/>
        </w:rPr>
        <w:t>无路侧硬化，绿化。西安公路局阎良公路段，</w:t>
      </w:r>
      <w:r>
        <w:rPr>
          <w:rFonts w:hint="eastAsia" w:ascii="仿宋_GB2312" w:hAnsi="仿宋_GB2312" w:eastAsia="仿宋_GB2312" w:cs="仿宋_GB2312"/>
          <w:color w:val="auto"/>
          <w:sz w:val="32"/>
          <w:szCs w:val="32"/>
          <w:highlight w:val="none"/>
          <w:lang w:val="en-US" w:eastAsia="zh-CN"/>
        </w:rPr>
        <w:t>平均每月清扫路面6000千平方米，出动清扫车52台班，水车26台班，人工600工日。</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增加道路保洁机扫车辆、设备，提高公路机械化清扫保洁水平。</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完成情况：2024年加大“机械+人力”投入，扎实做好全区540余公里农村公路日常养护和沿线环境整治。对阎富路、友谊路、环塬路等重点路段坚持“三扫三洒”，截至目前共出动道工15066余人次，清扫、湿扫路面累计24000余公里，洒水降尘累计约565余方，制止公路两边乱倒垃圾约39起，清理县乡公路道路两侧堆积物及垃圾约600余方，累计清理路面抛撒、灰带约363.6公里；</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US" w:eastAsia="zh-CN" w:bidi="ar-SA"/>
        </w:rPr>
        <w:t>新建、改建、扩建公路建设项目，优先采用具备渗水、吸尘的新型路面材料铺设。</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完成情况：2024公路建设项目路面铺设均按设计要求选用合格的路面材料，满足环保相关标准规范要求。</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en-US" w:eastAsia="zh-CN" w:bidi="ar-SA"/>
        </w:rPr>
        <w:t>建立公路建设工地动态管理清单，加强公路建设工地日常督导检查，全面落实“六个百分百”“七个到位”要求。重点区域3公里范围内达不到A级的工地及时降级处理。</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完成情况：</w:t>
      </w:r>
      <w:r>
        <w:rPr>
          <w:rFonts w:hint="eastAsia" w:ascii="仿宋_GB2312" w:hAnsi="仿宋_GB2312" w:eastAsia="仿宋_GB2312" w:cs="仿宋_GB2312"/>
          <w:sz w:val="32"/>
          <w:szCs w:val="32"/>
          <w:highlight w:val="none"/>
          <w:lang w:val="en-US" w:eastAsia="zh-CN"/>
        </w:rPr>
        <w:t>根据《西安市公路施工扬尘治理差异化管理工作方案(试行)》（市交发〔2023〕184号）文件，京昆高速阎良段改扩建主体工程已于2023年10月建成通车，相关扬尘在线监测系统已拆除，剩余部分点位尾留工程均按C类工地进行监管；督促施工单位严格落实“六个百分百”“七个到位”等相关抑尘措施，建立动态管理清单；对京昆高速阎良段改扩建尾留工程及2024年农村公路养护工程定期检查，发现问题立即通知施工单位进行整改，长期坚持。</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7.</w:t>
      </w:r>
      <w:r>
        <w:rPr>
          <w:rFonts w:hint="default" w:ascii="Times New Roman" w:hAnsi="Times New Roman" w:eastAsia="仿宋_GB2312" w:cs="Times New Roman"/>
          <w:color w:val="auto"/>
          <w:kern w:val="2"/>
          <w:sz w:val="32"/>
          <w:szCs w:val="32"/>
          <w:lang w:val="en-US" w:eastAsia="zh-CN" w:bidi="ar-SA"/>
        </w:rPr>
        <w:t>将公路建设工地扬尘管理工作不到位的不良信息纳入建筑市场信用管理体系，情节严重的实行信用惩戒。</w:t>
      </w:r>
    </w:p>
    <w:p>
      <w:pPr>
        <w:keepNext w:val="0"/>
        <w:keepLines w:val="0"/>
        <w:pageBreakBefore w:val="0"/>
        <w:widowControl/>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完成情况：</w:t>
      </w:r>
      <w:r>
        <w:rPr>
          <w:rFonts w:hint="eastAsia" w:ascii="仿宋_GB2312" w:hAnsi="仿宋_GB2312" w:eastAsia="仿宋_GB2312" w:cs="仿宋_GB2312"/>
          <w:sz w:val="32"/>
          <w:szCs w:val="32"/>
          <w:highlight w:val="none"/>
          <w:lang w:val="en-US" w:eastAsia="zh-CN"/>
        </w:rPr>
        <w:t>相关扬尘污染问题均及时通知施工单位，施工单位均整改；下一步若工地扬尘污染现象持续复发、情节严重将进行信用惩戒，长期坚持。</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8.</w:t>
      </w:r>
      <w:r>
        <w:rPr>
          <w:rFonts w:hint="default" w:ascii="Times New Roman" w:hAnsi="Times New Roman" w:eastAsia="仿宋_GB2312" w:cs="Times New Roman"/>
          <w:color w:val="auto"/>
          <w:kern w:val="2"/>
          <w:sz w:val="32"/>
          <w:szCs w:val="32"/>
          <w:lang w:val="en-US" w:eastAsia="zh-CN" w:bidi="ar-SA"/>
        </w:rPr>
        <w:t>按照《危险货物道路运输安全管理办法》，加强对危险货物（危险化学品、危险废物）道路运输企业的监管，协助相关部门处理公路交通安全事故引发的生态环境污染事件。</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完成情况：辖区内无危险品运输企业。</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9.加强汽车维修行业危险废物、挥发有机物污染防治工作。</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完成情况：1、工作部署：2024年6月20日召集全区汽修企业对危废处置业务培训会；2024年9月2日所有执法人员在环保局学习汽修企业监管交流提升会；2024年9月24日召集全区汽修企业观摩学习大气污染防治专项行动方案；组织汽车维修企业负责人参加危险废物和VOCs污染防治专题培训2次，培训人数达200人次，深入解读《中华人民共和国固体废物污染环境防治法》《挥发性有机物无组织排放控制标准》等法律法规和标准规范。2、巡监情况：对辖区内156家汽车维修企业全面开展检查，重点检查危险废物产生、贮存、转移情况，以及挥发性有机物（VOCs）排放环节、治理设施运行状况 ，并建立详细的企业危废台账。联合生态环保部门，对全区40家漆房企业进行重点检查。</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10.</w:t>
      </w:r>
      <w:r>
        <w:rPr>
          <w:rFonts w:hint="default" w:ascii="Times New Roman" w:hAnsi="Times New Roman" w:eastAsia="仿宋_GB2312" w:cs="Times New Roman"/>
          <w:color w:val="auto"/>
          <w:kern w:val="2"/>
          <w:sz w:val="32"/>
          <w:szCs w:val="32"/>
          <w:lang w:val="en-US" w:eastAsia="zh-CN" w:bidi="ar-SA"/>
        </w:rPr>
        <w:t>区委、区政府明确的其他涉生态环保具体事项。</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完成情况：对于区监委《关于强化汽修行业大气污染防治工作的监察建议》阎监</w:t>
      </w:r>
      <w:r>
        <w:rPr>
          <w:rFonts w:hint="eastAsia" w:ascii="仿宋_GB2312" w:hAnsi="仿宋_GB2312" w:eastAsia="仿宋_GB2312" w:cs="仿宋_GB2312"/>
          <w:color w:val="auto"/>
          <w:kern w:val="2"/>
          <w:sz w:val="32"/>
          <w:szCs w:val="32"/>
          <w:lang w:val="en-US" w:eastAsia="zh-CN" w:bidi="ar-SA"/>
        </w:rPr>
        <w:t>〔2024〕43号</w:t>
      </w:r>
      <w:r>
        <w:rPr>
          <w:rFonts w:hint="eastAsia" w:ascii="Times New Roman" w:hAnsi="Times New Roman" w:eastAsia="仿宋_GB2312" w:cs="Times New Roman"/>
          <w:color w:val="auto"/>
          <w:kern w:val="2"/>
          <w:sz w:val="32"/>
          <w:szCs w:val="32"/>
          <w:lang w:val="en-US" w:eastAsia="zh-CN" w:bidi="ar-SA"/>
        </w:rPr>
        <w:t>反馈的问题，我局立即组织执法人员进行业务培训，加强大气污染执法检查业务能力，联合环保部门、辖区街办对通报频次较高的汽修企业进行帮扶检查，各部门介入形成齐抓共管，杜绝同一问题被多次通报，同时对于企业内部的日常管理，指导建立了危废管理制度、漆房耗材使用台账、水性漆使用台账、危废存储等台账，极大的促进了企业规范化参与大气治理。</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default" w:ascii="黑体" w:hAnsi="黑体" w:eastAsia="黑体" w:cs="黑体"/>
          <w:sz w:val="32"/>
          <w:szCs w:val="32"/>
          <w:lang w:val="en-US" w:eastAsia="zh-CN"/>
        </w:rPr>
        <w:t>2024</w:t>
      </w:r>
      <w:r>
        <w:rPr>
          <w:rFonts w:hint="eastAsia" w:ascii="黑体" w:hAnsi="黑体" w:eastAsia="黑体" w:cs="黑体"/>
          <w:sz w:val="32"/>
          <w:szCs w:val="32"/>
          <w:lang w:val="en-US" w:eastAsia="zh-CN"/>
        </w:rPr>
        <w:t>年度推进生态环境保护职责履行存在的不足</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Times New Roman" w:hAnsi="Times New Roman" w:eastAsia="仿宋_GB2312" w:cs="Times New Roman"/>
          <w:color w:val="auto"/>
          <w:kern w:val="2"/>
          <w:sz w:val="32"/>
          <w:szCs w:val="32"/>
          <w:lang w:val="en-US" w:eastAsia="zh-CN" w:bidi="ar-SA"/>
        </w:rPr>
        <w:t>1.思想认识方面，对于文件理解不够精准，上下级沟通欠缺，存在等、靠的懒散思想，缺乏工作主动性；2.工作方面，回复上级反馈的问题，整改不够及时；3.执法工作工作中，对于企业的违规行为，环保专业性欠缺，导致同一问题被反复通报。针对以上不足之处，我们需进一步提高思想认识，高度重视大气污染治理工作的重要性、紧迫性，同时组织工作人员学习，提升大气污染防治工作业务能力，推动大气治理工作精细化、科技化、高效化。</w:t>
      </w:r>
    </w:p>
    <w:p>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三、2025年度推进生态环境保护职责履行的主要安排</w:t>
      </w:r>
    </w:p>
    <w:p>
      <w:pPr>
        <w:keepNext w:val="0"/>
        <w:keepLines w:val="0"/>
        <w:pageBreakBefore w:val="0"/>
        <w:kinsoku/>
        <w:wordWrap/>
        <w:overflowPunct/>
        <w:topLinePunct w:val="0"/>
        <w:autoSpaceDE/>
        <w:autoSpaceDN/>
        <w:bidi w:val="0"/>
        <w:adjustRightInd/>
        <w:snapToGrid/>
        <w:ind w:leftChars="0" w:firstLine="64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1.公路建方面：对现有公路等级提升积极争取项目落地并实施；2.协调西安公路路阎良公路段做好国省干线裸土绿化、硬化及路面保洁工作，重点对城乡结合部路段做好洒水、保洁工作；3.对在建的交通项目工地，</w:t>
      </w:r>
      <w:r>
        <w:rPr>
          <w:rFonts w:hint="default" w:ascii="Times New Roman" w:hAnsi="Times New Roman" w:eastAsia="仿宋_GB2312" w:cs="Times New Roman"/>
          <w:color w:val="auto"/>
          <w:kern w:val="2"/>
          <w:sz w:val="32"/>
          <w:szCs w:val="32"/>
          <w:lang w:val="en-US" w:eastAsia="zh-CN" w:bidi="ar-SA"/>
        </w:rPr>
        <w:t>全面落实“六个百分百”“七个到位”要求</w:t>
      </w:r>
      <w:r>
        <w:rPr>
          <w:rFonts w:hint="eastAsia" w:ascii="Times New Roman" w:hAnsi="Times New Roman" w:eastAsia="仿宋_GB2312" w:cs="Times New Roman"/>
          <w:color w:val="auto"/>
          <w:kern w:val="2"/>
          <w:sz w:val="32"/>
          <w:szCs w:val="32"/>
          <w:lang w:val="en-US" w:eastAsia="zh-CN" w:bidi="ar-SA"/>
        </w:rPr>
        <w:t>，加强行业监管；4.加强汽修行业产生</w:t>
      </w:r>
      <w:r>
        <w:rPr>
          <w:rFonts w:hint="default" w:ascii="Times New Roman" w:hAnsi="Times New Roman" w:eastAsia="仿宋_GB2312" w:cs="Times New Roman"/>
          <w:color w:val="auto"/>
          <w:kern w:val="2"/>
          <w:sz w:val="32"/>
          <w:szCs w:val="32"/>
          <w:lang w:val="en-US" w:eastAsia="zh-CN" w:bidi="ar-SA"/>
        </w:rPr>
        <w:t>危险废物、挥发有机物</w:t>
      </w:r>
      <w:r>
        <w:rPr>
          <w:rFonts w:hint="eastAsia" w:ascii="Times New Roman" w:hAnsi="Times New Roman" w:eastAsia="仿宋_GB2312" w:cs="Times New Roman"/>
          <w:color w:val="auto"/>
          <w:kern w:val="2"/>
          <w:sz w:val="32"/>
          <w:szCs w:val="32"/>
          <w:lang w:val="en-US" w:eastAsia="zh-CN" w:bidi="ar-SA"/>
        </w:rPr>
        <w:t>排放监管</w:t>
      </w:r>
      <w:r>
        <w:rPr>
          <w:rFonts w:hint="default" w:ascii="Times New Roman" w:hAnsi="Times New Roman" w:eastAsia="仿宋_GB2312" w:cs="Times New Roman"/>
          <w:color w:val="auto"/>
          <w:kern w:val="2"/>
          <w:sz w:val="32"/>
          <w:szCs w:val="32"/>
          <w:lang w:val="en-US" w:eastAsia="zh-CN" w:bidi="ar-SA"/>
        </w:rPr>
        <w:t>工作</w:t>
      </w:r>
      <w:r>
        <w:rPr>
          <w:rFonts w:hint="eastAsia" w:ascii="Times New Roman" w:hAnsi="Times New Roman" w:eastAsia="仿宋_GB2312" w:cs="Times New Roman"/>
          <w:color w:val="auto"/>
          <w:kern w:val="2"/>
          <w:sz w:val="32"/>
          <w:szCs w:val="32"/>
          <w:lang w:val="en-US" w:eastAsia="zh-CN" w:bidi="ar-SA"/>
        </w:rPr>
        <w:t>，落实好各级部门下发的各项任务。</w:t>
      </w:r>
    </w:p>
    <w:sectPr>
      <w:pgSz w:w="11906" w:h="16838"/>
      <w:pgMar w:top="2120" w:right="1463" w:bottom="178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079C3"/>
    <w:rsid w:val="04CD643B"/>
    <w:rsid w:val="05F00F12"/>
    <w:rsid w:val="0A216696"/>
    <w:rsid w:val="0E276F31"/>
    <w:rsid w:val="0FDA17CC"/>
    <w:rsid w:val="10D57F9F"/>
    <w:rsid w:val="117E017D"/>
    <w:rsid w:val="1615355E"/>
    <w:rsid w:val="16B34B25"/>
    <w:rsid w:val="18502A27"/>
    <w:rsid w:val="1A681208"/>
    <w:rsid w:val="1E5956F3"/>
    <w:rsid w:val="24D7CD85"/>
    <w:rsid w:val="26D57765"/>
    <w:rsid w:val="2A994A44"/>
    <w:rsid w:val="37CD23EF"/>
    <w:rsid w:val="39ED1F78"/>
    <w:rsid w:val="3A7F0825"/>
    <w:rsid w:val="3CA93677"/>
    <w:rsid w:val="3DE43692"/>
    <w:rsid w:val="3F4519A7"/>
    <w:rsid w:val="42F67F96"/>
    <w:rsid w:val="43D11130"/>
    <w:rsid w:val="47F460ED"/>
    <w:rsid w:val="4CA7245A"/>
    <w:rsid w:val="4D9EE487"/>
    <w:rsid w:val="4DD3F25C"/>
    <w:rsid w:val="4E1A6C5C"/>
    <w:rsid w:val="517F7502"/>
    <w:rsid w:val="52F061DD"/>
    <w:rsid w:val="55470842"/>
    <w:rsid w:val="58C633C4"/>
    <w:rsid w:val="5B7693EF"/>
    <w:rsid w:val="5BE9CACE"/>
    <w:rsid w:val="5C597867"/>
    <w:rsid w:val="5E7E040C"/>
    <w:rsid w:val="5F095452"/>
    <w:rsid w:val="5F4973A1"/>
    <w:rsid w:val="5FA55B60"/>
    <w:rsid w:val="69DF4B8A"/>
    <w:rsid w:val="6A627569"/>
    <w:rsid w:val="71BD5998"/>
    <w:rsid w:val="73441F01"/>
    <w:rsid w:val="74CC487B"/>
    <w:rsid w:val="751B5EDA"/>
    <w:rsid w:val="75241FEA"/>
    <w:rsid w:val="77FA34D6"/>
    <w:rsid w:val="79013B92"/>
    <w:rsid w:val="79B853F7"/>
    <w:rsid w:val="79F790CA"/>
    <w:rsid w:val="7A6354C5"/>
    <w:rsid w:val="7BED7CB6"/>
    <w:rsid w:val="7F737761"/>
    <w:rsid w:val="EFFC2A9C"/>
    <w:rsid w:val="FB9F7BD6"/>
    <w:rsid w:val="FD9F0718"/>
    <w:rsid w:val="FECBF116"/>
    <w:rsid w:val="FFF16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16</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2025-03-27T18:20:00Z</dcterms:created>
  <dc:creator>Administrator</dc:creator>
  <cp:lastModifiedBy>guest</cp:lastModifiedBy>
  <dcterms:modified xsi:type="dcterms:W3CDTF">2025-03-31T09:59:47Z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KSOTemplateDocerSaveRecord">
    <vt:lpwstr>eyJoZGlkIjoiYjk3MjQwODRiOTkxMmQ3Mjc1YjU3NTliNjIxMTYwN2YiLCJ1c2VySWQiOiI1Nzg3OTQ3ODYifQ==</vt:lpwstr>
  </property>
  <property fmtid="{D5CDD505-2E9C-101B-9397-08002B2CF9AE}" pid="4" name="ICV">
    <vt:lpwstr>EF36AAF13B86443B978A406E476F7264_12</vt:lpwstr>
  </property>
</Properties>
</file>