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CADE38"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ascii="黑体" w:hAnsi="黑体" w:eastAsia="黑体"/>
          <w:sz w:val="32"/>
          <w:szCs w:val="32"/>
        </w:rPr>
        <w:t>1</w:t>
      </w:r>
    </w:p>
    <w:p w14:paraId="1ACFAAA7">
      <w:pPr>
        <w:spacing w:line="640" w:lineRule="exact"/>
        <w:ind w:firstLine="2650" w:firstLineChars="600"/>
        <w:jc w:val="left"/>
        <w:rPr>
          <w:rFonts w:ascii="方正小标宋简体" w:hAnsi="Calibri" w:eastAsia="方正小标宋简体"/>
          <w:b/>
          <w:sz w:val="44"/>
          <w:szCs w:val="44"/>
        </w:rPr>
      </w:pPr>
      <w:r>
        <w:rPr>
          <w:rFonts w:hint="eastAsia" w:ascii="方正小标宋简体" w:eastAsia="方正小标宋简体"/>
          <w:b/>
          <w:sz w:val="44"/>
          <w:szCs w:val="44"/>
        </w:rPr>
        <w:t>本次检验项目</w:t>
      </w:r>
    </w:p>
    <w:p w14:paraId="012C5AF8">
      <w:pPr>
        <w:numPr>
          <w:ilvl w:val="0"/>
          <w:numId w:val="1"/>
        </w:numPr>
        <w:spacing w:line="600" w:lineRule="exact"/>
        <w:ind w:firstLine="640" w:firstLineChars="200"/>
        <w:rPr>
          <w:rFonts w:hint="eastAsia" w:ascii="黑体" w:eastAsia="黑体"/>
          <w:sz w:val="32"/>
          <w:szCs w:val="32"/>
        </w:rPr>
      </w:pPr>
      <w:r>
        <w:rPr>
          <w:rFonts w:hint="eastAsia" w:ascii="黑体" w:eastAsia="黑体"/>
          <w:sz w:val="32"/>
          <w:szCs w:val="32"/>
        </w:rPr>
        <w:t>食用农产品</w:t>
      </w:r>
    </w:p>
    <w:p w14:paraId="11A3AB78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</w:t>
      </w:r>
      <w:r>
        <w:rPr>
          <w:rFonts w:eastAsia="仿宋_GB2312"/>
          <w:kern w:val="0"/>
          <w:sz w:val="32"/>
          <w:szCs w:val="32"/>
        </w:rPr>
        <w:t>抽检依据</w:t>
      </w:r>
    </w:p>
    <w:p w14:paraId="3C23E6ED">
      <w:pPr>
        <w:wordWrap w:val="0"/>
        <w:spacing w:line="360" w:lineRule="auto"/>
        <w:ind w:firstLine="640" w:firstLineChars="200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抽检依据为GB 5009.12-2023《食品安全国家标准 食品中铅的测定》(第二法 电感耦合等离子体质谱法)，GB 5009.15-2023《食品安全国家标准 食品中镉的测定》(第二法 电感耦合等离子体质谱法)，GB 5009.34-2022《食品安全国家标准 食品中二氧化硫的测定》(第一法 酸碱滴定法)，GB 23200.113-2018《食品安全国家标准 植物源性食品中208种农药及其代谢物残留量的测定 气相色谱-质谱联用法》，GB 23200.39-2016《食品安全国家标准 食品中噻虫嗪及其代谢物噻虫胺残留量的测定 液相色谱-质谱/质谱法》，NY/T 761-2008《蔬菜和水果中有机磷、有机氯、拟除虫菊酯和氨基甲酸酯类农药多残留的测定》(第1部分:蔬菜和水果中有机磷类农药多残留的测定 方法二)，SN/T 2624-2010《动物源性食品中多种碱性药物残留量的检测方法 液相色谱-质谱/质谱法》，GB 31658.20-2022《食品安全国家标准 动物性食品中酰胺醇类药物及其代谢物残留量的测定 液相色谱-串联质谱法》GB/T 21312-2007《动物源性食品中14种喹诺酮药物残留检测方法 液相色谱-质谱/质谱法》，SN/T 2538-2010《进出口动物源性食品中二甲氧苄氨嘧啶、三甲氧苄氨嘧啶和二甲氧甲基苄氨嘧啶残留量的检测方法 液相色谱-质谱/质谱法》。</w:t>
      </w:r>
    </w:p>
    <w:p w14:paraId="5CF3BD11">
      <w:pPr>
        <w:numPr>
          <w:ilvl w:val="0"/>
          <w:numId w:val="2"/>
        </w:num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eastAsia="仿宋_GB2312"/>
          <w:kern w:val="0"/>
          <w:sz w:val="32"/>
          <w:szCs w:val="32"/>
        </w:rPr>
        <w:t>抽检项目</w:t>
      </w:r>
    </w:p>
    <w:p w14:paraId="7991A9B2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lang w:eastAsia="zh-CN"/>
        </w:rPr>
      </w:pPr>
      <w:r>
        <w:rPr>
          <w:rFonts w:hint="eastAsia" w:eastAsia="仿宋_GB2312"/>
          <w:kern w:val="0"/>
          <w:sz w:val="32"/>
          <w:szCs w:val="32"/>
          <w:lang w:val="en-US" w:eastAsia="zh-CN"/>
        </w:rPr>
        <w:t>食用农产品类的抽检项目包括</w:t>
      </w:r>
      <w:r>
        <w:rPr>
          <w:rFonts w:hint="eastAsia" w:eastAsia="仿宋_GB2312"/>
          <w:kern w:val="0"/>
          <w:sz w:val="32"/>
          <w:szCs w:val="32"/>
        </w:rPr>
        <w:t>铅(以Pb计)、镉(以Cd计)、二氧化硫残留量、氯氟氰菊酯和高效氯氟氰菊酯、氯氰菊酯和高效氯氰菊酯、噻虫胺、噻虫嗪、氧乐果</w:t>
      </w:r>
      <w:r>
        <w:rPr>
          <w:rFonts w:hint="eastAsia" w:eastAsia="仿宋_GB2312"/>
          <w:kern w:val="0"/>
          <w:sz w:val="32"/>
          <w:szCs w:val="32"/>
          <w:lang w:eastAsia="zh-CN"/>
        </w:rPr>
        <w:t>、吡虫啉、毒死蜱、水胺硫磷、甲硝唑、地美硝唑、氯霉素、氟苯尼考、恩诺沙星、氧氟沙星、沙拉沙星、甲氧苄啶。</w:t>
      </w:r>
    </w:p>
    <w:p w14:paraId="4287C158">
      <w:pPr>
        <w:numPr>
          <w:ilvl w:val="0"/>
          <w:numId w:val="0"/>
        </w:numPr>
        <w:spacing w:line="600" w:lineRule="exact"/>
        <w:rPr>
          <w:rFonts w:hint="default" w:eastAsia="黑体"/>
          <w:kern w:val="0"/>
          <w:sz w:val="32"/>
          <w:szCs w:val="32"/>
          <w:lang w:val="en-US" w:eastAsia="zh-CN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二、餐饮食品</w:t>
      </w:r>
    </w:p>
    <w:p w14:paraId="68CF74C2">
      <w:pPr>
        <w:numPr>
          <w:ilvl w:val="0"/>
          <w:numId w:val="3"/>
        </w:numPr>
        <w:spacing w:line="600" w:lineRule="exact"/>
        <w:ind w:left="420" w:left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eastAsia="仿宋_GB2312"/>
          <w:kern w:val="0"/>
          <w:sz w:val="32"/>
          <w:szCs w:val="32"/>
          <w:highlight w:val="none"/>
        </w:rPr>
        <w:t>抽检依据</w:t>
      </w:r>
    </w:p>
    <w:p w14:paraId="728F60B3">
      <w:pPr>
        <w:numPr>
          <w:ilvl w:val="0"/>
          <w:numId w:val="0"/>
        </w:numPr>
        <w:spacing w:line="600" w:lineRule="exact"/>
        <w:ind w:firstLine="640" w:firstLineChars="200"/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抽检依据为GB 14934-2016《食品安全国家标准 消毒餐(饮)具》(附录B B.1 发酵法),GB/T 5750.4-2006《生活饮用水标准检验方法 感官性状和物理指标》</w:t>
      </w:r>
      <w:bookmarkStart w:id="0" w:name="_GoBack"/>
      <w:bookmarkEnd w:id="0"/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(亚甲蓝分光光度法)。</w:t>
      </w:r>
    </w:p>
    <w:p w14:paraId="54EEFF11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  <w:highlight w:val="none"/>
        </w:rPr>
      </w:pPr>
      <w:r>
        <w:rPr>
          <w:rFonts w:hint="eastAsia" w:eastAsia="仿宋_GB2312"/>
          <w:kern w:val="0"/>
          <w:sz w:val="32"/>
          <w:szCs w:val="32"/>
          <w:highlight w:val="none"/>
        </w:rPr>
        <w:t>（二）</w:t>
      </w:r>
      <w:r>
        <w:rPr>
          <w:rFonts w:eastAsia="仿宋_GB2312"/>
          <w:kern w:val="0"/>
          <w:sz w:val="32"/>
          <w:szCs w:val="32"/>
          <w:highlight w:val="none"/>
        </w:rPr>
        <w:t>抽检项目</w:t>
      </w:r>
    </w:p>
    <w:p w14:paraId="04ACEE4B">
      <w:pPr>
        <w:numPr>
          <w:numId w:val="0"/>
        </w:numPr>
        <w:spacing w:line="600" w:lineRule="exact"/>
        <w:ind w:firstLine="640" w:firstLineChars="200"/>
        <w:rPr>
          <w:rFonts w:hint="default" w:eastAsia="黑体"/>
          <w:kern w:val="0"/>
          <w:sz w:val="32"/>
          <w:szCs w:val="32"/>
          <w:highlight w:val="none"/>
          <w:lang w:val="en-US"/>
        </w:rPr>
      </w:pPr>
      <w:r>
        <w:rPr>
          <w:rFonts w:hint="eastAsia" w:eastAsia="仿宋_GB2312"/>
          <w:kern w:val="0"/>
          <w:sz w:val="32"/>
          <w:szCs w:val="32"/>
          <w:highlight w:val="none"/>
          <w:lang w:val="en-US" w:eastAsia="zh-CN"/>
        </w:rPr>
        <w:t>大肠菌群、阴离子合成洗涤剂（以十二烷基苯磺酸钠计）。</w:t>
      </w:r>
    </w:p>
    <w:p w14:paraId="0C75A449">
      <w:pPr>
        <w:numPr>
          <w:numId w:val="0"/>
        </w:numPr>
        <w:spacing w:line="600" w:lineRule="exact"/>
        <w:rPr>
          <w:rFonts w:hint="default" w:eastAsia="黑体"/>
          <w:kern w:val="0"/>
          <w:sz w:val="32"/>
          <w:szCs w:val="32"/>
          <w:lang w:val="en-US"/>
        </w:rPr>
      </w:pPr>
      <w:r>
        <w:rPr>
          <w:rFonts w:hint="eastAsia" w:eastAsia="黑体"/>
          <w:kern w:val="0"/>
          <w:sz w:val="32"/>
          <w:szCs w:val="32"/>
          <w:lang w:val="en-US" w:eastAsia="zh-CN"/>
        </w:rPr>
        <w:t>三、糕点</w:t>
      </w:r>
    </w:p>
    <w:p w14:paraId="6D922017">
      <w:pPr>
        <w:spacing w:line="600" w:lineRule="exact"/>
        <w:ind w:left="420" w:leftChars="200"/>
        <w:rPr>
          <w:rFonts w:eastAsia="仿宋_GB2312"/>
          <w:kern w:val="0"/>
          <w:sz w:val="32"/>
          <w:szCs w:val="32"/>
        </w:rPr>
      </w:pPr>
      <w:r>
        <w:rPr>
          <w:rFonts w:hint="eastAsia" w:eastAsia="仿宋_GB2312"/>
          <w:kern w:val="0"/>
          <w:sz w:val="32"/>
          <w:szCs w:val="32"/>
        </w:rPr>
        <w:t>（一）</w:t>
      </w:r>
      <w:r>
        <w:rPr>
          <w:rFonts w:eastAsia="仿宋_GB2312"/>
          <w:kern w:val="0"/>
          <w:sz w:val="32"/>
          <w:szCs w:val="32"/>
        </w:rPr>
        <w:t>抽检依据</w:t>
      </w:r>
    </w:p>
    <w:p w14:paraId="4E1ADF2F">
      <w:pPr>
        <w:numPr>
          <w:ilvl w:val="0"/>
          <w:numId w:val="0"/>
        </w:numPr>
        <w:spacing w:line="600" w:lineRule="exact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eastAsia="仿宋_GB2312"/>
          <w:sz w:val="32"/>
          <w:szCs w:val="32"/>
        </w:rPr>
        <w:t>抽检依据为GB 5009.229-2016《食品安全国家标准 食品中酸价的测定》(第二法 冷溶剂自动电位滴定法)</w:t>
      </w:r>
      <w:r>
        <w:rPr>
          <w:rFonts w:hint="eastAsia" w:ascii="仿宋_GB2312" w:eastAsia="仿宋_GB2312"/>
          <w:sz w:val="32"/>
          <w:szCs w:val="32"/>
          <w:lang w:eastAsia="zh-CN"/>
        </w:rPr>
        <w:t>，GB 5009.227-2023《食品安全国家标准 食品中过氧化值的测定》(第一法 指示剂滴定法)，GB 5009.28-2016《食品安全国家标准 食品中苯甲酸、山梨酸和糖精钠的测定》(第一法 液相色谱法)，GB 5009.120-2016《食品安全国家标准 食品中丙酸钠、丙酸钙的测定》(第一法 液相色谱法)，GB 5009.121-2016《食品安全国家标准 食品中脱氢乙酸的测定》(第一法 气相色谱法)，GB 5009.35-2023《食品安全国家标准 食品中合成着色剂的测定》，GB 4789.2-2022《食品安全国家标准 食品微生物学检验 菌落总数测定》，GB 4789.3-2016《食品安全国家标准 食品微生物学检验 大肠菌群计数》(第二法 大肠菌群平板计数法)。</w:t>
      </w:r>
    </w:p>
    <w:p w14:paraId="6F8A3C4C">
      <w:pPr>
        <w:wordWrap w:val="0"/>
        <w:spacing w:line="360" w:lineRule="auto"/>
        <w:ind w:firstLine="420" w:firstLineChars="200"/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013489F"/>
    <w:multiLevelType w:val="singleLevel"/>
    <w:tmpl w:val="8013489F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D30B6721"/>
    <w:multiLevelType w:val="singleLevel"/>
    <w:tmpl w:val="D30B672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E4A6992B"/>
    <w:multiLevelType w:val="singleLevel"/>
    <w:tmpl w:val="E4A6992B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FD3"/>
    <w:rsid w:val="00295D54"/>
    <w:rsid w:val="0032739D"/>
    <w:rsid w:val="00356F00"/>
    <w:rsid w:val="003A0E05"/>
    <w:rsid w:val="00883FD3"/>
    <w:rsid w:val="00937CC9"/>
    <w:rsid w:val="00956604"/>
    <w:rsid w:val="009846E8"/>
    <w:rsid w:val="00B060B5"/>
    <w:rsid w:val="00B50CEF"/>
    <w:rsid w:val="00DA1BF1"/>
    <w:rsid w:val="72A061C1"/>
    <w:rsid w:val="7C68698B"/>
    <w:rsid w:val="7D16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1590</Words>
  <Characters>1965</Characters>
  <Lines>20</Lines>
  <Paragraphs>5</Paragraphs>
  <TotalTime>17</TotalTime>
  <ScaleCrop>false</ScaleCrop>
  <LinksUpToDate>false</LinksUpToDate>
  <CharactersWithSpaces>2036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2024-09-19T02:30:00Z</dcterms:created>
  <dc:creator>Jerry</dc:creator>
  <cp:lastModifiedBy>小鬼</cp:lastModifiedBy>
  <dcterms:modified xsi:type="dcterms:W3CDTF">2025-04-03T01:56:00Z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eyJoZGlkIjoiNzU2YTc2MGIwNzVjMjhkMjM3NTc5ZWJmNDg4YjQzYWUiLCJ1c2VySWQiOiIyNjA2MDA4MDcifQ==</vt:lpwstr>
  </property>
  <property fmtid="{D5CDD505-2E9C-101B-9397-08002B2CF9AE}" pid="3" name="KSOProductBuildVer">
    <vt:lpwstr>2052-12.1.0.20305</vt:lpwstr>
  </property>
  <property fmtid="{D5CDD505-2E9C-101B-9397-08002B2CF9AE}" pid="4" name="ICV">
    <vt:lpwstr>07BB9C5D8B60479F888AF0F2CD9B25E6_13</vt:lpwstr>
  </property>
</Properties>
</file>