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94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 w14:paraId="2661A4D1">
      <w:pPr>
        <w:spacing w:line="640" w:lineRule="exact"/>
        <w:ind w:firstLine="2650" w:firstLineChars="600"/>
        <w:jc w:val="left"/>
        <w:rPr>
          <w:rFonts w:ascii="方正小标宋简体" w:hAnsi="Calibri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</w:rPr>
        <w:t>本次检验项目</w:t>
      </w:r>
    </w:p>
    <w:p w14:paraId="71D9EC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 w:firstLineChars="0"/>
        <w:jc w:val="both"/>
        <w:textAlignment w:val="auto"/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14E82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 w:firstLineChars="0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7C7087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2762-2022《食品安全国家标准 食品中污染物限量》、GB 2763-2021《食品安全国家标准 食品中农药最大残留限量》、GB 2760-2024《食品安全国家标准 食品添加剂使用标准》、GB 19300-2014《食品安全国家标准 坚果与籽类食品》、GB 2761-2017《食品安全国家标准 食品中真菌毒素限量》、GB 31650-2019《食品安全国家标准 食品中兽药最大残留限量》、GB 31650.1-2022《食品安全国家标准 食品中41种兽药最大残留限量》、GB 2763.1-2022《食品安全国家标准 食品中2,4-滴丁酸钠盐等112种农药最大残留限量》。</w:t>
      </w:r>
    </w:p>
    <w:p w14:paraId="7241B7C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DB120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豇豆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的抽检项目倍硫磷、毒死蜱、噻虫胺、噻虫嗪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39888AC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香蕉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的抽检项目吡唑醚菌酯、腈苯唑、吡虫啉、噻虫胺、噻虫嗪、联苯菊酯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3314AE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甜椒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的抽检项目镉(以Cd计)、吡虫啉、噻虫胺、噻虫嗪、啶虫脒、毒死蜱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65F8A8D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鸡蛋的抽检项目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地美硝唑、多西环素、甲硝唑、恩诺沙星、氧氟沙星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71AB1E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生干籽类的抽检项目酸价(以脂肪计)(KOH)、过氧化值(以脂肪计)、铅(以Pb计)、镉(以Cd计)、黄曲霉毒素B</w:t>
      </w:r>
      <w:r>
        <w:rPr>
          <w:rFonts w:hint="eastAsia" w:eastAsia="仿宋_GB2312" w:cs="Times New Roman"/>
          <w:color w:val="auto"/>
          <w:kern w:val="0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。</w:t>
      </w:r>
    </w:p>
    <w:p w14:paraId="26BE91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辣椒的抽检项目镉(以Cd计)、吡虫啉、啶虫脒、噻虫胺、噻虫嗪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356F350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葱的抽检项目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t>毒死蜱、氯氟氰菊酯和高效氯氟氰菊酯、噻虫嗪、水胺硫磷、甲拌磷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CCC2A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t>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</w:t>
      </w: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t>吡虫啉、吡唑醚菌酯、毒死蜱、氯氟氰菊酯和高效氯氟氰菊酯、噻虫胺、噻虫嗪、二氧化硫残留量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5B8996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蔬菜制品</w:t>
      </w:r>
    </w:p>
    <w:p w14:paraId="405BB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）抽检依据</w:t>
      </w:r>
    </w:p>
    <w:p w14:paraId="7FB877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2760-2024《食品安全国家标准 食品添加剂使用标准》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07468CD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7D5FCE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酱腌菜的抽检项目苯甲酸及其钠盐(以苯甲酸计)、山梨酸及其钾盐(以山梨酸计)、脱氢乙酸及其钠盐(以脱氢乙酸计)、二氧化硫残留量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40A14A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水果制品</w:t>
      </w:r>
    </w:p>
    <w:p w14:paraId="1D81C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）抽检依据</w:t>
      </w:r>
    </w:p>
    <w:p w14:paraId="397669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2762-2022《食品安全国家标准 食品中污染物限量》、GB 2760-2014《食品安全国家标准 食品添加剂使用标准》、GB 14884-2016《食品安全国家标准 蜜饯》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41EC059B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4ECB8C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蜜饯类、凉果类、果脯类、话化类、果糕类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的抽检项目铅(以Pb计)、苯甲酸及其钠盐(以苯甲酸计)、山梨酸及其钾盐(以山梨酸计)、糖精钠(以糖精计)、大肠菌群。</w:t>
      </w:r>
    </w:p>
    <w:p w14:paraId="6977E0F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豆制品</w:t>
      </w:r>
    </w:p>
    <w:p w14:paraId="35ACB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638B47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2762-2022《食品安全国家标准 食品中污染物限量》、GB 2760-2024《食品安全国家标准 食品添加剂使用标准》。</w:t>
      </w:r>
    </w:p>
    <w:p w14:paraId="508E52C3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13709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left="0" w:leftChars="0" w:firstLine="641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豆干、豆腐、豆皮等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的抽检项目铅(以Pb计)、苯甲酸及其钠盐(以苯甲酸计)、山梨酸及其钾盐(以山梨酸计)、脱氢乙酸及其钠盐(以脱氢乙酸计)、丙酸及其钠盐、钙盐(以丙酸计)、柠檬黄。</w:t>
      </w:r>
    </w:p>
    <w:p w14:paraId="1D3FD0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乳制品</w:t>
      </w:r>
    </w:p>
    <w:p w14:paraId="7BB07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309D3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19302-2010《食品安全国家标准 发酵乳》、GB 2760-2024《食品安全国家标准 食品添加剂使用标准》。</w:t>
      </w:r>
    </w:p>
    <w:p w14:paraId="5D330178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AEE19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发酵乳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抽检项目蛋白质、酸度、安赛蜜、甜蜜素(以环己基氨基磺酸计)、酵母、霉菌。</w:t>
      </w:r>
    </w:p>
    <w:p w14:paraId="39D1A0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饮料</w:t>
      </w:r>
    </w:p>
    <w:p w14:paraId="1B099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065D90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19298-2014《食品安全国家标准 包装饮用水》。</w:t>
      </w:r>
    </w:p>
    <w:p w14:paraId="6E865DEC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078263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其他类饮用水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的抽检项目耗氧量(以O₂计)、余氯(游离氯)、溴酸盐、三氯甲烷、大肠菌群、铜绿假单胞菌。</w:t>
      </w:r>
    </w:p>
    <w:p w14:paraId="066E22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肉制品</w:t>
      </w:r>
    </w:p>
    <w:p w14:paraId="321A6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538DE7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2760-2024《食品安全国家标准 食品添加剂使用标准》。</w:t>
      </w:r>
    </w:p>
    <w:p w14:paraId="39CB50AB">
      <w:pPr>
        <w:pStyle w:val="2"/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6CB68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酱卤肉制品的抽检项目苯甲酸及其钠盐(以苯甲酸计)、山梨酸及其钾盐(以山梨酸计)、脱氢乙酸及其钠盐(以脱氢乙酸计)、胭脂红、糖精钠(以糖精计)。</w:t>
      </w:r>
    </w:p>
    <w:p w14:paraId="7F1228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淀粉及淀粉制品</w:t>
      </w:r>
    </w:p>
    <w:p w14:paraId="2AD8B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6991D3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抽检依据为GB 2762-2022《食品安全国家标准 食品中污染物限量》、GB 2760-2024《食品安全国家标准 食品添加剂使用标准》。</w:t>
      </w:r>
    </w:p>
    <w:p w14:paraId="63B29FB1">
      <w:pPr>
        <w:pStyle w:val="2"/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D16F8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粉丝粉条的抽检项目铅(以Pb计)、脱氢乙酸及其钠盐(以脱氢乙酸计)、铝的残留量(干样品,以Al计)、二氧化硫残留量、柠檬黄。</w:t>
      </w:r>
    </w:p>
    <w:p w14:paraId="550444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九、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粮食加工品</w:t>
      </w:r>
    </w:p>
    <w:p w14:paraId="17B32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1109C1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抽检依据为食品整治办[2008]3号《食品中可能违法添加的非食用物质和易滥用的食品添加剂品种名单(第一批)》、GB 2760-2024《食品安全国家标准 食品添加剂使用标准》。</w:t>
      </w:r>
    </w:p>
    <w:p w14:paraId="5B055B78">
      <w:pPr>
        <w:pStyle w:val="2"/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58C734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小麦粉的抽检项目甲醛次硫酸氢钠(以甲醛计)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35C74A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发酵面制品的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抽检项目甲醛次硫酸氢钠(以甲醛计)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2ECFDB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_GB2312" w:cs="Times New Roman"/>
          <w:color w:val="auto"/>
          <w:kern w:val="0"/>
          <w:sz w:val="32"/>
          <w:szCs w:val="32"/>
          <w:lang w:val="en-US" w:eastAsia="zh-CN" w:bidi="ar-SA"/>
        </w:rPr>
        <w:t>生湿面制品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抽检项目苯甲酸及其钠盐(以苯甲酸计)、山梨酸及其钾盐(以山梨酸计)、脱氢乙酸及其钠盐(以脱氢乙酸计)、二氧化硫残留量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4BB0F5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炒货食品及坚果制品</w:t>
      </w:r>
    </w:p>
    <w:p w14:paraId="2565A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69179A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抽检依据为GB 19300-2014《食品安全国家标准 坚果与籽类食品》、GB 2761-2017《食品安全国家标准 食品中真菌毒素限量》、GB 2760-2024《食品安全国家标准 食品添加剂使用标准》。 </w:t>
      </w:r>
    </w:p>
    <w:p w14:paraId="08BDB263">
      <w:pPr>
        <w:pStyle w:val="2"/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6B69D5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开心果、杏仁、扁桃仁、松仁、瓜子的抽检项目酸价(以脂肪计)(KOH)、过氧化值(以脂肪计)、黄曲霉毒素B₁、苯甲酸及其钠盐(以苯甲酸计)、山梨酸及其钾盐(以山梨酸计)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258ADE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其他炒货食品及坚果制品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的抽检项目酸价(以脂肪计)(KOH)、过氧化值(以脂肪计)、黄曲霉毒素B₁、苯甲酸及其钠盐(以苯甲酸计)、山梨酸及其钾盐(以山梨酸计)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7C018C0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十一、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食用油、油脂及其制品</w:t>
      </w:r>
    </w:p>
    <w:p w14:paraId="36F19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0548E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抽检依据为GB/T 8233-2018《芝麻油》、GB 2762-2022《食品安全国家标准 食品中污染物限量》、GB 2716-2018《食品安全国家标准 植物油》、GB 2760-2024《食品安全国家标准 食品添加剂使用标准》。</w:t>
      </w:r>
    </w:p>
    <w:p w14:paraId="75B8E431">
      <w:pPr>
        <w:pStyle w:val="2"/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0C1007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芝麻油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的抽检项目酸价(KOH)、过氧化值、苯并[a]芘、溶剂残留量、乙基麦芽酚。</w:t>
      </w:r>
    </w:p>
    <w:p w14:paraId="5990D3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</w:t>
      </w:r>
      <w:r>
        <w:rPr>
          <w:rFonts w:hint="eastAsia" w:ascii="黑体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糕点</w:t>
      </w:r>
    </w:p>
    <w:p w14:paraId="68767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1AAEDF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抽检依据为GB 2760-2024《食品安全国家标准 食品添加剂使用标准》。</w:t>
      </w:r>
    </w:p>
    <w:p w14:paraId="7F8AD43E">
      <w:pPr>
        <w:pStyle w:val="2"/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533D69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糕点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的抽检项目苯甲酸及其钠盐(以苯甲酸计)、山梨酸及其钾盐(以山梨酸计)、糖精钠(以糖精计)、铝的残留量(干样品,以Al计)、脱氢乙酸及其钠盐(以脱氢乙酸计)、胭脂红、苋菜红、柠檬黄。</w:t>
      </w:r>
    </w:p>
    <w:p w14:paraId="52D713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</w:t>
      </w:r>
      <w:r>
        <w:rPr>
          <w:rFonts w:hint="eastAsia" w:ascii="黑体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糕点</w:t>
      </w:r>
    </w:p>
    <w:p w14:paraId="3F5F9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5DD2F0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抽检依据为整顿办函[2011]1号《食品中可能违法添加的非食用物质和易滥用的食品添加剂品种名单(第五批)》、GB 2760-2024《食品安全国家标准 食品添加剂使用标准》、GB 2762-2022《食品安全国家标准 食品中污染物限量》、食品整治办[2008]3号《食品中可能违法添加的非食用物质和易滥用的食品添加剂品种名单(第一批)》。</w:t>
      </w:r>
    </w:p>
    <w:p w14:paraId="6A022ED9">
      <w:pPr>
        <w:pStyle w:val="2"/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08E816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其他香辛料调味品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的抽检项目铅(以Pb计)、脱氢乙酸及其钠盐(以脱氢乙酸计)、二氧化硫残留量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187641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辣椒、花椒、辣椒粉、花椒粉的抽检项目铅(以Pb计)、罗丹明B、苏丹红Ⅰ、苏丹红Ⅱ、苏丹红Ⅲ、苏丹红Ⅳ、脱氢乙酸及其钠盐(以脱氢乙酸计)、二氧化硫残留量、胭脂红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179E0A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火锅底料、麻辣烫底料的抽检项目罂粟碱、吗啡、可待因、那可丁、苯甲酸及其钠盐(以苯甲酸计)、山梨酸及其钾盐(以山梨酸计)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69BBC7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textAlignment w:val="auto"/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十</w:t>
      </w:r>
      <w:r>
        <w:rPr>
          <w:rFonts w:hint="eastAsia" w:ascii="黑体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黑体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餐饮食品</w:t>
      </w:r>
    </w:p>
    <w:p w14:paraId="20F6E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641"/>
        <w:textAlignment w:val="auto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kern w:val="0"/>
          <w:sz w:val="32"/>
          <w:szCs w:val="32"/>
        </w:rPr>
        <w:t>抽检依据</w:t>
      </w:r>
    </w:p>
    <w:p w14:paraId="0DECC7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抽检依据为GB 14934-2016《食品安全国家标准 消毒餐(饮)具》、GB 2760-2024《食品安全国家标准 食品添加剂使用标准》、中华人民共和国卫生部 国家食品药品监督管理局《关于禁止餐饮服务单位采购、贮存、使用食品添加剂亚硝酸盐的公告》(2012年第10号)、GB 2761-2017《食品安全国家标准 食品中真菌毒素限量》、GB 2762-2022《食品安全国家标准 食品中污染物限量》、GB 19300-2014《食品安全国家标准 坚果与籽类食品》、整顿办函[2011]1号《食品中可能违法添加的非食用物质和易滥用的食品添加剂品种名单(第五批)》、GB 2760-2014《食品安全国家标准 食品添加剂使用标准》。</w:t>
      </w:r>
      <w:bookmarkStart w:id="0" w:name="_GoBack"/>
      <w:bookmarkEnd w:id="0"/>
    </w:p>
    <w:p w14:paraId="61180FF9">
      <w:pPr>
        <w:pStyle w:val="2"/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left="-10" w:leftChars="0"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</w:t>
      </w:r>
    </w:p>
    <w:p w14:paraId="47FFDD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熏烧烤肉类(自制)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的抽检项目苯甲酸及其钠盐(以苯甲酸计)、山梨酸及其钾盐(以山梨酸计)、脱氢乙酸及其钠盐(以脱氢乙酸计)、糖精钠(以糖精计)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5E3960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馒头花卷(自制)的抽检项目苯甲酸及其钠盐(以苯甲酸计)、山梨酸及其钾盐(以山梨酸计)、糖精钠(以糖精计)、脱氢乙酸及其钠盐(以脱氢乙酸计)、甜蜜素(以环己基氨基磺酸计)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2D28E4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花生制品(自制)的抽检项目黄曲霉毒素B₁、镉(以Cd计)、酸价(以脂肪计)(KOH)、过氧化值(以脂肪计)、铅(以Pb计)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；</w:t>
      </w:r>
    </w:p>
    <w:p w14:paraId="7F3072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火锅麻辣烫底料(自制)的抽检项目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罂粟碱、吗啡、可待因、那可丁；</w:t>
      </w:r>
    </w:p>
    <w:p w14:paraId="081291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其他调理肉类(自制)的抽检项目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苯甲酸及其钠盐(以苯甲酸计)、山梨酸及其钾盐(以山梨酸计)、脱氢乙酸及其钠盐(以脱氢乙酸计)、胭脂红；</w:t>
      </w:r>
    </w:p>
    <w:p w14:paraId="4C8C50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油炸肉类(自制)的抽检项目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亚硝酸盐(以亚硝酸钠计)、苯甲酸及其钠盐(以苯甲酸计)、山梨酸及其钾盐(以山梨酸计)；</w:t>
      </w:r>
    </w:p>
    <w:p w14:paraId="7345D9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腌腊肉类(自制)的抽检项目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苯甲酸及其钠盐(以苯甲酸计)、山梨酸及其钾盐(以山梨酸计)、胭脂红、脱氢乙酸及其钠盐(以脱氢乙酸计)；</w:t>
      </w:r>
    </w:p>
    <w:p w14:paraId="6B52C2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复用餐饮具(餐馆自行消毒)的抽检项目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大肠菌群、阴离子合成洗涤剂(以十二烷基苯磺酸钠计)。</w:t>
      </w:r>
    </w:p>
    <w:p w14:paraId="30D124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ind w:firstLine="641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6E2DA4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0" w:line="240" w:lineRule="auto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332800-12A0-48BB-A0BF-DFF40E4673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330B64B-3866-48C9-9DA0-02F3EC3CF08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72A53E4-7410-40CB-BD03-7481E34699F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53E65D8F-7377-4EB4-A6BB-A73E1642E2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3F369"/>
    <w:multiLevelType w:val="singleLevel"/>
    <w:tmpl w:val="9D53F369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A02F1408"/>
    <w:multiLevelType w:val="singleLevel"/>
    <w:tmpl w:val="A02F1408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2">
    <w:nsid w:val="B5ACE1AF"/>
    <w:multiLevelType w:val="singleLevel"/>
    <w:tmpl w:val="B5ACE1AF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E4EF33D9"/>
    <w:multiLevelType w:val="singleLevel"/>
    <w:tmpl w:val="E4EF33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B50B441"/>
    <w:multiLevelType w:val="singleLevel"/>
    <w:tmpl w:val="EB50B441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5">
    <w:nsid w:val="FAF4F9A2"/>
    <w:multiLevelType w:val="singleLevel"/>
    <w:tmpl w:val="FAF4F9A2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6">
    <w:nsid w:val="FB318C8D"/>
    <w:multiLevelType w:val="singleLevel"/>
    <w:tmpl w:val="FB318C8D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7">
    <w:nsid w:val="0F3B54C2"/>
    <w:multiLevelType w:val="singleLevel"/>
    <w:tmpl w:val="0F3B54C2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8">
    <w:nsid w:val="117ED58E"/>
    <w:multiLevelType w:val="singleLevel"/>
    <w:tmpl w:val="117ED58E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9">
    <w:nsid w:val="1EB23380"/>
    <w:multiLevelType w:val="singleLevel"/>
    <w:tmpl w:val="1EB23380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0">
    <w:nsid w:val="3E68A67E"/>
    <w:multiLevelType w:val="singleLevel"/>
    <w:tmpl w:val="3E68A67E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1">
    <w:nsid w:val="45C24D18"/>
    <w:multiLevelType w:val="singleLevel"/>
    <w:tmpl w:val="45C24D18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2">
    <w:nsid w:val="47EAC929"/>
    <w:multiLevelType w:val="singleLevel"/>
    <w:tmpl w:val="47EAC929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3">
    <w:nsid w:val="48966044"/>
    <w:multiLevelType w:val="singleLevel"/>
    <w:tmpl w:val="48966044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4">
    <w:nsid w:val="4E5BB22E"/>
    <w:multiLevelType w:val="singleLevel"/>
    <w:tmpl w:val="4E5BB22E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7"/>
  </w:num>
  <w:num w:numId="5">
    <w:abstractNumId w:val="4"/>
  </w:num>
  <w:num w:numId="6">
    <w:abstractNumId w:val="14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0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ODlmZWIyNWU2NmMzNzhjMTQ4YTM1MDZlNzAwM2YifQ=="/>
    <w:docVar w:name="KSO_WPS_MARK_KEY" w:val="f30c0b01-ff07-4d7a-ab0c-0f0a11b3c052"/>
  </w:docVars>
  <w:rsids>
    <w:rsidRoot w:val="001C2DA9"/>
    <w:rsid w:val="00040A05"/>
    <w:rsid w:val="00121C60"/>
    <w:rsid w:val="00176964"/>
    <w:rsid w:val="00192C3F"/>
    <w:rsid w:val="001C23CB"/>
    <w:rsid w:val="001C2DA9"/>
    <w:rsid w:val="001C452E"/>
    <w:rsid w:val="00234010"/>
    <w:rsid w:val="0024479A"/>
    <w:rsid w:val="002F64B3"/>
    <w:rsid w:val="00391DFC"/>
    <w:rsid w:val="003C7BA8"/>
    <w:rsid w:val="003E4DED"/>
    <w:rsid w:val="00404D94"/>
    <w:rsid w:val="00413FF3"/>
    <w:rsid w:val="004A3F65"/>
    <w:rsid w:val="004C7407"/>
    <w:rsid w:val="004D0CBC"/>
    <w:rsid w:val="00554C9A"/>
    <w:rsid w:val="00556B24"/>
    <w:rsid w:val="00566E99"/>
    <w:rsid w:val="005D049F"/>
    <w:rsid w:val="005D7DB9"/>
    <w:rsid w:val="005F2AF8"/>
    <w:rsid w:val="0063150F"/>
    <w:rsid w:val="00666C33"/>
    <w:rsid w:val="00763FD6"/>
    <w:rsid w:val="0081259C"/>
    <w:rsid w:val="008141C2"/>
    <w:rsid w:val="00864F84"/>
    <w:rsid w:val="008D3D62"/>
    <w:rsid w:val="009754F3"/>
    <w:rsid w:val="00986940"/>
    <w:rsid w:val="009D5D2D"/>
    <w:rsid w:val="00A15B4C"/>
    <w:rsid w:val="00A238CC"/>
    <w:rsid w:val="00A31A02"/>
    <w:rsid w:val="00AD68A9"/>
    <w:rsid w:val="00B07ABC"/>
    <w:rsid w:val="00B74F7D"/>
    <w:rsid w:val="00BF5823"/>
    <w:rsid w:val="00C215EE"/>
    <w:rsid w:val="00C87218"/>
    <w:rsid w:val="00CF3E38"/>
    <w:rsid w:val="00D272A5"/>
    <w:rsid w:val="00DA17C9"/>
    <w:rsid w:val="00DB3B44"/>
    <w:rsid w:val="00E87B58"/>
    <w:rsid w:val="00E90DD9"/>
    <w:rsid w:val="00EE5B04"/>
    <w:rsid w:val="00F456FD"/>
    <w:rsid w:val="00F818F7"/>
    <w:rsid w:val="00FA73C3"/>
    <w:rsid w:val="00FB59BF"/>
    <w:rsid w:val="01007463"/>
    <w:rsid w:val="014F700B"/>
    <w:rsid w:val="01CF17CF"/>
    <w:rsid w:val="01E70CB1"/>
    <w:rsid w:val="01F53A97"/>
    <w:rsid w:val="01FC0297"/>
    <w:rsid w:val="02472AB3"/>
    <w:rsid w:val="02A86627"/>
    <w:rsid w:val="0321421D"/>
    <w:rsid w:val="036D3EFC"/>
    <w:rsid w:val="0379685E"/>
    <w:rsid w:val="03B24DD0"/>
    <w:rsid w:val="03CC11E7"/>
    <w:rsid w:val="042D4319"/>
    <w:rsid w:val="0498252B"/>
    <w:rsid w:val="04CE016B"/>
    <w:rsid w:val="051536FE"/>
    <w:rsid w:val="05252092"/>
    <w:rsid w:val="05446813"/>
    <w:rsid w:val="05500633"/>
    <w:rsid w:val="05F41841"/>
    <w:rsid w:val="067F4892"/>
    <w:rsid w:val="06E7528F"/>
    <w:rsid w:val="07532F12"/>
    <w:rsid w:val="07591D3D"/>
    <w:rsid w:val="0781075D"/>
    <w:rsid w:val="07A5682B"/>
    <w:rsid w:val="07DF6576"/>
    <w:rsid w:val="08705D57"/>
    <w:rsid w:val="08935889"/>
    <w:rsid w:val="089C1B20"/>
    <w:rsid w:val="08AC2958"/>
    <w:rsid w:val="093B25E7"/>
    <w:rsid w:val="09476F68"/>
    <w:rsid w:val="095A3806"/>
    <w:rsid w:val="096315CE"/>
    <w:rsid w:val="099037F3"/>
    <w:rsid w:val="0A2847BC"/>
    <w:rsid w:val="0A5C1B18"/>
    <w:rsid w:val="0AD70740"/>
    <w:rsid w:val="0B1D0A82"/>
    <w:rsid w:val="0B2F7283"/>
    <w:rsid w:val="0BCF2CDB"/>
    <w:rsid w:val="0C0025F8"/>
    <w:rsid w:val="0C32485A"/>
    <w:rsid w:val="0C596553"/>
    <w:rsid w:val="0C901C83"/>
    <w:rsid w:val="0CA25F52"/>
    <w:rsid w:val="0CCC1892"/>
    <w:rsid w:val="0D0749D2"/>
    <w:rsid w:val="0D0E5602"/>
    <w:rsid w:val="0E1924B1"/>
    <w:rsid w:val="0E4A33D6"/>
    <w:rsid w:val="0E6A261B"/>
    <w:rsid w:val="0ED87615"/>
    <w:rsid w:val="0F563BAB"/>
    <w:rsid w:val="0F84591D"/>
    <w:rsid w:val="0F8918E8"/>
    <w:rsid w:val="1101419B"/>
    <w:rsid w:val="11BD25EE"/>
    <w:rsid w:val="12552CC3"/>
    <w:rsid w:val="12F616FA"/>
    <w:rsid w:val="12F65C56"/>
    <w:rsid w:val="13176ED5"/>
    <w:rsid w:val="13734411"/>
    <w:rsid w:val="147C7000"/>
    <w:rsid w:val="149E56A7"/>
    <w:rsid w:val="1595083F"/>
    <w:rsid w:val="16814158"/>
    <w:rsid w:val="16A44758"/>
    <w:rsid w:val="16B83A63"/>
    <w:rsid w:val="17731029"/>
    <w:rsid w:val="177349C3"/>
    <w:rsid w:val="18153FCE"/>
    <w:rsid w:val="1832665E"/>
    <w:rsid w:val="18777578"/>
    <w:rsid w:val="189C776B"/>
    <w:rsid w:val="18EE0581"/>
    <w:rsid w:val="19076BC6"/>
    <w:rsid w:val="19786DF0"/>
    <w:rsid w:val="19AC56C3"/>
    <w:rsid w:val="1A8B6FFB"/>
    <w:rsid w:val="1A97737D"/>
    <w:rsid w:val="1AA43102"/>
    <w:rsid w:val="1BD12045"/>
    <w:rsid w:val="1C1C45E4"/>
    <w:rsid w:val="1C69720E"/>
    <w:rsid w:val="1CED1123"/>
    <w:rsid w:val="1D5756D9"/>
    <w:rsid w:val="1D9011EB"/>
    <w:rsid w:val="1DA81644"/>
    <w:rsid w:val="1E3C06F1"/>
    <w:rsid w:val="1E51473C"/>
    <w:rsid w:val="1ECD34E0"/>
    <w:rsid w:val="1EF81AAD"/>
    <w:rsid w:val="1EFD56F7"/>
    <w:rsid w:val="1F15259F"/>
    <w:rsid w:val="1FB76540"/>
    <w:rsid w:val="1FBE5B56"/>
    <w:rsid w:val="214747DF"/>
    <w:rsid w:val="21565EC4"/>
    <w:rsid w:val="216D5C4E"/>
    <w:rsid w:val="21C572BC"/>
    <w:rsid w:val="22170E6C"/>
    <w:rsid w:val="22470C58"/>
    <w:rsid w:val="225C2990"/>
    <w:rsid w:val="230621D0"/>
    <w:rsid w:val="23413AEE"/>
    <w:rsid w:val="23596FD6"/>
    <w:rsid w:val="235F02AC"/>
    <w:rsid w:val="23766441"/>
    <w:rsid w:val="238D62B5"/>
    <w:rsid w:val="23D81208"/>
    <w:rsid w:val="24F3769C"/>
    <w:rsid w:val="25464FC0"/>
    <w:rsid w:val="25E92CE6"/>
    <w:rsid w:val="26577FC1"/>
    <w:rsid w:val="26DB0FCF"/>
    <w:rsid w:val="27156F3B"/>
    <w:rsid w:val="27752C17"/>
    <w:rsid w:val="27800E03"/>
    <w:rsid w:val="278115C1"/>
    <w:rsid w:val="289F5B8B"/>
    <w:rsid w:val="28DE4339"/>
    <w:rsid w:val="28FD5F26"/>
    <w:rsid w:val="292F5F7A"/>
    <w:rsid w:val="29685479"/>
    <w:rsid w:val="2975139C"/>
    <w:rsid w:val="2A7E5318"/>
    <w:rsid w:val="2B192BD9"/>
    <w:rsid w:val="2B5777D1"/>
    <w:rsid w:val="2B806A9B"/>
    <w:rsid w:val="2BA44CE2"/>
    <w:rsid w:val="2C2C1786"/>
    <w:rsid w:val="2C490450"/>
    <w:rsid w:val="2CA71985"/>
    <w:rsid w:val="2CAC4C16"/>
    <w:rsid w:val="2E0B196E"/>
    <w:rsid w:val="2E5329FC"/>
    <w:rsid w:val="2E943F53"/>
    <w:rsid w:val="2F3445FD"/>
    <w:rsid w:val="2F4D4603"/>
    <w:rsid w:val="2F505B31"/>
    <w:rsid w:val="302D2862"/>
    <w:rsid w:val="303055FA"/>
    <w:rsid w:val="305E5C93"/>
    <w:rsid w:val="308309D5"/>
    <w:rsid w:val="30AC7A06"/>
    <w:rsid w:val="30B00B8C"/>
    <w:rsid w:val="30EE3A96"/>
    <w:rsid w:val="31563F8A"/>
    <w:rsid w:val="31804001"/>
    <w:rsid w:val="31DA1F50"/>
    <w:rsid w:val="32093833"/>
    <w:rsid w:val="32792B5A"/>
    <w:rsid w:val="329B696F"/>
    <w:rsid w:val="32D77988"/>
    <w:rsid w:val="33046033"/>
    <w:rsid w:val="334C7671"/>
    <w:rsid w:val="336C0FB4"/>
    <w:rsid w:val="33793116"/>
    <w:rsid w:val="338B5D6D"/>
    <w:rsid w:val="339F2275"/>
    <w:rsid w:val="33B16867"/>
    <w:rsid w:val="34870C7B"/>
    <w:rsid w:val="34B20BAD"/>
    <w:rsid w:val="357075BC"/>
    <w:rsid w:val="357C7ECA"/>
    <w:rsid w:val="35FE6BC7"/>
    <w:rsid w:val="363552FE"/>
    <w:rsid w:val="367F3A04"/>
    <w:rsid w:val="36C26B81"/>
    <w:rsid w:val="36EF15DF"/>
    <w:rsid w:val="372D45D9"/>
    <w:rsid w:val="37356D46"/>
    <w:rsid w:val="37544F49"/>
    <w:rsid w:val="379E4C43"/>
    <w:rsid w:val="37B95529"/>
    <w:rsid w:val="37F063A8"/>
    <w:rsid w:val="3828738D"/>
    <w:rsid w:val="38B03CFE"/>
    <w:rsid w:val="38EA6A34"/>
    <w:rsid w:val="39367819"/>
    <w:rsid w:val="39C1604D"/>
    <w:rsid w:val="39D51CFD"/>
    <w:rsid w:val="3A133C8A"/>
    <w:rsid w:val="3A156FE7"/>
    <w:rsid w:val="3A747DD8"/>
    <w:rsid w:val="3A8B5110"/>
    <w:rsid w:val="3AAB6FDC"/>
    <w:rsid w:val="3B06103D"/>
    <w:rsid w:val="3B50553D"/>
    <w:rsid w:val="3B803997"/>
    <w:rsid w:val="3B9A612F"/>
    <w:rsid w:val="3BA50896"/>
    <w:rsid w:val="3BD45486"/>
    <w:rsid w:val="3C6335AC"/>
    <w:rsid w:val="3C743499"/>
    <w:rsid w:val="3CE806C6"/>
    <w:rsid w:val="3D054E81"/>
    <w:rsid w:val="3D070CC9"/>
    <w:rsid w:val="3D197F9E"/>
    <w:rsid w:val="3D1A2271"/>
    <w:rsid w:val="3D9E39EF"/>
    <w:rsid w:val="3F1B05E1"/>
    <w:rsid w:val="3FFC58EB"/>
    <w:rsid w:val="3FFE7A37"/>
    <w:rsid w:val="40015688"/>
    <w:rsid w:val="40133CAC"/>
    <w:rsid w:val="410207BF"/>
    <w:rsid w:val="4141079B"/>
    <w:rsid w:val="41C3309D"/>
    <w:rsid w:val="41D05E3F"/>
    <w:rsid w:val="42317776"/>
    <w:rsid w:val="42981F2C"/>
    <w:rsid w:val="432C1DB7"/>
    <w:rsid w:val="4367267E"/>
    <w:rsid w:val="439E2D09"/>
    <w:rsid w:val="43E76137"/>
    <w:rsid w:val="43EE3831"/>
    <w:rsid w:val="44C4431F"/>
    <w:rsid w:val="44F62AF8"/>
    <w:rsid w:val="450C3BC3"/>
    <w:rsid w:val="451D2D1F"/>
    <w:rsid w:val="46444F6F"/>
    <w:rsid w:val="46FA5A95"/>
    <w:rsid w:val="47D25AC3"/>
    <w:rsid w:val="48D843C4"/>
    <w:rsid w:val="48FF5429"/>
    <w:rsid w:val="49946F1E"/>
    <w:rsid w:val="49CA0466"/>
    <w:rsid w:val="4A095FE5"/>
    <w:rsid w:val="4A27345F"/>
    <w:rsid w:val="4AD40C05"/>
    <w:rsid w:val="4B406E1F"/>
    <w:rsid w:val="4BC37D15"/>
    <w:rsid w:val="4BF06C03"/>
    <w:rsid w:val="4C5B1C0A"/>
    <w:rsid w:val="4CA0731E"/>
    <w:rsid w:val="4CCA3754"/>
    <w:rsid w:val="4D0929CE"/>
    <w:rsid w:val="4D856E52"/>
    <w:rsid w:val="4D95479A"/>
    <w:rsid w:val="4E4F0527"/>
    <w:rsid w:val="4E6B0ACB"/>
    <w:rsid w:val="5011558A"/>
    <w:rsid w:val="503E4E84"/>
    <w:rsid w:val="50AC541A"/>
    <w:rsid w:val="511F2E06"/>
    <w:rsid w:val="513B6049"/>
    <w:rsid w:val="513F4AF3"/>
    <w:rsid w:val="51765F19"/>
    <w:rsid w:val="520A6F4D"/>
    <w:rsid w:val="52E83AF1"/>
    <w:rsid w:val="530734A1"/>
    <w:rsid w:val="53A81080"/>
    <w:rsid w:val="54561C37"/>
    <w:rsid w:val="55151693"/>
    <w:rsid w:val="55174240"/>
    <w:rsid w:val="5549334C"/>
    <w:rsid w:val="55A40B7A"/>
    <w:rsid w:val="568041DB"/>
    <w:rsid w:val="57240929"/>
    <w:rsid w:val="577129E1"/>
    <w:rsid w:val="57CA57F2"/>
    <w:rsid w:val="57D5160A"/>
    <w:rsid w:val="57E521AB"/>
    <w:rsid w:val="57EF2EF2"/>
    <w:rsid w:val="58C3792F"/>
    <w:rsid w:val="58E248D7"/>
    <w:rsid w:val="599D22C9"/>
    <w:rsid w:val="5AC51838"/>
    <w:rsid w:val="5AC93EE4"/>
    <w:rsid w:val="5BD9234F"/>
    <w:rsid w:val="5BE30FD5"/>
    <w:rsid w:val="5BF45830"/>
    <w:rsid w:val="5C420BCD"/>
    <w:rsid w:val="5CD70F18"/>
    <w:rsid w:val="5CE0479A"/>
    <w:rsid w:val="5D114FF8"/>
    <w:rsid w:val="5D437F7D"/>
    <w:rsid w:val="5D5465F6"/>
    <w:rsid w:val="5DB924FD"/>
    <w:rsid w:val="5E17163D"/>
    <w:rsid w:val="5E273B48"/>
    <w:rsid w:val="5E460036"/>
    <w:rsid w:val="5EAB5FB9"/>
    <w:rsid w:val="5EAD0B3A"/>
    <w:rsid w:val="5F945128"/>
    <w:rsid w:val="5FF451C5"/>
    <w:rsid w:val="60877D25"/>
    <w:rsid w:val="61132E66"/>
    <w:rsid w:val="612D12BB"/>
    <w:rsid w:val="61517657"/>
    <w:rsid w:val="6167468E"/>
    <w:rsid w:val="619026A6"/>
    <w:rsid w:val="62737429"/>
    <w:rsid w:val="627A174D"/>
    <w:rsid w:val="627C011F"/>
    <w:rsid w:val="62905035"/>
    <w:rsid w:val="630C51B8"/>
    <w:rsid w:val="631D51D0"/>
    <w:rsid w:val="635706E0"/>
    <w:rsid w:val="643E149E"/>
    <w:rsid w:val="65BA3739"/>
    <w:rsid w:val="666D46FE"/>
    <w:rsid w:val="669725BB"/>
    <w:rsid w:val="66A14426"/>
    <w:rsid w:val="66C336AC"/>
    <w:rsid w:val="675976DC"/>
    <w:rsid w:val="6808443B"/>
    <w:rsid w:val="6839003F"/>
    <w:rsid w:val="686D77AD"/>
    <w:rsid w:val="6888102C"/>
    <w:rsid w:val="69156AB1"/>
    <w:rsid w:val="692A14F5"/>
    <w:rsid w:val="692B7A99"/>
    <w:rsid w:val="699531B5"/>
    <w:rsid w:val="6A510EF0"/>
    <w:rsid w:val="6A6E559F"/>
    <w:rsid w:val="6B142DF8"/>
    <w:rsid w:val="6B4C706D"/>
    <w:rsid w:val="6BB83A83"/>
    <w:rsid w:val="6C0A44E0"/>
    <w:rsid w:val="6CA36522"/>
    <w:rsid w:val="6CC812FD"/>
    <w:rsid w:val="6CCA0D3F"/>
    <w:rsid w:val="6E1F0C04"/>
    <w:rsid w:val="6E2D7C4E"/>
    <w:rsid w:val="6E7F0FF7"/>
    <w:rsid w:val="702743FB"/>
    <w:rsid w:val="705155AE"/>
    <w:rsid w:val="70C21D74"/>
    <w:rsid w:val="71CC1E33"/>
    <w:rsid w:val="71E9223F"/>
    <w:rsid w:val="72DD2C8D"/>
    <w:rsid w:val="73725C88"/>
    <w:rsid w:val="74287444"/>
    <w:rsid w:val="755C2DC4"/>
    <w:rsid w:val="75B109F4"/>
    <w:rsid w:val="75B45771"/>
    <w:rsid w:val="76015D38"/>
    <w:rsid w:val="76795E77"/>
    <w:rsid w:val="768C0D6D"/>
    <w:rsid w:val="76DC3226"/>
    <w:rsid w:val="76FB404D"/>
    <w:rsid w:val="77252A20"/>
    <w:rsid w:val="774910AE"/>
    <w:rsid w:val="7756463B"/>
    <w:rsid w:val="77DD45DE"/>
    <w:rsid w:val="785B3884"/>
    <w:rsid w:val="78AA212C"/>
    <w:rsid w:val="78FF61C4"/>
    <w:rsid w:val="798212BB"/>
    <w:rsid w:val="79FD165E"/>
    <w:rsid w:val="7A001E37"/>
    <w:rsid w:val="7A0F3196"/>
    <w:rsid w:val="7A69498E"/>
    <w:rsid w:val="7A7070F4"/>
    <w:rsid w:val="7A9C70A8"/>
    <w:rsid w:val="7B09170E"/>
    <w:rsid w:val="7B3E0D8F"/>
    <w:rsid w:val="7C212985"/>
    <w:rsid w:val="7C21361A"/>
    <w:rsid w:val="7C27779E"/>
    <w:rsid w:val="7C675778"/>
    <w:rsid w:val="7CE308EA"/>
    <w:rsid w:val="7D9740F5"/>
    <w:rsid w:val="7DC10CAD"/>
    <w:rsid w:val="7DC77C3C"/>
    <w:rsid w:val="7DDD0116"/>
    <w:rsid w:val="7DE447D6"/>
    <w:rsid w:val="7E5779D2"/>
    <w:rsid w:val="7EE658CA"/>
    <w:rsid w:val="7F252AA7"/>
    <w:rsid w:val="7F2D21F5"/>
    <w:rsid w:val="7F813821"/>
    <w:rsid w:val="7FD06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3123</Words>
  <Characters>3546</Characters>
  <Lines>8</Lines>
  <Paragraphs>2</Paragraphs>
  <TotalTime>105</TotalTime>
  <ScaleCrop>false</ScaleCrop>
  <LinksUpToDate>false</LinksUpToDate>
  <CharactersWithSpaces>3621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2018-06-04T07:10:00Z</dcterms:created>
  <dc:creator>陈鸿剑</dc:creator>
  <cp:lastModifiedBy>S&amp;SEternal</cp:lastModifiedBy>
  <cp:lastPrinted>2023-04-11T08:50:00Z</cp:lastPrinted>
  <dcterms:modified xsi:type="dcterms:W3CDTF">2025-10-23T05:50:21Z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8390C984D5034145AA32500E9DFF7B07_13</vt:lpwstr>
  </property>
  <property fmtid="{D5CDD505-2E9C-101B-9397-08002B2CF9AE}" pid="4" name="KSOTemplateDocerSaveRecord">
    <vt:lpwstr>eyJoZGlkIjoiMTJiYzc0NWI4MWNlNzkxZGY1OWE4MTkzMzMwYzE5YmQiLCJ1c2VySWQiOiIxMDIwNjYzMTI0In0=</vt:lpwstr>
  </property>
</Properties>
</file>