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140B" w:rsidRPr="006247E0" w:rsidRDefault="006247E0">
      <w:pPr>
        <w:pStyle w:val="a5"/>
        <w:shd w:val="clear" w:color="auto" w:fill="FFFFFF"/>
        <w:spacing w:before="0" w:beforeAutospacing="0" w:after="0" w:afterAutospacing="0" w:line="520" w:lineRule="exact"/>
        <w:jc w:val="center"/>
        <w:rPr>
          <w:rStyle w:val="a6"/>
          <w:rFonts w:ascii="仿宋_GB2312" w:eastAsia="仿宋_GB2312" w:hAnsi="方正小标宋简体" w:cs="方正小标宋简体"/>
          <w:bCs w:val="0"/>
          <w:sz w:val="44"/>
          <w:szCs w:val="44"/>
        </w:rPr>
      </w:pPr>
      <w:r w:rsidRPr="006247E0">
        <w:rPr>
          <w:rStyle w:val="a6"/>
          <w:rFonts w:ascii="仿宋_GB2312" w:eastAsia="仿宋_GB2312" w:hAnsi="方正小标宋简体" w:cs="方正小标宋简体" w:hint="eastAsia"/>
          <w:bCs w:val="0"/>
          <w:sz w:val="44"/>
          <w:szCs w:val="44"/>
        </w:rPr>
        <w:t>经济开发区管理委员会</w:t>
      </w:r>
    </w:p>
    <w:p w:rsidR="00CF140B" w:rsidRPr="006247E0" w:rsidRDefault="006247E0">
      <w:pPr>
        <w:pStyle w:val="a5"/>
        <w:shd w:val="clear" w:color="auto" w:fill="FFFFFF"/>
        <w:spacing w:before="0" w:beforeAutospacing="0" w:after="0" w:afterAutospacing="0" w:line="520" w:lineRule="exact"/>
        <w:jc w:val="center"/>
        <w:rPr>
          <w:rStyle w:val="a6"/>
          <w:rFonts w:ascii="仿宋_GB2312" w:eastAsia="仿宋_GB2312" w:hAnsi="方正小标宋简体" w:cs="方正小标宋简体"/>
          <w:bCs w:val="0"/>
          <w:color w:val="000000"/>
          <w:sz w:val="44"/>
          <w:szCs w:val="44"/>
        </w:rPr>
      </w:pPr>
      <w:r w:rsidRPr="006247E0">
        <w:rPr>
          <w:rStyle w:val="a6"/>
          <w:rFonts w:ascii="仿宋_GB2312" w:eastAsia="仿宋_GB2312" w:hAnsi="方正小标宋简体" w:cs="方正小标宋简体" w:hint="eastAsia"/>
          <w:bCs w:val="0"/>
          <w:color w:val="000000"/>
          <w:sz w:val="44"/>
          <w:szCs w:val="44"/>
        </w:rPr>
        <w:t>2017年度部门决算说明</w:t>
      </w:r>
    </w:p>
    <w:p w:rsidR="00CF140B" w:rsidRDefault="00CF140B">
      <w:pPr>
        <w:pStyle w:val="a5"/>
        <w:shd w:val="clear" w:color="auto" w:fill="FFFFFF"/>
        <w:spacing w:before="0" w:beforeAutospacing="0" w:after="0" w:afterAutospacing="0" w:line="520" w:lineRule="exact"/>
        <w:jc w:val="center"/>
        <w:rPr>
          <w:rStyle w:val="a6"/>
          <w:rFonts w:ascii="仿宋_GB2312" w:eastAsia="仿宋_GB2312" w:hAnsi="华文仿宋" w:cs="华文仿宋"/>
          <w:b w:val="0"/>
          <w:bCs w:val="0"/>
          <w:color w:val="000000"/>
          <w:sz w:val="32"/>
          <w:szCs w:val="32"/>
        </w:rPr>
      </w:pPr>
    </w:p>
    <w:p w:rsidR="00CF140B" w:rsidRDefault="006247E0">
      <w:pPr>
        <w:pStyle w:val="a5"/>
        <w:shd w:val="clear" w:color="auto" w:fill="FFFFFF"/>
        <w:spacing w:before="0" w:beforeAutospacing="0" w:after="0" w:afterAutospacing="0" w:line="560" w:lineRule="exact"/>
        <w:ind w:firstLineChars="200" w:firstLine="640"/>
        <w:rPr>
          <w:rFonts w:ascii="仿宋_GB2312" w:eastAsia="仿宋_GB2312" w:hAnsi="仿宋" w:cs="黑体"/>
          <w:color w:val="000000"/>
          <w:sz w:val="32"/>
          <w:szCs w:val="32"/>
        </w:rPr>
      </w:pPr>
      <w:r>
        <w:rPr>
          <w:rStyle w:val="a6"/>
          <w:rFonts w:ascii="仿宋_GB2312" w:eastAsia="仿宋_GB2312" w:hAnsi="仿宋" w:cs="黑体" w:hint="eastAsia"/>
          <w:b w:val="0"/>
          <w:bCs w:val="0"/>
          <w:color w:val="000000"/>
          <w:sz w:val="32"/>
          <w:szCs w:val="32"/>
        </w:rPr>
        <w:t>一、</w:t>
      </w:r>
      <w:r>
        <w:rPr>
          <w:rFonts w:ascii="仿宋_GB2312" w:eastAsia="仿宋_GB2312" w:hAnsi="仿宋" w:cs="黑体" w:hint="eastAsia"/>
          <w:color w:val="000000"/>
          <w:sz w:val="32"/>
          <w:szCs w:val="32"/>
        </w:rPr>
        <w:t>部门主要职责</w:t>
      </w:r>
    </w:p>
    <w:p w:rsidR="00CF140B" w:rsidRDefault="00E53E97">
      <w:pPr>
        <w:ind w:firstLine="540"/>
        <w:rPr>
          <w:rFonts w:ascii="仿宋_GB2312" w:eastAsia="仿宋_GB2312" w:hAnsi="仿宋" w:cs="宋体"/>
          <w:szCs w:val="32"/>
        </w:rPr>
      </w:pPr>
      <w:r>
        <w:rPr>
          <w:rFonts w:ascii="仿宋_GB2312" w:eastAsia="仿宋_GB2312" w:hAnsi="仿宋" w:cs="宋体" w:hint="eastAsia"/>
          <w:szCs w:val="32"/>
        </w:rPr>
        <w:t>（一）</w:t>
      </w:r>
      <w:r w:rsidR="006247E0">
        <w:rPr>
          <w:rFonts w:ascii="仿宋_GB2312" w:eastAsia="仿宋_GB2312" w:hAnsi="仿宋" w:cs="宋体" w:hint="eastAsia"/>
          <w:szCs w:val="32"/>
        </w:rPr>
        <w:t xml:space="preserve"> 西安市阎良经济开发区管理委员会是阎良区政府直属事业单位，参照公务员管理，受区政府委托，全面负责阎良经济开发区产业开发和行政管理工作 ，按照开发区总体规划，负责区内土地开发、利用和管理；组织实施区内各项基本建设工程，按授权依法审批、审核和管理外商投资项目、技术引进项目及其他事务，进区企业的开办审批及管理。</w:t>
      </w:r>
    </w:p>
    <w:p w:rsidR="00CF140B" w:rsidRDefault="006247E0">
      <w:pPr>
        <w:pStyle w:val="a5"/>
        <w:spacing w:before="0" w:beforeAutospacing="0" w:after="0" w:afterAutospacing="0" w:line="390" w:lineRule="atLeast"/>
        <w:ind w:firstLine="420"/>
        <w:rPr>
          <w:rFonts w:ascii="仿宋_GB2312" w:eastAsia="仿宋_GB2312" w:hAnsi="仿宋"/>
          <w:color w:val="2B2B2B"/>
          <w:sz w:val="32"/>
          <w:szCs w:val="32"/>
        </w:rPr>
      </w:pPr>
      <w:r>
        <w:rPr>
          <w:rFonts w:ascii="仿宋_GB2312" w:eastAsia="仿宋_GB2312" w:hAnsi="仿宋" w:hint="eastAsia"/>
          <w:color w:val="2B2B2B"/>
          <w:sz w:val="32"/>
          <w:szCs w:val="32"/>
          <w:shd w:val="clear" w:color="auto" w:fill="FFFFFF"/>
        </w:rPr>
        <w:t>1、贯彻国家和上级政府的法规政策，按照区委、区政府的要求，全面负责开发区的建设和管理工作，完成经济目标任务。</w:t>
      </w:r>
    </w:p>
    <w:p w:rsidR="00CF140B" w:rsidRDefault="006247E0">
      <w:pPr>
        <w:pStyle w:val="a5"/>
        <w:spacing w:before="0" w:beforeAutospacing="0" w:after="0" w:afterAutospacing="0" w:line="390" w:lineRule="atLeast"/>
        <w:ind w:firstLine="420"/>
        <w:rPr>
          <w:rFonts w:ascii="仿宋_GB2312" w:eastAsia="仿宋_GB2312" w:hAnsi="仿宋"/>
          <w:color w:val="2B2B2B"/>
          <w:sz w:val="32"/>
          <w:szCs w:val="32"/>
        </w:rPr>
      </w:pPr>
      <w:r>
        <w:rPr>
          <w:rFonts w:ascii="仿宋_GB2312" w:eastAsia="仿宋_GB2312" w:hAnsi="仿宋" w:hint="eastAsia"/>
          <w:color w:val="2B2B2B"/>
          <w:sz w:val="32"/>
          <w:szCs w:val="32"/>
          <w:shd w:val="clear" w:color="auto" w:fill="FFFFFF"/>
        </w:rPr>
        <w:t>2、拟定开发区发展规划，大力开展招商引资，审查批准开发区的投资项目，努力做好为入区企业的全方位服务，加强协调和监督指导工作。</w:t>
      </w:r>
    </w:p>
    <w:p w:rsidR="00CF140B" w:rsidRDefault="006247E0">
      <w:pPr>
        <w:pStyle w:val="a5"/>
        <w:spacing w:before="0" w:beforeAutospacing="0" w:after="0" w:afterAutospacing="0" w:line="390" w:lineRule="atLeast"/>
        <w:ind w:firstLine="420"/>
        <w:rPr>
          <w:rFonts w:ascii="仿宋_GB2312" w:eastAsia="仿宋_GB2312" w:hAnsi="仿宋"/>
          <w:color w:val="2B2B2B"/>
          <w:sz w:val="32"/>
          <w:szCs w:val="32"/>
        </w:rPr>
      </w:pPr>
      <w:r>
        <w:rPr>
          <w:rFonts w:ascii="仿宋_GB2312" w:eastAsia="仿宋_GB2312" w:hAnsi="仿宋" w:hint="eastAsia"/>
          <w:color w:val="2B2B2B"/>
          <w:sz w:val="32"/>
          <w:szCs w:val="32"/>
          <w:shd w:val="clear" w:color="auto" w:fill="FFFFFF"/>
        </w:rPr>
        <w:t>3、依照城市总体规划编制好开发区总体规划，负责开发区基础设施和公用设施的建设和管理，不断完善投资环境。</w:t>
      </w:r>
    </w:p>
    <w:p w:rsidR="00CF140B" w:rsidRDefault="006247E0">
      <w:pPr>
        <w:pStyle w:val="a5"/>
        <w:spacing w:before="0" w:beforeAutospacing="0" w:after="0" w:afterAutospacing="0" w:line="390" w:lineRule="atLeast"/>
        <w:ind w:firstLine="420"/>
        <w:rPr>
          <w:rFonts w:ascii="仿宋_GB2312" w:eastAsia="仿宋_GB2312" w:hAnsi="仿宋"/>
          <w:color w:val="2B2B2B"/>
          <w:sz w:val="32"/>
          <w:szCs w:val="32"/>
        </w:rPr>
      </w:pPr>
      <w:r>
        <w:rPr>
          <w:rFonts w:ascii="仿宋_GB2312" w:eastAsia="仿宋_GB2312" w:hAnsi="仿宋" w:hint="eastAsia"/>
          <w:color w:val="2B2B2B"/>
          <w:sz w:val="32"/>
          <w:szCs w:val="32"/>
          <w:shd w:val="clear" w:color="auto" w:fill="FFFFFF"/>
        </w:rPr>
        <w:t>4、按照有关土地法规政策做好开发区土地使用权的出让和管理工作。</w:t>
      </w:r>
    </w:p>
    <w:p w:rsidR="00CF140B" w:rsidRDefault="006247E0">
      <w:pPr>
        <w:pStyle w:val="a5"/>
        <w:spacing w:before="0" w:beforeAutospacing="0" w:after="0" w:afterAutospacing="0" w:line="390" w:lineRule="atLeast"/>
        <w:ind w:firstLine="420"/>
        <w:rPr>
          <w:rFonts w:ascii="仿宋_GB2312" w:eastAsia="仿宋_GB2312" w:hAnsi="仿宋"/>
          <w:color w:val="2B2B2B"/>
          <w:sz w:val="32"/>
          <w:szCs w:val="32"/>
        </w:rPr>
      </w:pPr>
      <w:r>
        <w:rPr>
          <w:rFonts w:ascii="仿宋_GB2312" w:eastAsia="仿宋_GB2312" w:hAnsi="仿宋" w:hint="eastAsia"/>
          <w:color w:val="2B2B2B"/>
          <w:sz w:val="32"/>
          <w:szCs w:val="32"/>
          <w:shd w:val="clear" w:color="auto" w:fill="FFFFFF"/>
        </w:rPr>
        <w:t>5、做好来信来访工作，加强社会治安综合治理，确保开发区治安稳定。开展开发区发展研究工作，不断优化企业发展的外部环境。</w:t>
      </w:r>
    </w:p>
    <w:p w:rsidR="00CF140B" w:rsidRDefault="006247E0">
      <w:pPr>
        <w:pStyle w:val="a5"/>
        <w:spacing w:before="0" w:beforeAutospacing="0" w:after="0" w:afterAutospacing="0" w:line="390" w:lineRule="atLeast"/>
        <w:ind w:firstLine="420"/>
        <w:rPr>
          <w:rFonts w:ascii="仿宋_GB2312" w:eastAsia="仿宋_GB2312" w:hAnsi="仿宋"/>
          <w:color w:val="2B2B2B"/>
          <w:sz w:val="32"/>
          <w:szCs w:val="32"/>
          <w:shd w:val="clear" w:color="auto" w:fill="FFFFFF"/>
        </w:rPr>
      </w:pPr>
      <w:r>
        <w:rPr>
          <w:rFonts w:ascii="仿宋_GB2312" w:eastAsia="仿宋_GB2312" w:hAnsi="仿宋" w:hint="eastAsia"/>
          <w:color w:val="2B2B2B"/>
          <w:sz w:val="32"/>
          <w:szCs w:val="32"/>
          <w:shd w:val="clear" w:color="auto" w:fill="FFFFFF"/>
        </w:rPr>
        <w:lastRenderedPageBreak/>
        <w:t>6、完成区政府交办的其它任务。</w:t>
      </w:r>
    </w:p>
    <w:p w:rsidR="00E53E97" w:rsidRDefault="00E53E97">
      <w:pPr>
        <w:pStyle w:val="a5"/>
        <w:spacing w:before="0" w:beforeAutospacing="0" w:after="0" w:afterAutospacing="0" w:line="390" w:lineRule="atLeast"/>
        <w:ind w:firstLine="420"/>
        <w:rPr>
          <w:rFonts w:ascii="仿宋_GB2312" w:eastAsia="仿宋_GB2312" w:hAnsi="仿宋"/>
          <w:color w:val="2B2B2B"/>
          <w:sz w:val="32"/>
          <w:szCs w:val="32"/>
          <w:shd w:val="clear" w:color="auto" w:fill="FFFFFF"/>
        </w:rPr>
      </w:pPr>
      <w:r>
        <w:rPr>
          <w:rFonts w:ascii="仿宋_GB2312" w:eastAsia="仿宋_GB2312" w:hAnsi="仿宋" w:hint="eastAsia"/>
          <w:color w:val="2B2B2B"/>
          <w:sz w:val="32"/>
          <w:szCs w:val="32"/>
          <w:shd w:val="clear" w:color="auto" w:fill="FFFFFF"/>
        </w:rPr>
        <w:t>（二）机构设置情况：</w:t>
      </w:r>
      <w:r w:rsidR="00947D75">
        <w:rPr>
          <w:rFonts w:ascii="仿宋_GB2312" w:eastAsia="仿宋_GB2312" w:hAnsi="仿宋" w:hint="eastAsia"/>
          <w:color w:val="2B2B2B"/>
          <w:sz w:val="32"/>
          <w:szCs w:val="32"/>
          <w:shd w:val="clear" w:color="auto" w:fill="FFFFFF"/>
        </w:rPr>
        <w:t>本单位属于参照公务员法管理的事业单位，一级预算单位，</w:t>
      </w:r>
      <w:r w:rsidR="00C80212">
        <w:rPr>
          <w:rFonts w:ascii="仿宋_GB2312" w:eastAsia="仿宋_GB2312" w:hAnsi="仿宋" w:hint="eastAsia"/>
          <w:color w:val="2B2B2B"/>
          <w:sz w:val="32"/>
          <w:szCs w:val="32"/>
          <w:shd w:val="clear" w:color="auto" w:fill="FFFFFF"/>
        </w:rPr>
        <w:t>设有</w:t>
      </w:r>
      <w:r w:rsidR="00947D75">
        <w:rPr>
          <w:rFonts w:ascii="仿宋_GB2312" w:eastAsia="仿宋_GB2312" w:hAnsi="仿宋" w:hint="eastAsia"/>
          <w:color w:val="2B2B2B"/>
          <w:sz w:val="32"/>
          <w:szCs w:val="32"/>
          <w:shd w:val="clear" w:color="auto" w:fill="FFFFFF"/>
        </w:rPr>
        <w:t>5个内设机构，分别为：综合部、经济发展部、招商部、规划建设部和园区建设发展部。</w:t>
      </w:r>
    </w:p>
    <w:p w:rsidR="00CF140B" w:rsidRDefault="006247E0" w:rsidP="00947D75">
      <w:pPr>
        <w:pStyle w:val="a5"/>
        <w:shd w:val="clear" w:color="auto" w:fill="FFFFFF"/>
        <w:tabs>
          <w:tab w:val="left" w:pos="6018"/>
        </w:tabs>
        <w:spacing w:before="0" w:beforeAutospacing="0" w:after="0" w:afterAutospacing="0" w:line="560" w:lineRule="exact"/>
        <w:ind w:firstLineChars="200" w:firstLine="640"/>
        <w:rPr>
          <w:rStyle w:val="a6"/>
          <w:rFonts w:ascii="仿宋_GB2312" w:eastAsia="仿宋_GB2312" w:hAnsi="仿宋" w:cs="黑体"/>
          <w:b w:val="0"/>
          <w:bCs w:val="0"/>
          <w:color w:val="000000"/>
          <w:sz w:val="32"/>
          <w:szCs w:val="32"/>
        </w:rPr>
      </w:pPr>
      <w:r>
        <w:rPr>
          <w:rStyle w:val="a6"/>
          <w:rFonts w:ascii="仿宋_GB2312" w:eastAsia="仿宋_GB2312" w:hAnsi="仿宋" w:cs="黑体" w:hint="eastAsia"/>
          <w:b w:val="0"/>
          <w:bCs w:val="0"/>
          <w:color w:val="000000"/>
          <w:sz w:val="32"/>
          <w:szCs w:val="32"/>
        </w:rPr>
        <w:t>二、部门决算单位构成</w:t>
      </w:r>
      <w:r w:rsidR="00947D75">
        <w:rPr>
          <w:rStyle w:val="a6"/>
          <w:rFonts w:ascii="仿宋_GB2312" w:eastAsia="仿宋_GB2312" w:hAnsi="仿宋" w:cs="黑体"/>
          <w:b w:val="0"/>
          <w:bCs w:val="0"/>
          <w:color w:val="000000"/>
          <w:sz w:val="32"/>
          <w:szCs w:val="32"/>
        </w:rPr>
        <w:tab/>
      </w:r>
    </w:p>
    <w:p w:rsidR="00CF140B" w:rsidRDefault="00D17957">
      <w:pPr>
        <w:pStyle w:val="a5"/>
        <w:spacing w:before="0" w:beforeAutospacing="0" w:after="0" w:afterAutospacing="0" w:line="390" w:lineRule="atLeast"/>
        <w:ind w:firstLineChars="196" w:firstLine="627"/>
        <w:rPr>
          <w:rFonts w:ascii="仿宋_GB2312" w:eastAsia="仿宋_GB2312" w:hAnsi="仿宋"/>
          <w:bCs/>
          <w:color w:val="000000"/>
          <w:sz w:val="32"/>
          <w:szCs w:val="32"/>
        </w:rPr>
      </w:pPr>
      <w:r>
        <w:rPr>
          <w:rFonts w:ascii="仿宋_GB2312" w:eastAsia="仿宋_GB2312" w:hAnsi="仿宋" w:hint="eastAsia"/>
          <w:bCs/>
          <w:color w:val="000000"/>
          <w:sz w:val="32"/>
          <w:szCs w:val="32"/>
        </w:rPr>
        <w:t>单位性质：全额事业单位，参照公务员管理</w:t>
      </w:r>
      <w:r w:rsidR="00E53E97">
        <w:rPr>
          <w:rFonts w:ascii="仿宋_GB2312" w:eastAsia="仿宋_GB2312" w:hAnsi="仿宋" w:hint="eastAsia"/>
          <w:bCs/>
          <w:color w:val="000000"/>
          <w:sz w:val="32"/>
          <w:szCs w:val="32"/>
        </w:rPr>
        <w:t>,属于一级预算单位</w:t>
      </w:r>
      <w:r>
        <w:rPr>
          <w:rFonts w:ascii="仿宋_GB2312" w:eastAsia="仿宋_GB2312" w:hAnsi="仿宋" w:hint="eastAsia"/>
          <w:bCs/>
          <w:color w:val="000000"/>
          <w:sz w:val="32"/>
          <w:szCs w:val="32"/>
        </w:rPr>
        <w:t>。本部门决算构成包括本级决算和汇总决算</w:t>
      </w:r>
      <w:r w:rsidR="00CD1AF4">
        <w:rPr>
          <w:rFonts w:ascii="仿宋_GB2312" w:eastAsia="仿宋_GB2312" w:hAnsi="仿宋" w:hint="eastAsia"/>
          <w:bCs/>
          <w:color w:val="000000"/>
          <w:sz w:val="32"/>
          <w:szCs w:val="32"/>
        </w:rPr>
        <w:t>,无下级单位。</w:t>
      </w:r>
    </w:p>
    <w:p w:rsidR="00CF140B" w:rsidRDefault="006247E0">
      <w:pPr>
        <w:spacing w:line="560" w:lineRule="exact"/>
        <w:ind w:firstLineChars="200" w:firstLine="640"/>
        <w:rPr>
          <w:rFonts w:ascii="仿宋_GB2312" w:eastAsia="仿宋_GB2312" w:hAnsi="仿宋" w:cs="黑体"/>
          <w:szCs w:val="32"/>
        </w:rPr>
      </w:pPr>
      <w:r>
        <w:rPr>
          <w:rFonts w:ascii="仿宋_GB2312" w:eastAsia="仿宋_GB2312" w:hAnsi="仿宋" w:cs="黑体" w:hint="eastAsia"/>
          <w:szCs w:val="32"/>
        </w:rPr>
        <w:t>三、部门人员情况说明</w:t>
      </w:r>
    </w:p>
    <w:p w:rsidR="00CF140B" w:rsidRDefault="006247E0">
      <w:pPr>
        <w:spacing w:line="560" w:lineRule="exact"/>
        <w:ind w:firstLineChars="200" w:firstLine="723"/>
        <w:rPr>
          <w:rFonts w:ascii="仿宋_GB2312" w:eastAsia="仿宋_GB2312" w:hAnsi="仿宋"/>
          <w:b/>
          <w:bCs/>
          <w:color w:val="C0504D" w:themeColor="accent2"/>
          <w:sz w:val="36"/>
          <w:szCs w:val="36"/>
        </w:rPr>
      </w:pPr>
      <w:r>
        <w:rPr>
          <w:rFonts w:ascii="仿宋_GB2312" w:eastAsia="仿宋_GB2312" w:hAnsi="仿宋" w:hint="eastAsia"/>
          <w:b/>
          <w:bCs/>
          <w:noProof/>
          <w:color w:val="C0504D" w:themeColor="accent2"/>
          <w:sz w:val="36"/>
          <w:szCs w:val="36"/>
        </w:rPr>
        <w:drawing>
          <wp:anchor distT="0" distB="0" distL="114300" distR="114300" simplePos="0" relativeHeight="251658240" behindDoc="0" locked="0" layoutInCell="1" allowOverlap="1">
            <wp:simplePos x="0" y="0"/>
            <wp:positionH relativeFrom="column">
              <wp:posOffset>1041400</wp:posOffset>
            </wp:positionH>
            <wp:positionV relativeFrom="paragraph">
              <wp:posOffset>456565</wp:posOffset>
            </wp:positionV>
            <wp:extent cx="3131185" cy="2052320"/>
            <wp:effectExtent l="4445" t="4445" r="7620" b="19685"/>
            <wp:wrapNone/>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ascii="仿宋_GB2312" w:eastAsia="仿宋_GB2312" w:hAnsi="仿宋" w:hint="eastAsia"/>
          <w:bCs/>
          <w:color w:val="000000"/>
          <w:szCs w:val="32"/>
        </w:rPr>
        <w:t>人员情况：编制15人，截止2017年12月31日，在职人数14人。</w:t>
      </w:r>
      <w:r>
        <w:rPr>
          <w:rFonts w:ascii="仿宋_GB2312" w:eastAsia="仿宋_GB2312" w:hAnsi="仿宋" w:hint="eastAsia"/>
          <w:b/>
          <w:bCs/>
          <w:color w:val="C0504D" w:themeColor="accent2"/>
          <w:sz w:val="36"/>
          <w:szCs w:val="36"/>
        </w:rPr>
        <w:t>(用饼状图表示）</w:t>
      </w:r>
    </w:p>
    <w:p w:rsidR="00CF140B" w:rsidRDefault="00CF140B">
      <w:pPr>
        <w:spacing w:line="560" w:lineRule="exact"/>
        <w:ind w:firstLineChars="200" w:firstLine="723"/>
        <w:rPr>
          <w:rFonts w:ascii="仿宋_GB2312" w:eastAsia="仿宋_GB2312" w:hAnsi="仿宋"/>
          <w:b/>
          <w:bCs/>
          <w:color w:val="C0504D" w:themeColor="accent2"/>
          <w:sz w:val="36"/>
          <w:szCs w:val="36"/>
        </w:rPr>
      </w:pPr>
    </w:p>
    <w:p w:rsidR="00CF140B" w:rsidRDefault="00CF140B">
      <w:pPr>
        <w:spacing w:line="560" w:lineRule="exact"/>
        <w:ind w:firstLineChars="200" w:firstLine="723"/>
        <w:rPr>
          <w:rFonts w:ascii="仿宋_GB2312" w:eastAsia="仿宋_GB2312" w:hAnsi="仿宋"/>
          <w:b/>
          <w:bCs/>
          <w:color w:val="C0504D" w:themeColor="accent2"/>
          <w:sz w:val="36"/>
          <w:szCs w:val="36"/>
        </w:rPr>
      </w:pPr>
    </w:p>
    <w:p w:rsidR="00CF140B" w:rsidRDefault="00CF140B">
      <w:pPr>
        <w:spacing w:line="560" w:lineRule="exact"/>
        <w:ind w:firstLineChars="200" w:firstLine="723"/>
        <w:rPr>
          <w:rFonts w:ascii="仿宋_GB2312" w:eastAsia="仿宋_GB2312" w:hAnsi="仿宋"/>
          <w:b/>
          <w:bCs/>
          <w:color w:val="C0504D" w:themeColor="accent2"/>
          <w:sz w:val="36"/>
          <w:szCs w:val="36"/>
        </w:rPr>
      </w:pPr>
    </w:p>
    <w:p w:rsidR="00CF140B" w:rsidRDefault="00CF140B">
      <w:pPr>
        <w:spacing w:line="560" w:lineRule="exact"/>
        <w:ind w:firstLineChars="200" w:firstLine="723"/>
        <w:rPr>
          <w:rFonts w:ascii="仿宋_GB2312" w:eastAsia="仿宋_GB2312" w:hAnsi="仿宋"/>
          <w:b/>
          <w:bCs/>
          <w:color w:val="C0504D" w:themeColor="accent2"/>
          <w:sz w:val="36"/>
          <w:szCs w:val="36"/>
        </w:rPr>
      </w:pPr>
    </w:p>
    <w:p w:rsidR="00CF140B" w:rsidRDefault="00CF140B">
      <w:pPr>
        <w:spacing w:line="560" w:lineRule="exact"/>
        <w:ind w:firstLineChars="200" w:firstLine="723"/>
        <w:rPr>
          <w:rFonts w:ascii="仿宋_GB2312" w:eastAsia="仿宋_GB2312" w:hAnsi="仿宋"/>
          <w:b/>
          <w:bCs/>
          <w:color w:val="C0504D" w:themeColor="accent2"/>
          <w:sz w:val="36"/>
          <w:szCs w:val="36"/>
        </w:rPr>
      </w:pPr>
    </w:p>
    <w:p w:rsidR="00CF140B" w:rsidRDefault="006247E0">
      <w:pPr>
        <w:spacing w:line="560" w:lineRule="exact"/>
        <w:rPr>
          <w:rFonts w:ascii="仿宋_GB2312" w:eastAsia="仿宋_GB2312" w:hAnsi="仿宋" w:cs="华文仿宋"/>
          <w:szCs w:val="32"/>
        </w:rPr>
      </w:pPr>
      <w:r>
        <w:rPr>
          <w:rFonts w:ascii="仿宋_GB2312" w:eastAsia="仿宋_GB2312" w:hAnsi="仿宋" w:cs="黑体" w:hint="eastAsia"/>
          <w:szCs w:val="32"/>
        </w:rPr>
        <w:t>四、2017年度部门工作完成情况</w:t>
      </w:r>
    </w:p>
    <w:p w:rsidR="00CF140B" w:rsidRDefault="006247E0">
      <w:pPr>
        <w:spacing w:line="360" w:lineRule="auto"/>
        <w:ind w:firstLineChars="150" w:firstLine="480"/>
        <w:rPr>
          <w:rFonts w:ascii="仿宋_GB2312" w:eastAsia="仿宋_GB2312" w:hAnsi="仿宋" w:cs="楷体"/>
          <w:b/>
          <w:bCs/>
          <w:szCs w:val="32"/>
        </w:rPr>
      </w:pPr>
      <w:r>
        <w:rPr>
          <w:rFonts w:ascii="仿宋_GB2312" w:eastAsia="仿宋_GB2312" w:hAnsi="仿宋" w:cs="楷体" w:hint="eastAsia"/>
          <w:szCs w:val="32"/>
        </w:rPr>
        <w:t>（一）主要经济指标全面回暖</w:t>
      </w:r>
    </w:p>
    <w:p w:rsidR="00CF140B" w:rsidRDefault="006247E0">
      <w:pPr>
        <w:spacing w:line="360" w:lineRule="auto"/>
        <w:ind w:firstLineChars="150" w:firstLine="480"/>
        <w:rPr>
          <w:rFonts w:ascii="仿宋_GB2312" w:eastAsia="仿宋_GB2312" w:hAnsi="仿宋" w:cs="仿宋_GB2312"/>
          <w:szCs w:val="32"/>
        </w:rPr>
      </w:pPr>
      <w:r>
        <w:rPr>
          <w:rFonts w:ascii="仿宋_GB2312" w:eastAsia="仿宋_GB2312" w:hAnsi="仿宋" w:cs="仿宋_GB2312" w:hint="eastAsia"/>
          <w:szCs w:val="32"/>
        </w:rPr>
        <w:t>截至目前，完成规模以上工业总产值35.43亿元，增速26.63%，完成规模以上工业增加值10亿元，增速15.6%，占年度目标任务的156%；固定资产完成投入3亿元；全年累计新增规模以上工业企业6家，其中，培育新增规模以上工业企业4家，分别是西安亿利华弹簧制造有限公司、西安荣达</w:t>
      </w:r>
      <w:r>
        <w:rPr>
          <w:rFonts w:ascii="仿宋_GB2312" w:eastAsia="仿宋_GB2312" w:hAnsi="仿宋" w:cs="仿宋_GB2312" w:hint="eastAsia"/>
          <w:szCs w:val="32"/>
        </w:rPr>
        <w:lastRenderedPageBreak/>
        <w:t>航空科技有限公司、中铁二十局集团西安工程机械有限公司及西安市携信川精密工具制造有限公司，占年度目标任务的133%；从航空基地及未央区成功划转规模以上工业企业2家，分别是西安雅西复合材料有限公司和西安康迪航空技术发展有限公司；完成基金预算收入的全年目标任务600万元；招商引资</w:t>
      </w:r>
      <w:r>
        <w:rPr>
          <w:rFonts w:ascii="仿宋_GB2312" w:eastAsia="仿宋_GB2312" w:hAnsi="仿宋" w:cs="仿宋_GB2312" w:hint="eastAsia"/>
          <w:color w:val="000000" w:themeColor="text1"/>
          <w:szCs w:val="32"/>
        </w:rPr>
        <w:t>完成国资10亿元，占年度目标任务的101%，完成民资11.85亿元，占年度任务的103%；跟踪在谈招商项目15个，涉及航空配套、环保设备、电子传感器等多个产业，意向签约项目3个；全年策划包装项目10个，签约项目10个，项目合同额达到50.5亿元，完成年度目标任务。</w:t>
      </w:r>
    </w:p>
    <w:p w:rsidR="00CF140B" w:rsidRDefault="006247E0">
      <w:pPr>
        <w:spacing w:line="360" w:lineRule="auto"/>
        <w:ind w:firstLine="640"/>
        <w:rPr>
          <w:rFonts w:ascii="仿宋_GB2312" w:eastAsia="仿宋_GB2312" w:hAnsi="仿宋"/>
          <w:szCs w:val="32"/>
        </w:rPr>
      </w:pPr>
      <w:r>
        <w:rPr>
          <w:rFonts w:ascii="仿宋_GB2312" w:eastAsia="仿宋_GB2312" w:hAnsi="仿宋" w:cs="楷体" w:hint="eastAsia"/>
          <w:szCs w:val="32"/>
        </w:rPr>
        <w:t>（二）重点项目进展有序</w:t>
      </w:r>
    </w:p>
    <w:p w:rsidR="00CF140B" w:rsidRDefault="006247E0">
      <w:pPr>
        <w:pBdr>
          <w:bottom w:val="single" w:sz="4" w:space="31" w:color="FFFFFF"/>
        </w:pBdr>
        <w:autoSpaceDE w:val="0"/>
        <w:snapToGrid w:val="0"/>
        <w:spacing w:line="360" w:lineRule="auto"/>
        <w:ind w:firstLineChars="200" w:firstLine="643"/>
        <w:rPr>
          <w:rFonts w:ascii="仿宋_GB2312" w:eastAsia="仿宋_GB2312" w:hAnsi="仿宋" w:cs="仿宋_GB2312"/>
          <w:color w:val="000000"/>
          <w:szCs w:val="32"/>
        </w:rPr>
      </w:pPr>
      <w:r>
        <w:rPr>
          <w:rFonts w:ascii="仿宋_GB2312" w:eastAsia="仿宋_GB2312" w:hAnsi="仿宋" w:cs="仿宋_GB2312" w:hint="eastAsia"/>
          <w:b/>
          <w:color w:val="000000"/>
          <w:szCs w:val="32"/>
        </w:rPr>
        <w:t>1、中小企业服务中心标准化厂房项目(续建)</w:t>
      </w:r>
      <w:r>
        <w:rPr>
          <w:rFonts w:ascii="仿宋_GB2312" w:eastAsia="仿宋_GB2312" w:hAnsi="仿宋" w:cs="仿宋_GB2312" w:hint="eastAsia"/>
          <w:color w:val="000000"/>
          <w:szCs w:val="32"/>
        </w:rPr>
        <w:t>1号厂房及2号办公楼主体建设已完工。投入资金5175万元，占年度投资任务的115%。</w:t>
      </w:r>
    </w:p>
    <w:p w:rsidR="00CF140B" w:rsidRDefault="006247E0">
      <w:pPr>
        <w:pBdr>
          <w:bottom w:val="single" w:sz="4" w:space="31" w:color="FFFFFF"/>
        </w:pBdr>
        <w:autoSpaceDE w:val="0"/>
        <w:snapToGrid w:val="0"/>
        <w:spacing w:line="360" w:lineRule="auto"/>
        <w:ind w:firstLineChars="200" w:firstLine="643"/>
        <w:rPr>
          <w:rFonts w:ascii="仿宋_GB2312" w:eastAsia="仿宋_GB2312" w:hAnsi="仿宋" w:cs="仿宋_GB2312"/>
          <w:color w:val="000000"/>
          <w:szCs w:val="32"/>
        </w:rPr>
      </w:pPr>
      <w:r>
        <w:rPr>
          <w:rFonts w:ascii="仿宋_GB2312" w:eastAsia="仿宋_GB2312" w:hAnsi="仿宋" w:cs="仿宋_GB2312" w:hint="eastAsia"/>
          <w:b/>
          <w:color w:val="000000"/>
          <w:szCs w:val="32"/>
        </w:rPr>
        <w:t>2、研发楼及磁悬浮列车车体制造项目</w:t>
      </w:r>
      <w:r>
        <w:rPr>
          <w:rFonts w:ascii="仿宋_GB2312" w:eastAsia="仿宋_GB2312" w:hAnsi="仿宋" w:cs="仿宋_GB2312" w:hint="eastAsia"/>
          <w:color w:val="000000"/>
          <w:szCs w:val="32"/>
        </w:rPr>
        <w:t>四层办公楼主体建设已完工。投入资金4800万元，占年度投资任务的120%。</w:t>
      </w:r>
    </w:p>
    <w:p w:rsidR="00CF140B" w:rsidRDefault="006247E0">
      <w:pPr>
        <w:pBdr>
          <w:bottom w:val="single" w:sz="4" w:space="31" w:color="FFFFFF"/>
        </w:pBdr>
        <w:autoSpaceDE w:val="0"/>
        <w:snapToGrid w:val="0"/>
        <w:spacing w:line="360" w:lineRule="auto"/>
        <w:ind w:firstLineChars="200" w:firstLine="643"/>
        <w:rPr>
          <w:rFonts w:ascii="仿宋_GB2312" w:eastAsia="仿宋_GB2312" w:hAnsi="仿宋" w:cs="仿宋_GB2312"/>
          <w:color w:val="000000"/>
          <w:szCs w:val="32"/>
        </w:rPr>
      </w:pPr>
      <w:r>
        <w:rPr>
          <w:rFonts w:ascii="仿宋_GB2312" w:eastAsia="仿宋_GB2312" w:hAnsi="仿宋" w:cs="仿宋_GB2312" w:hint="eastAsia"/>
          <w:b/>
          <w:color w:val="000000"/>
          <w:szCs w:val="32"/>
        </w:rPr>
        <w:t>3、钢结构加工项目</w:t>
      </w:r>
      <w:r>
        <w:rPr>
          <w:rFonts w:ascii="仿宋_GB2312" w:eastAsia="仿宋_GB2312" w:hAnsi="仿宋" w:cs="仿宋_GB2312" w:hint="eastAsia"/>
          <w:bCs/>
          <w:color w:val="000000"/>
          <w:szCs w:val="32"/>
        </w:rPr>
        <w:t>已完成设计、招标及围墙圈建工作。</w:t>
      </w:r>
      <w:r>
        <w:rPr>
          <w:rFonts w:ascii="仿宋_GB2312" w:eastAsia="仿宋_GB2312" w:hAnsi="仿宋" w:cs="仿宋_GB2312" w:hint="eastAsia"/>
          <w:color w:val="000000"/>
          <w:szCs w:val="32"/>
        </w:rPr>
        <w:t>投入资金1600万元，占年度投资任务的64%。</w:t>
      </w:r>
      <w:r>
        <w:rPr>
          <w:rFonts w:ascii="仿宋_GB2312" w:eastAsia="仿宋_GB2312" w:hAnsi="仿宋" w:cs="仿宋_GB2312" w:hint="eastAsia"/>
          <w:color w:val="000000"/>
          <w:szCs w:val="32"/>
        </w:rPr>
        <w:br/>
      </w:r>
      <w:r>
        <w:rPr>
          <w:rFonts w:ascii="仿宋_GB2312" w:eastAsia="仿宋_GB2312" w:hAnsi="仿宋" w:cs="仿宋_GB2312" w:hint="eastAsia"/>
          <w:b/>
          <w:bCs/>
          <w:color w:val="000000"/>
          <w:szCs w:val="32"/>
        </w:rPr>
        <w:t>4、</w:t>
      </w:r>
      <w:r>
        <w:rPr>
          <w:rFonts w:ascii="仿宋_GB2312" w:eastAsia="仿宋_GB2312" w:hAnsi="仿宋" w:cs="仿宋_GB2312" w:hint="eastAsia"/>
          <w:b/>
          <w:color w:val="000000"/>
          <w:szCs w:val="32"/>
        </w:rPr>
        <w:t>新型工业园高科路建设及配送套设施建设项目</w:t>
      </w:r>
      <w:r>
        <w:rPr>
          <w:rFonts w:ascii="仿宋_GB2312" w:eastAsia="仿宋_GB2312" w:hAnsi="仿宋" w:cs="仿宋_GB2312" w:hint="eastAsia"/>
          <w:bCs/>
          <w:color w:val="000000"/>
          <w:szCs w:val="32"/>
        </w:rPr>
        <w:t>已完成南段征地任务及土方、垃圾外运审批工作</w:t>
      </w:r>
      <w:r>
        <w:rPr>
          <w:rFonts w:ascii="仿宋_GB2312" w:eastAsia="仿宋_GB2312" w:hAnsi="仿宋" w:cs="仿宋_GB2312" w:hint="eastAsia"/>
          <w:color w:val="000000"/>
          <w:szCs w:val="32"/>
        </w:rPr>
        <w:t>。投入资金1260万元，占年度投资任务的63%。</w:t>
      </w:r>
      <w:r>
        <w:rPr>
          <w:rFonts w:ascii="仿宋_GB2312" w:eastAsia="仿宋_GB2312" w:hAnsi="仿宋" w:cs="仿宋_GB2312" w:hint="eastAsia"/>
          <w:color w:val="000000"/>
          <w:szCs w:val="32"/>
        </w:rPr>
        <w:br/>
      </w:r>
      <w:r>
        <w:rPr>
          <w:rFonts w:ascii="仿宋_GB2312" w:eastAsia="仿宋_GB2312" w:hAnsi="仿宋" w:cs="仿宋_GB2312" w:hint="eastAsia"/>
          <w:b/>
          <w:color w:val="000000"/>
          <w:szCs w:val="32"/>
        </w:rPr>
        <w:t>5、汽车弹簧加工项目</w:t>
      </w:r>
      <w:r>
        <w:rPr>
          <w:rFonts w:ascii="仿宋_GB2312" w:eastAsia="仿宋_GB2312" w:hAnsi="仿宋" w:cs="仿宋_GB2312" w:hint="eastAsia"/>
          <w:color w:val="000000"/>
          <w:szCs w:val="32"/>
        </w:rPr>
        <w:t>钢构厂房已完工。投入资金1120万元，</w:t>
      </w:r>
      <w:r>
        <w:rPr>
          <w:rFonts w:ascii="仿宋_GB2312" w:eastAsia="仿宋_GB2312" w:hAnsi="仿宋" w:cs="仿宋_GB2312" w:hint="eastAsia"/>
          <w:color w:val="000000"/>
          <w:szCs w:val="32"/>
        </w:rPr>
        <w:lastRenderedPageBreak/>
        <w:t>占年度投资任务的112%。</w:t>
      </w:r>
    </w:p>
    <w:p w:rsidR="00CF140B" w:rsidRDefault="006247E0">
      <w:pPr>
        <w:pBdr>
          <w:bottom w:val="single" w:sz="4" w:space="31" w:color="FFFFFF"/>
        </w:pBdr>
        <w:autoSpaceDE w:val="0"/>
        <w:snapToGrid w:val="0"/>
        <w:spacing w:line="360" w:lineRule="auto"/>
        <w:ind w:firstLineChars="200" w:firstLine="640"/>
        <w:rPr>
          <w:rFonts w:ascii="仿宋_GB2312" w:eastAsia="仿宋_GB2312" w:hAnsi="仿宋" w:cs="楷体"/>
          <w:szCs w:val="32"/>
        </w:rPr>
      </w:pPr>
      <w:r>
        <w:rPr>
          <w:rFonts w:ascii="仿宋_GB2312" w:eastAsia="仿宋_GB2312" w:hAnsi="仿宋" w:cs="楷体" w:hint="eastAsia"/>
          <w:szCs w:val="32"/>
        </w:rPr>
        <w:t>（三）重大项目进展顺利</w:t>
      </w:r>
    </w:p>
    <w:p w:rsidR="00CF140B" w:rsidRDefault="006247E0">
      <w:pPr>
        <w:pBdr>
          <w:bottom w:val="single" w:sz="4" w:space="31" w:color="FFFFFF"/>
        </w:pBdr>
        <w:autoSpaceDE w:val="0"/>
        <w:snapToGrid w:val="0"/>
        <w:spacing w:line="360" w:lineRule="auto"/>
        <w:ind w:firstLineChars="200" w:firstLine="643"/>
        <w:rPr>
          <w:rFonts w:ascii="仿宋_GB2312" w:eastAsia="仿宋_GB2312" w:hAnsi="仿宋" w:cs="仿宋_GB2312"/>
          <w:szCs w:val="32"/>
        </w:rPr>
      </w:pPr>
      <w:r>
        <w:rPr>
          <w:rFonts w:ascii="仿宋_GB2312" w:eastAsia="仿宋_GB2312" w:hAnsi="仿宋" w:cs="仿宋_GB2312" w:hint="eastAsia"/>
          <w:b/>
          <w:bCs/>
          <w:szCs w:val="32"/>
        </w:rPr>
        <w:t>铁建重工隧道装备项目</w:t>
      </w:r>
      <w:r>
        <w:rPr>
          <w:rFonts w:ascii="仿宋_GB2312" w:eastAsia="仿宋_GB2312" w:hAnsi="仿宋" w:cs="仿宋_GB2312" w:hint="eastAsia"/>
          <w:szCs w:val="32"/>
        </w:rPr>
        <w:t>厂房改造和设备安装已完成，首台盾构机已于2017年正式下线，现产品生产正在加紧进行中；</w:t>
      </w:r>
      <w:r>
        <w:rPr>
          <w:rFonts w:ascii="仿宋_GB2312" w:eastAsia="仿宋_GB2312" w:hAnsi="仿宋" w:cs="仿宋_GB2312" w:hint="eastAsia"/>
          <w:b/>
          <w:bCs/>
          <w:szCs w:val="32"/>
        </w:rPr>
        <w:t>中铁二十局西安工程机械有限公司阎良生产基地</w:t>
      </w:r>
      <w:r>
        <w:rPr>
          <w:rFonts w:ascii="仿宋_GB2312" w:eastAsia="仿宋_GB2312" w:hAnsi="仿宋" w:cs="仿宋_GB2312" w:hint="eastAsia"/>
          <w:szCs w:val="32"/>
        </w:rPr>
        <w:t>厂区用电事宜已彻底解决，公司整体搬迁工作已基本到位。</w:t>
      </w:r>
    </w:p>
    <w:p w:rsidR="00CF140B" w:rsidRDefault="006247E0">
      <w:pPr>
        <w:pBdr>
          <w:bottom w:val="single" w:sz="4" w:space="31" w:color="FFFFFF"/>
        </w:pBdr>
        <w:autoSpaceDE w:val="0"/>
        <w:snapToGrid w:val="0"/>
        <w:spacing w:line="360" w:lineRule="auto"/>
        <w:ind w:firstLineChars="200" w:firstLine="640"/>
        <w:rPr>
          <w:rFonts w:ascii="仿宋_GB2312" w:eastAsia="仿宋_GB2312" w:hAnsi="仿宋" w:cs="楷体"/>
          <w:szCs w:val="32"/>
        </w:rPr>
      </w:pPr>
      <w:r>
        <w:rPr>
          <w:rFonts w:ascii="仿宋_GB2312" w:eastAsia="仿宋_GB2312" w:hAnsi="仿宋" w:cs="楷体" w:hint="eastAsia"/>
          <w:szCs w:val="32"/>
        </w:rPr>
        <w:t>（四）基础设施建设步伐加快</w:t>
      </w:r>
    </w:p>
    <w:p w:rsidR="00CF140B" w:rsidRDefault="006247E0">
      <w:pPr>
        <w:pBdr>
          <w:bottom w:val="single" w:sz="4" w:space="31" w:color="FFFFFF"/>
        </w:pBdr>
        <w:autoSpaceDE w:val="0"/>
        <w:snapToGrid w:val="0"/>
        <w:spacing w:line="360" w:lineRule="auto"/>
        <w:ind w:firstLineChars="200" w:firstLine="640"/>
        <w:rPr>
          <w:rFonts w:ascii="仿宋_GB2312" w:eastAsia="仿宋_GB2312" w:hAnsi="仿宋" w:cs="楷体"/>
          <w:szCs w:val="32"/>
        </w:rPr>
      </w:pPr>
      <w:r>
        <w:rPr>
          <w:rFonts w:ascii="仿宋_GB2312" w:eastAsia="仿宋_GB2312" w:hAnsi="仿宋" w:cs="仿宋_GB2312" w:hint="eastAsia"/>
          <w:szCs w:val="32"/>
        </w:rPr>
        <w:t>完成了断头路经发二路的打通工作及航研街北段施工工作，并已通车使用；完成新型工业园高科路南段征地任务及土方、垃圾外运审批工作，该项目将于冬季禁土令解除后施工；完成了孵化器二期排水管道的铺设、试水及验收；完成了孵化器二期、新型工业园太阳能路灯改造及人民路LED路灯改造；完成了北屯园区污水提升泵站及污水管道招投标工作；正在进行关山园区部分道路及孵化器二期院内的苗木栽植工作。</w:t>
      </w:r>
    </w:p>
    <w:p w:rsidR="00CF140B" w:rsidRDefault="006247E0">
      <w:pPr>
        <w:pBdr>
          <w:bottom w:val="single" w:sz="4" w:space="31" w:color="FFFFFF"/>
        </w:pBdr>
        <w:autoSpaceDE w:val="0"/>
        <w:snapToGrid w:val="0"/>
        <w:spacing w:line="360" w:lineRule="auto"/>
        <w:ind w:firstLineChars="200" w:firstLine="640"/>
        <w:rPr>
          <w:rFonts w:ascii="仿宋_GB2312" w:eastAsia="仿宋_GB2312" w:hAnsi="仿宋" w:cs="楷体"/>
          <w:szCs w:val="32"/>
        </w:rPr>
      </w:pPr>
      <w:r>
        <w:rPr>
          <w:rFonts w:ascii="仿宋_GB2312" w:eastAsia="仿宋_GB2312" w:hAnsi="仿宋" w:cs="楷体" w:hint="eastAsia"/>
          <w:szCs w:val="32"/>
        </w:rPr>
        <w:t>（五）企业服务成效明显</w:t>
      </w:r>
    </w:p>
    <w:p w:rsidR="00CF140B" w:rsidRDefault="006247E0">
      <w:pPr>
        <w:pBdr>
          <w:bottom w:val="single" w:sz="4" w:space="31" w:color="FFFFFF"/>
        </w:pBdr>
        <w:autoSpaceDE w:val="0"/>
        <w:snapToGrid w:val="0"/>
        <w:spacing w:line="360" w:lineRule="auto"/>
        <w:ind w:firstLineChars="200" w:firstLine="640"/>
        <w:rPr>
          <w:rFonts w:ascii="仿宋_GB2312" w:eastAsia="仿宋_GB2312" w:hAnsi="仿宋"/>
          <w:color w:val="000000" w:themeColor="text1"/>
          <w:kern w:val="32"/>
          <w:szCs w:val="32"/>
        </w:rPr>
      </w:pPr>
      <w:r>
        <w:rPr>
          <w:rFonts w:ascii="仿宋_GB2312" w:eastAsia="仿宋_GB2312" w:hAnsi="仿宋" w:hint="eastAsia"/>
          <w:color w:val="000000" w:themeColor="text1"/>
          <w:kern w:val="32"/>
          <w:szCs w:val="32"/>
        </w:rPr>
        <w:t>完成了特律车检、亿利华弹簧制造（40.049亩）、国新电力等企业的土地证办理工作，逐步化解历史遗留问题；完成陕西恒卓建设（11.057亩）、中铁二十局（314.783亩）等企业的土地摘牌工作，消化存量指标土地365.889亩；</w:t>
      </w:r>
      <w:r>
        <w:rPr>
          <w:rFonts w:ascii="仿宋_GB2312" w:eastAsia="仿宋_GB2312" w:hAnsi="仿宋" w:hint="eastAsia"/>
          <w:b/>
          <w:bCs/>
          <w:color w:val="000000" w:themeColor="text1"/>
          <w:kern w:val="32"/>
          <w:szCs w:val="32"/>
        </w:rPr>
        <w:t>与国土阎良分局、北屯街道办密贴配合完成汉能移动能源产业一期项目223.176亩用地的农转用资料组卷上报工作，土地</w:t>
      </w:r>
      <w:r>
        <w:rPr>
          <w:rFonts w:ascii="仿宋_GB2312" w:eastAsia="仿宋_GB2312" w:hAnsi="仿宋" w:hint="eastAsia"/>
          <w:b/>
          <w:bCs/>
          <w:color w:val="000000" w:themeColor="text1"/>
          <w:kern w:val="32"/>
          <w:szCs w:val="32"/>
        </w:rPr>
        <w:lastRenderedPageBreak/>
        <w:t>征用及涉稳风险评估事宜正在稳步推进；</w:t>
      </w:r>
      <w:r>
        <w:rPr>
          <w:rFonts w:ascii="仿宋_GB2312" w:eastAsia="仿宋_GB2312" w:hAnsi="仿宋" w:hint="eastAsia"/>
          <w:color w:val="000000" w:themeColor="text1"/>
          <w:kern w:val="32"/>
          <w:szCs w:val="32"/>
        </w:rPr>
        <w:t>完成沃肯航空、鲁航机械及飞豹科技3家企业的项目备案工作；帮助企业申请技术革新设备购置补助、产品资格认证奖励，现鹏玉机械已拿到补助及奖励款250万元，荣达航空拿到补助及奖励款150万元；帮助嘉业航空科技、亿利华弹簧厂等企业申报中小企业“专精特新”；帮助海克机电落实到位西部大开发税收优惠政策。</w:t>
      </w:r>
    </w:p>
    <w:p w:rsidR="00CF140B" w:rsidRDefault="006247E0">
      <w:pPr>
        <w:pBdr>
          <w:bottom w:val="single" w:sz="4" w:space="31" w:color="FFFFFF"/>
        </w:pBdr>
        <w:autoSpaceDE w:val="0"/>
        <w:snapToGrid w:val="0"/>
        <w:spacing w:line="360" w:lineRule="auto"/>
        <w:ind w:firstLineChars="200" w:firstLine="640"/>
        <w:rPr>
          <w:rFonts w:ascii="仿宋_GB2312" w:eastAsia="仿宋_GB2312" w:hAnsi="仿宋"/>
          <w:color w:val="000000" w:themeColor="text1"/>
          <w:szCs w:val="32"/>
        </w:rPr>
      </w:pPr>
      <w:r>
        <w:rPr>
          <w:rFonts w:ascii="仿宋_GB2312" w:eastAsia="仿宋_GB2312" w:hAnsi="仿宋" w:hint="eastAsia"/>
          <w:color w:val="000000" w:themeColor="text1"/>
          <w:kern w:val="32"/>
          <w:szCs w:val="32"/>
        </w:rPr>
        <w:t>盘活辖区闲置资产，为4家企业闲置厂房提供了招商信</w:t>
      </w:r>
      <w:r>
        <w:rPr>
          <w:rFonts w:ascii="仿宋_GB2312" w:eastAsia="仿宋_GB2312" w:hAnsi="仿宋" w:hint="eastAsia"/>
          <w:color w:val="000000" w:themeColor="text1"/>
          <w:szCs w:val="32"/>
        </w:rPr>
        <w:t>息，搭建招商平台，盘活闲置厂房11000平方米，盘活闲置土地2块，面积约40亩。</w:t>
      </w:r>
    </w:p>
    <w:p w:rsidR="00CF140B" w:rsidRDefault="006247E0">
      <w:pPr>
        <w:pBdr>
          <w:bottom w:val="single" w:sz="4" w:space="31" w:color="FFFFFF"/>
        </w:pBdr>
        <w:autoSpaceDE w:val="0"/>
        <w:snapToGrid w:val="0"/>
        <w:spacing w:line="360" w:lineRule="auto"/>
        <w:ind w:firstLineChars="100" w:firstLine="320"/>
        <w:rPr>
          <w:rFonts w:ascii="仿宋_GB2312" w:eastAsia="仿宋_GB2312" w:hAnsi="仿宋"/>
          <w:color w:val="000000" w:themeColor="text1"/>
          <w:szCs w:val="32"/>
        </w:rPr>
      </w:pPr>
      <w:r>
        <w:rPr>
          <w:rFonts w:ascii="仿宋_GB2312" w:eastAsia="仿宋_GB2312" w:hAnsi="仿宋" w:cs="黑体" w:hint="eastAsia"/>
          <w:szCs w:val="32"/>
        </w:rPr>
        <w:t>五、部门决算收支情况说明</w:t>
      </w:r>
    </w:p>
    <w:p w:rsidR="00CF140B" w:rsidRDefault="006247E0">
      <w:pPr>
        <w:pBdr>
          <w:bottom w:val="single" w:sz="4" w:space="31" w:color="FFFFFF"/>
        </w:pBdr>
        <w:autoSpaceDE w:val="0"/>
        <w:snapToGrid w:val="0"/>
        <w:spacing w:line="360" w:lineRule="auto"/>
        <w:ind w:firstLineChars="98" w:firstLine="315"/>
        <w:rPr>
          <w:rFonts w:ascii="仿宋_GB2312" w:eastAsia="仿宋_GB2312" w:hAnsi="仿宋" w:cs="楷体_GB2312"/>
          <w:b/>
          <w:bCs/>
          <w:szCs w:val="32"/>
        </w:rPr>
      </w:pPr>
      <w:r>
        <w:rPr>
          <w:rFonts w:ascii="仿宋_GB2312" w:eastAsia="仿宋_GB2312" w:hAnsi="仿宋" w:cs="楷体_GB2312" w:hint="eastAsia"/>
          <w:b/>
          <w:bCs/>
          <w:szCs w:val="32"/>
        </w:rPr>
        <w:t>（一）2017年度收入支出总体情况说明</w:t>
      </w:r>
    </w:p>
    <w:p w:rsidR="00CF140B" w:rsidRDefault="006247E0">
      <w:pPr>
        <w:pBdr>
          <w:bottom w:val="single" w:sz="4" w:space="31" w:color="FFFFFF"/>
        </w:pBdr>
        <w:autoSpaceDE w:val="0"/>
        <w:snapToGrid w:val="0"/>
        <w:spacing w:line="360" w:lineRule="auto"/>
        <w:ind w:firstLineChars="200" w:firstLine="640"/>
        <w:rPr>
          <w:rFonts w:ascii="仿宋_GB2312" w:eastAsia="仿宋_GB2312" w:hAnsi="仿宋"/>
          <w:szCs w:val="32"/>
        </w:rPr>
      </w:pPr>
      <w:r>
        <w:rPr>
          <w:rFonts w:ascii="仿宋_GB2312" w:eastAsia="仿宋_GB2312" w:hAnsi="仿宋" w:hint="eastAsia"/>
          <w:szCs w:val="32"/>
        </w:rPr>
        <w:t>1.本年度收入支出总体情况</w:t>
      </w:r>
    </w:p>
    <w:p w:rsidR="00CF140B" w:rsidRDefault="006247E0">
      <w:pPr>
        <w:pBdr>
          <w:bottom w:val="single" w:sz="4" w:space="31" w:color="FFFFFF"/>
        </w:pBdr>
        <w:autoSpaceDE w:val="0"/>
        <w:snapToGrid w:val="0"/>
        <w:spacing w:line="360" w:lineRule="auto"/>
        <w:ind w:firstLineChars="150" w:firstLine="480"/>
        <w:rPr>
          <w:rFonts w:ascii="仿宋_GB2312" w:eastAsia="仿宋_GB2312" w:hAnsi="仿宋"/>
          <w:szCs w:val="32"/>
        </w:rPr>
      </w:pPr>
      <w:r>
        <w:rPr>
          <w:rFonts w:ascii="仿宋_GB2312" w:eastAsia="仿宋_GB2312" w:hAnsi="仿宋" w:hint="eastAsia"/>
          <w:szCs w:val="32"/>
        </w:rPr>
        <w:t>（1）2017年度本年收入合计1417.11万元，较上年减少3237.22万元，主要原因是2016年有上年结转和结余，2017年度无上年结转。</w:t>
      </w:r>
    </w:p>
    <w:p w:rsidR="00CF140B" w:rsidRDefault="006247E0">
      <w:pPr>
        <w:pBdr>
          <w:bottom w:val="single" w:sz="4" w:space="31" w:color="FFFFFF"/>
        </w:pBdr>
        <w:autoSpaceDE w:val="0"/>
        <w:snapToGrid w:val="0"/>
        <w:spacing w:line="360" w:lineRule="auto"/>
        <w:ind w:firstLineChars="150" w:firstLine="480"/>
        <w:rPr>
          <w:rFonts w:ascii="仿宋_GB2312" w:eastAsia="仿宋_GB2312" w:hAnsi="仿宋"/>
          <w:szCs w:val="32"/>
        </w:rPr>
      </w:pPr>
      <w:r>
        <w:rPr>
          <w:rFonts w:ascii="仿宋_GB2312" w:eastAsia="仿宋_GB2312" w:hAnsi="仿宋" w:hint="eastAsia"/>
          <w:szCs w:val="32"/>
        </w:rPr>
        <w:t>（2）2017年度本年支出合计1417.11万元，比上年减少3237.22万元，主要原因2017年度收入及项目支出减少。</w:t>
      </w:r>
    </w:p>
    <w:p w:rsidR="00CF140B" w:rsidRDefault="006247E0" w:rsidP="006247E0">
      <w:pPr>
        <w:pBdr>
          <w:bottom w:val="single" w:sz="4" w:space="31" w:color="FFFFFF"/>
        </w:pBdr>
        <w:tabs>
          <w:tab w:val="left" w:pos="312"/>
        </w:tabs>
        <w:autoSpaceDE w:val="0"/>
        <w:snapToGrid w:val="0"/>
        <w:spacing w:line="360" w:lineRule="auto"/>
        <w:rPr>
          <w:rFonts w:ascii="仿宋_GB2312" w:eastAsia="仿宋_GB2312" w:hAnsi="仿宋"/>
          <w:b/>
          <w:color w:val="C0504D" w:themeColor="accent2"/>
          <w:sz w:val="44"/>
          <w:szCs w:val="44"/>
        </w:rPr>
      </w:pPr>
      <w:r>
        <w:rPr>
          <w:rFonts w:ascii="仿宋_GB2312" w:eastAsia="仿宋_GB2312" w:hAnsi="仿宋" w:hint="eastAsia"/>
          <w:szCs w:val="32"/>
        </w:rPr>
        <w:t xml:space="preserve">    2.本年收入构成情况</w:t>
      </w:r>
    </w:p>
    <w:p w:rsidR="00CF140B" w:rsidRDefault="006247E0">
      <w:pPr>
        <w:pBdr>
          <w:bottom w:val="single" w:sz="4" w:space="31" w:color="FFFFFF"/>
        </w:pBdr>
        <w:autoSpaceDE w:val="0"/>
        <w:snapToGrid w:val="0"/>
        <w:spacing w:line="360" w:lineRule="auto"/>
        <w:rPr>
          <w:rFonts w:ascii="仿宋_GB2312" w:eastAsia="仿宋_GB2312" w:hAnsi="仿宋"/>
          <w:b/>
          <w:color w:val="C0504D" w:themeColor="accent2"/>
          <w:sz w:val="44"/>
          <w:szCs w:val="44"/>
        </w:rPr>
      </w:pPr>
      <w:r>
        <w:rPr>
          <w:noProof/>
        </w:rPr>
        <w:lastRenderedPageBreak/>
        <w:drawing>
          <wp:inline distT="0" distB="0" distL="114300" distR="114300">
            <wp:extent cx="4572000" cy="2743200"/>
            <wp:effectExtent l="4445" t="4445" r="14605" b="14605"/>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F140B" w:rsidRDefault="00CF140B">
      <w:pPr>
        <w:pBdr>
          <w:bottom w:val="single" w:sz="4" w:space="31" w:color="FFFFFF"/>
        </w:pBdr>
        <w:autoSpaceDE w:val="0"/>
        <w:snapToGrid w:val="0"/>
        <w:spacing w:line="360" w:lineRule="auto"/>
        <w:rPr>
          <w:rFonts w:ascii="仿宋_GB2312" w:eastAsia="仿宋_GB2312" w:hAnsi="仿宋"/>
          <w:b/>
          <w:color w:val="C0504D" w:themeColor="accent2"/>
          <w:sz w:val="44"/>
          <w:szCs w:val="44"/>
        </w:rPr>
      </w:pPr>
    </w:p>
    <w:p w:rsidR="00CF140B" w:rsidRDefault="00CF140B">
      <w:pPr>
        <w:pBdr>
          <w:bottom w:val="single" w:sz="4" w:space="31" w:color="FFFFFF"/>
        </w:pBdr>
        <w:autoSpaceDE w:val="0"/>
        <w:snapToGrid w:val="0"/>
        <w:spacing w:line="360" w:lineRule="auto"/>
        <w:rPr>
          <w:rFonts w:ascii="仿宋_GB2312" w:eastAsia="仿宋_GB2312" w:hAnsi="仿宋"/>
          <w:b/>
          <w:color w:val="C0504D" w:themeColor="accent2"/>
          <w:sz w:val="44"/>
          <w:szCs w:val="44"/>
        </w:rPr>
      </w:pPr>
    </w:p>
    <w:p w:rsidR="00CF140B" w:rsidRDefault="006247E0">
      <w:pPr>
        <w:pBdr>
          <w:bottom w:val="single" w:sz="4" w:space="31" w:color="FFFFFF"/>
        </w:pBdr>
        <w:autoSpaceDE w:val="0"/>
        <w:snapToGrid w:val="0"/>
        <w:spacing w:line="360" w:lineRule="auto"/>
        <w:ind w:firstLineChars="150" w:firstLine="480"/>
        <w:rPr>
          <w:rFonts w:ascii="仿宋_GB2312" w:eastAsia="仿宋_GB2312" w:hAnsi="仿宋"/>
          <w:szCs w:val="32"/>
        </w:rPr>
      </w:pPr>
      <w:r>
        <w:rPr>
          <w:rFonts w:ascii="仿宋_GB2312" w:eastAsia="仿宋_GB2312" w:hAnsi="仿宋" w:hint="eastAsia"/>
          <w:szCs w:val="32"/>
        </w:rPr>
        <w:t>2017年本年收入合计1417.11万元。其中:</w:t>
      </w:r>
    </w:p>
    <w:p w:rsidR="00CF140B" w:rsidRDefault="006247E0">
      <w:pPr>
        <w:pBdr>
          <w:bottom w:val="single" w:sz="4" w:space="31" w:color="FFFFFF"/>
        </w:pBdr>
        <w:autoSpaceDE w:val="0"/>
        <w:snapToGrid w:val="0"/>
        <w:spacing w:line="360" w:lineRule="auto"/>
        <w:ind w:firstLineChars="150" w:firstLine="480"/>
        <w:rPr>
          <w:rFonts w:ascii="仿宋_GB2312" w:eastAsia="仿宋_GB2312" w:hAnsi="仿宋"/>
          <w:szCs w:val="32"/>
        </w:rPr>
      </w:pPr>
      <w:r>
        <w:rPr>
          <w:rFonts w:ascii="仿宋_GB2312" w:eastAsia="仿宋_GB2312" w:hAnsi="仿宋" w:hint="eastAsia"/>
          <w:szCs w:val="32"/>
        </w:rPr>
        <w:t>（1）财政拨款1417.11万元，占总收入的100%，包括一般公共预算财政拨款817.11万元、政府性基金预算财政拨款600万元。</w:t>
      </w:r>
    </w:p>
    <w:p w:rsidR="00CF140B" w:rsidRDefault="006247E0">
      <w:pPr>
        <w:pBdr>
          <w:bottom w:val="single" w:sz="4" w:space="31" w:color="FFFFFF"/>
        </w:pBdr>
        <w:autoSpaceDE w:val="0"/>
        <w:snapToGrid w:val="0"/>
        <w:spacing w:line="360" w:lineRule="auto"/>
        <w:ind w:firstLineChars="150" w:firstLine="480"/>
        <w:rPr>
          <w:rFonts w:ascii="仿宋_GB2312" w:eastAsia="仿宋_GB2312" w:hAnsi="仿宋"/>
          <w:szCs w:val="32"/>
        </w:rPr>
      </w:pPr>
      <w:r>
        <w:rPr>
          <w:rFonts w:ascii="仿宋_GB2312" w:eastAsia="仿宋_GB2312" w:hAnsi="仿宋" w:hint="eastAsia"/>
          <w:szCs w:val="32"/>
        </w:rPr>
        <w:t>（2）事业收入0万元，是事业单位开展专业业务活动及其辅助活动取得的收入，占总收入的0%。</w:t>
      </w:r>
    </w:p>
    <w:p w:rsidR="00CF140B" w:rsidRDefault="006247E0">
      <w:pPr>
        <w:pBdr>
          <w:bottom w:val="single" w:sz="4" w:space="31" w:color="FFFFFF"/>
        </w:pBdr>
        <w:autoSpaceDE w:val="0"/>
        <w:snapToGrid w:val="0"/>
        <w:spacing w:line="360" w:lineRule="auto"/>
        <w:ind w:firstLineChars="150" w:firstLine="480"/>
        <w:rPr>
          <w:rFonts w:ascii="仿宋_GB2312" w:eastAsia="仿宋_GB2312" w:hAnsi="仿宋"/>
          <w:szCs w:val="32"/>
        </w:rPr>
      </w:pPr>
      <w:r>
        <w:rPr>
          <w:rFonts w:ascii="仿宋_GB2312" w:eastAsia="仿宋_GB2312" w:hAnsi="仿宋" w:hint="eastAsia"/>
          <w:szCs w:val="32"/>
        </w:rPr>
        <w:t>（3）经营收入0万元，是事业单位开展专业业务活动及其辅助活动之外开展非独立核算经营活动取得的收入.</w:t>
      </w:r>
    </w:p>
    <w:p w:rsidR="00CF140B" w:rsidRDefault="006247E0">
      <w:pPr>
        <w:pBdr>
          <w:bottom w:val="single" w:sz="4" w:space="31" w:color="FFFFFF"/>
        </w:pBdr>
        <w:autoSpaceDE w:val="0"/>
        <w:snapToGrid w:val="0"/>
        <w:spacing w:line="360" w:lineRule="auto"/>
        <w:ind w:firstLineChars="150" w:firstLine="480"/>
        <w:rPr>
          <w:rFonts w:ascii="仿宋_GB2312" w:eastAsia="仿宋_GB2312" w:hAnsi="仿宋"/>
          <w:szCs w:val="32"/>
        </w:rPr>
      </w:pPr>
      <w:r>
        <w:rPr>
          <w:rFonts w:ascii="仿宋_GB2312" w:eastAsia="仿宋_GB2312" w:hAnsi="仿宋" w:hint="eastAsia"/>
          <w:szCs w:val="32"/>
        </w:rPr>
        <w:t>（4）其他收入0万元，是取得的除财政拨款收入等以外的各项收入。</w:t>
      </w:r>
    </w:p>
    <w:p w:rsidR="00CF140B" w:rsidRDefault="006247E0">
      <w:pPr>
        <w:pBdr>
          <w:bottom w:val="single" w:sz="4" w:space="31" w:color="FFFFFF"/>
        </w:pBdr>
        <w:autoSpaceDE w:val="0"/>
        <w:snapToGrid w:val="0"/>
        <w:spacing w:line="360" w:lineRule="auto"/>
        <w:ind w:firstLineChars="150" w:firstLine="480"/>
        <w:rPr>
          <w:rFonts w:ascii="仿宋_GB2312" w:eastAsia="仿宋_GB2312" w:hAnsi="仿宋"/>
          <w:color w:val="000000"/>
          <w:szCs w:val="32"/>
        </w:rPr>
      </w:pPr>
      <w:r>
        <w:rPr>
          <w:rFonts w:ascii="仿宋_GB2312" w:eastAsia="仿宋_GB2312" w:hAnsi="仿宋" w:hint="eastAsia"/>
          <w:color w:val="000000"/>
          <w:szCs w:val="32"/>
        </w:rPr>
        <w:t xml:space="preserve">（5）用事业基金弥补收支差额0万元. </w:t>
      </w:r>
    </w:p>
    <w:p w:rsidR="00CF140B" w:rsidRDefault="006247E0">
      <w:pPr>
        <w:pBdr>
          <w:bottom w:val="single" w:sz="4" w:space="31" w:color="FFFFFF"/>
        </w:pBdr>
        <w:autoSpaceDE w:val="0"/>
        <w:snapToGrid w:val="0"/>
        <w:spacing w:line="360" w:lineRule="auto"/>
        <w:ind w:firstLineChars="150" w:firstLine="480"/>
        <w:rPr>
          <w:rFonts w:ascii="仿宋_GB2312" w:eastAsia="仿宋_GB2312" w:hAnsi="仿宋"/>
          <w:color w:val="000000"/>
          <w:szCs w:val="32"/>
        </w:rPr>
      </w:pPr>
      <w:r>
        <w:rPr>
          <w:rFonts w:ascii="仿宋_GB2312" w:eastAsia="仿宋_GB2312" w:hAnsi="仿宋" w:hint="eastAsia"/>
          <w:color w:val="000000"/>
          <w:szCs w:val="32"/>
        </w:rPr>
        <w:t>（6）上年结转结余0万元, 为以前年度尚未列支，结转</w:t>
      </w:r>
      <w:r>
        <w:rPr>
          <w:rFonts w:ascii="仿宋_GB2312" w:eastAsia="仿宋_GB2312" w:hAnsi="仿宋" w:hint="eastAsia"/>
          <w:color w:val="000000"/>
          <w:szCs w:val="32"/>
        </w:rPr>
        <w:lastRenderedPageBreak/>
        <w:t>到本年仍按按规定用途继续使用的资金。</w:t>
      </w:r>
    </w:p>
    <w:p w:rsidR="00CF140B" w:rsidRDefault="006247E0">
      <w:pPr>
        <w:pBdr>
          <w:bottom w:val="single" w:sz="4" w:space="31" w:color="FFFFFF"/>
        </w:pBdr>
        <w:autoSpaceDE w:val="0"/>
        <w:snapToGrid w:val="0"/>
        <w:spacing w:line="360" w:lineRule="auto"/>
        <w:ind w:firstLineChars="150" w:firstLine="480"/>
        <w:rPr>
          <w:rFonts w:ascii="仿宋_GB2312" w:eastAsia="仿宋_GB2312" w:hAnsi="仿宋"/>
          <w:b/>
          <w:color w:val="C0504D" w:themeColor="accent2"/>
          <w:sz w:val="44"/>
          <w:szCs w:val="44"/>
        </w:rPr>
      </w:pPr>
      <w:r>
        <w:rPr>
          <w:rFonts w:ascii="仿宋_GB2312" w:eastAsia="仿宋_GB2312" w:hAnsi="仿宋" w:hint="eastAsia"/>
          <w:szCs w:val="32"/>
        </w:rPr>
        <w:t>3.本年支出构成情况</w:t>
      </w:r>
    </w:p>
    <w:p w:rsidR="00CF140B" w:rsidRDefault="006247E0">
      <w:pPr>
        <w:pBdr>
          <w:bottom w:val="single" w:sz="4" w:space="31" w:color="FFFFFF"/>
        </w:pBdr>
        <w:autoSpaceDE w:val="0"/>
        <w:snapToGrid w:val="0"/>
        <w:spacing w:line="360" w:lineRule="auto"/>
        <w:ind w:firstLineChars="150" w:firstLine="663"/>
        <w:rPr>
          <w:rFonts w:ascii="仿宋_GB2312" w:eastAsia="仿宋_GB2312" w:hAnsi="仿宋"/>
          <w:b/>
          <w:color w:val="C0504D" w:themeColor="accent2"/>
          <w:sz w:val="44"/>
          <w:szCs w:val="44"/>
        </w:rPr>
      </w:pPr>
      <w:r>
        <w:rPr>
          <w:rFonts w:ascii="仿宋_GB2312" w:eastAsia="仿宋_GB2312" w:hAnsi="仿宋" w:hint="eastAsia"/>
          <w:b/>
          <w:noProof/>
          <w:color w:val="C0504D" w:themeColor="accent2"/>
          <w:sz w:val="44"/>
          <w:szCs w:val="44"/>
        </w:rPr>
        <w:drawing>
          <wp:inline distT="0" distB="0" distL="114300" distR="114300">
            <wp:extent cx="3945890" cy="2771775"/>
            <wp:effectExtent l="4445" t="4445" r="12065" b="508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bookmarkStart w:id="0" w:name="_GoBack"/>
      <w:bookmarkEnd w:id="0"/>
    </w:p>
    <w:p w:rsidR="00CF140B" w:rsidRDefault="006247E0">
      <w:pPr>
        <w:pBdr>
          <w:bottom w:val="single" w:sz="4" w:space="31" w:color="FFFFFF"/>
        </w:pBdr>
        <w:autoSpaceDE w:val="0"/>
        <w:snapToGrid w:val="0"/>
        <w:spacing w:line="360" w:lineRule="auto"/>
        <w:ind w:firstLineChars="150" w:firstLine="480"/>
        <w:rPr>
          <w:rFonts w:ascii="仿宋_GB2312" w:eastAsia="仿宋_GB2312" w:hAnsi="仿宋"/>
          <w:szCs w:val="32"/>
        </w:rPr>
      </w:pPr>
      <w:r>
        <w:rPr>
          <w:rFonts w:ascii="仿宋_GB2312" w:eastAsia="仿宋_GB2312" w:hAnsi="仿宋" w:hint="eastAsia"/>
          <w:szCs w:val="32"/>
        </w:rPr>
        <w:t>2017年本年支出合计1417.11万元。其中:</w:t>
      </w:r>
    </w:p>
    <w:p w:rsidR="00CF140B" w:rsidRDefault="006247E0">
      <w:pPr>
        <w:pBdr>
          <w:bottom w:val="single" w:sz="4" w:space="31" w:color="FFFFFF"/>
        </w:pBdr>
        <w:autoSpaceDE w:val="0"/>
        <w:snapToGrid w:val="0"/>
        <w:spacing w:line="360" w:lineRule="auto"/>
        <w:ind w:firstLineChars="150" w:firstLine="480"/>
        <w:rPr>
          <w:rFonts w:ascii="仿宋_GB2312" w:eastAsia="仿宋_GB2312" w:hAnsi="仿宋"/>
          <w:szCs w:val="32"/>
        </w:rPr>
      </w:pPr>
      <w:r>
        <w:rPr>
          <w:rFonts w:ascii="仿宋_GB2312" w:eastAsia="仿宋_GB2312" w:hAnsi="仿宋" w:hint="eastAsia"/>
          <w:szCs w:val="32"/>
        </w:rPr>
        <w:t>（1）基本支出247.7万元，占总支出的17.5%，是为保障机构正常运转、完成日常工作任务而发生的各项支出，包括人员经费199.18万元和公用经费48.52万元。</w:t>
      </w:r>
    </w:p>
    <w:p w:rsidR="00CF140B" w:rsidRDefault="006247E0">
      <w:pPr>
        <w:pBdr>
          <w:bottom w:val="single" w:sz="4" w:space="31" w:color="FFFFFF"/>
        </w:pBdr>
        <w:autoSpaceDE w:val="0"/>
        <w:snapToGrid w:val="0"/>
        <w:spacing w:line="360" w:lineRule="auto"/>
        <w:ind w:firstLineChars="150" w:firstLine="480"/>
        <w:rPr>
          <w:rFonts w:ascii="仿宋_GB2312" w:eastAsia="仿宋_GB2312" w:hAnsi="仿宋"/>
          <w:szCs w:val="32"/>
        </w:rPr>
      </w:pPr>
      <w:r>
        <w:rPr>
          <w:rFonts w:ascii="仿宋_GB2312" w:eastAsia="仿宋_GB2312" w:hAnsi="仿宋" w:hint="eastAsia"/>
          <w:szCs w:val="32"/>
        </w:rPr>
        <w:t>（2）项目支出1009.41万元，占总支出的71.2%，是为完成特定的工作任务或事业发展目标，在基本支出之外发生的支出。主要包括为城市基础设施配套费和其他支持中小企业发展和管理的支出。</w:t>
      </w:r>
    </w:p>
    <w:p w:rsidR="00CF140B" w:rsidRDefault="006247E0">
      <w:pPr>
        <w:pBdr>
          <w:bottom w:val="single" w:sz="4" w:space="31" w:color="FFFFFF"/>
        </w:pBdr>
        <w:autoSpaceDE w:val="0"/>
        <w:snapToGrid w:val="0"/>
        <w:spacing w:line="360" w:lineRule="auto"/>
        <w:ind w:firstLineChars="150" w:firstLine="480"/>
        <w:rPr>
          <w:rFonts w:ascii="仿宋_GB2312" w:eastAsia="仿宋_GB2312" w:hAnsi="仿宋"/>
          <w:szCs w:val="32"/>
        </w:rPr>
      </w:pPr>
      <w:r>
        <w:rPr>
          <w:rFonts w:ascii="仿宋_GB2312" w:eastAsia="仿宋_GB2312" w:hAnsi="仿宋" w:hint="eastAsia"/>
          <w:szCs w:val="32"/>
        </w:rPr>
        <w:t xml:space="preserve"> (3）年末结转和结余160万元，占总支出的11.3%。</w:t>
      </w:r>
    </w:p>
    <w:p w:rsidR="00CF140B" w:rsidRDefault="00CF140B">
      <w:pPr>
        <w:pBdr>
          <w:bottom w:val="single" w:sz="4" w:space="31" w:color="FFFFFF"/>
        </w:pBdr>
        <w:autoSpaceDE w:val="0"/>
        <w:snapToGrid w:val="0"/>
        <w:spacing w:line="360" w:lineRule="auto"/>
        <w:ind w:firstLineChars="150" w:firstLine="482"/>
        <w:rPr>
          <w:rFonts w:ascii="仿宋_GB2312" w:eastAsia="仿宋_GB2312" w:hAnsi="仿宋" w:cs="楷体_GB2312"/>
          <w:b/>
          <w:szCs w:val="32"/>
        </w:rPr>
      </w:pPr>
    </w:p>
    <w:p w:rsidR="00CF140B" w:rsidRDefault="006247E0">
      <w:pPr>
        <w:pBdr>
          <w:bottom w:val="single" w:sz="4" w:space="31" w:color="FFFFFF"/>
        </w:pBdr>
        <w:autoSpaceDE w:val="0"/>
        <w:snapToGrid w:val="0"/>
        <w:spacing w:line="360" w:lineRule="auto"/>
        <w:ind w:firstLineChars="150" w:firstLine="482"/>
        <w:rPr>
          <w:rFonts w:ascii="仿宋_GB2312" w:eastAsia="仿宋_GB2312" w:hAnsi="仿宋" w:cs="楷体_GB2312"/>
          <w:b/>
          <w:szCs w:val="32"/>
        </w:rPr>
      </w:pPr>
      <w:r>
        <w:rPr>
          <w:rFonts w:ascii="仿宋_GB2312" w:eastAsia="仿宋_GB2312" w:hAnsi="仿宋" w:cs="楷体_GB2312" w:hint="eastAsia"/>
          <w:b/>
          <w:szCs w:val="32"/>
        </w:rPr>
        <w:t>（二）2017年度财政拨款收入支出总体情况说明</w:t>
      </w:r>
    </w:p>
    <w:p w:rsidR="00CF140B" w:rsidRDefault="006247E0">
      <w:pPr>
        <w:pBdr>
          <w:bottom w:val="single" w:sz="4" w:space="31" w:color="FFFFFF"/>
        </w:pBdr>
        <w:autoSpaceDE w:val="0"/>
        <w:snapToGrid w:val="0"/>
        <w:spacing w:line="360" w:lineRule="auto"/>
        <w:ind w:firstLineChars="150" w:firstLine="482"/>
        <w:rPr>
          <w:rFonts w:ascii="仿宋_GB2312" w:eastAsia="仿宋_GB2312" w:hAnsi="仿宋" w:cs="华文仿宋"/>
          <w:szCs w:val="32"/>
        </w:rPr>
      </w:pPr>
      <w:r>
        <w:rPr>
          <w:rFonts w:ascii="仿宋_GB2312" w:eastAsia="仿宋_GB2312" w:hAnsi="仿宋" w:cs="楷体_GB2312" w:hint="eastAsia"/>
          <w:b/>
          <w:szCs w:val="32"/>
        </w:rPr>
        <w:t>1.</w:t>
      </w:r>
      <w:r>
        <w:rPr>
          <w:rFonts w:ascii="仿宋_GB2312" w:eastAsia="仿宋_GB2312" w:hAnsi="仿宋" w:cs="华文仿宋" w:hint="eastAsia"/>
          <w:szCs w:val="32"/>
        </w:rPr>
        <w:t>财政拨款收入支出总体情况</w:t>
      </w:r>
    </w:p>
    <w:p w:rsidR="00CF140B" w:rsidRDefault="006247E0">
      <w:pPr>
        <w:pBdr>
          <w:bottom w:val="single" w:sz="4" w:space="31" w:color="FFFFFF"/>
        </w:pBdr>
        <w:autoSpaceDE w:val="0"/>
        <w:snapToGrid w:val="0"/>
        <w:spacing w:line="360" w:lineRule="auto"/>
        <w:ind w:firstLineChars="150" w:firstLine="480"/>
        <w:rPr>
          <w:rFonts w:ascii="仿宋_GB2312" w:eastAsia="仿宋_GB2312" w:hAnsi="仿宋" w:cs="楷体_GB2312"/>
          <w:b/>
          <w:bCs/>
          <w:szCs w:val="32"/>
        </w:rPr>
      </w:pPr>
      <w:r>
        <w:rPr>
          <w:rFonts w:ascii="仿宋_GB2312" w:eastAsia="仿宋_GB2312" w:hAnsi="仿宋" w:cs="华文仿宋" w:hint="eastAsia"/>
          <w:szCs w:val="32"/>
        </w:rPr>
        <w:lastRenderedPageBreak/>
        <w:t xml:space="preserve">  2017年财政拨款收入1417.11万元，比上年减少3237.22万元，主要原因是2016年存在上年结转结余，2017年财政拨款支出1417.11万元，比上年减少3237.22万元，主要原因是2017年度收入项目支出减少。</w:t>
      </w:r>
    </w:p>
    <w:p w:rsidR="00CF140B" w:rsidRDefault="006247E0">
      <w:pPr>
        <w:pStyle w:val="a5"/>
        <w:spacing w:before="0" w:beforeAutospacing="0" w:after="0" w:afterAutospacing="0" w:line="360" w:lineRule="auto"/>
        <w:ind w:firstLineChars="200" w:firstLine="640"/>
        <w:jc w:val="both"/>
        <w:rPr>
          <w:rFonts w:ascii="仿宋_GB2312" w:eastAsia="仿宋_GB2312" w:hAnsi="仿宋" w:cs="华文仿宋"/>
          <w:sz w:val="32"/>
          <w:szCs w:val="32"/>
        </w:rPr>
      </w:pPr>
      <w:r>
        <w:rPr>
          <w:rFonts w:ascii="仿宋_GB2312" w:eastAsia="仿宋_GB2312" w:hAnsi="仿宋" w:cs="华文仿宋" w:hint="eastAsia"/>
          <w:sz w:val="32"/>
          <w:szCs w:val="32"/>
        </w:rPr>
        <w:t>2.一般公共预算财政拨款支出情况</w:t>
      </w:r>
    </w:p>
    <w:p w:rsidR="00CF140B" w:rsidRDefault="006247E0">
      <w:pPr>
        <w:pStyle w:val="a5"/>
        <w:spacing w:line="360" w:lineRule="auto"/>
        <w:ind w:firstLineChars="200" w:firstLine="640"/>
        <w:jc w:val="both"/>
        <w:rPr>
          <w:rFonts w:ascii="仿宋_GB2312" w:eastAsia="仿宋_GB2312" w:hAnsi="仿宋"/>
          <w:sz w:val="32"/>
          <w:szCs w:val="32"/>
        </w:rPr>
      </w:pPr>
      <w:r>
        <w:rPr>
          <w:rFonts w:ascii="仿宋_GB2312" w:eastAsia="仿宋_GB2312" w:hAnsi="仿宋" w:hint="eastAsia"/>
          <w:sz w:val="32"/>
          <w:szCs w:val="32"/>
        </w:rPr>
        <w:t>2017年度一般公共预算财政拨款支出657.11万元，按支出功能科目分，包括:</w:t>
      </w:r>
    </w:p>
    <w:p w:rsidR="00CF140B" w:rsidRDefault="006247E0">
      <w:pPr>
        <w:pStyle w:val="a5"/>
        <w:shd w:val="clear" w:color="auto" w:fill="FFFFFF"/>
        <w:spacing w:line="360" w:lineRule="auto"/>
        <w:ind w:firstLine="585"/>
        <w:jc w:val="both"/>
        <w:rPr>
          <w:rFonts w:ascii="仿宋_GB2312" w:eastAsia="仿宋_GB2312" w:hAnsi="仿宋"/>
          <w:color w:val="000000"/>
          <w:sz w:val="32"/>
          <w:szCs w:val="32"/>
        </w:rPr>
      </w:pPr>
      <w:r>
        <w:rPr>
          <w:rFonts w:ascii="仿宋_GB2312" w:eastAsia="仿宋_GB2312" w:hAnsi="仿宋" w:hint="eastAsia"/>
          <w:color w:val="000000"/>
          <w:sz w:val="32"/>
          <w:szCs w:val="32"/>
        </w:rPr>
        <w:t>（1）城乡社区公共设施支出406.41万元,主要用于园区基础设施建设支出。</w:t>
      </w:r>
    </w:p>
    <w:p w:rsidR="00CF140B" w:rsidRDefault="006247E0">
      <w:pPr>
        <w:pStyle w:val="a5"/>
        <w:shd w:val="clear" w:color="auto" w:fill="FFFFFF"/>
        <w:spacing w:line="360" w:lineRule="auto"/>
        <w:ind w:firstLine="585"/>
        <w:jc w:val="both"/>
        <w:rPr>
          <w:rFonts w:ascii="仿宋_GB2312" w:eastAsia="仿宋_GB2312" w:hAnsi="仿宋"/>
          <w:color w:val="000000"/>
          <w:sz w:val="32"/>
          <w:szCs w:val="32"/>
        </w:rPr>
      </w:pPr>
      <w:r>
        <w:rPr>
          <w:rFonts w:ascii="仿宋_GB2312" w:eastAsia="仿宋_GB2312" w:hAnsi="仿宋" w:hint="eastAsia"/>
          <w:sz w:val="32"/>
          <w:szCs w:val="32"/>
        </w:rPr>
        <w:t>（2）行政运行247.7万元，主要用于维持机关日常运转所必需的公用支出。</w:t>
      </w:r>
    </w:p>
    <w:p w:rsidR="00CF140B" w:rsidRDefault="006247E0">
      <w:pPr>
        <w:pStyle w:val="a5"/>
        <w:shd w:val="clear" w:color="auto" w:fill="FFFFFF"/>
        <w:spacing w:line="360" w:lineRule="auto"/>
        <w:ind w:firstLine="585"/>
        <w:jc w:val="both"/>
        <w:rPr>
          <w:rFonts w:ascii="仿宋_GB2312" w:eastAsia="仿宋_GB2312" w:hAnsi="仿宋"/>
          <w:color w:val="000000"/>
          <w:sz w:val="32"/>
          <w:szCs w:val="32"/>
        </w:rPr>
      </w:pPr>
      <w:r>
        <w:rPr>
          <w:rFonts w:ascii="仿宋_GB2312" w:eastAsia="仿宋_GB2312" w:hAnsi="仿宋" w:hint="eastAsia"/>
          <w:color w:val="000000"/>
          <w:sz w:val="32"/>
          <w:szCs w:val="32"/>
        </w:rPr>
        <w:t>（3）其他支持中小企业发展和管理的支出3万元，主要用于园区环卫工清洁费及公厕管理的支出。</w:t>
      </w:r>
    </w:p>
    <w:p w:rsidR="00CF140B" w:rsidRDefault="006247E0">
      <w:pPr>
        <w:pStyle w:val="a5"/>
        <w:shd w:val="clear" w:color="auto" w:fill="FFFFFF"/>
        <w:spacing w:line="360" w:lineRule="auto"/>
        <w:ind w:firstLine="585"/>
        <w:jc w:val="both"/>
        <w:rPr>
          <w:rFonts w:ascii="仿宋_GB2312" w:eastAsia="仿宋_GB2312" w:hAnsi="仿宋"/>
          <w:color w:val="000000"/>
          <w:sz w:val="32"/>
          <w:szCs w:val="32"/>
        </w:rPr>
      </w:pPr>
      <w:r>
        <w:rPr>
          <w:rFonts w:ascii="仿宋_GB2312" w:eastAsia="仿宋_GB2312" w:hAnsi="仿宋" w:hint="eastAsia"/>
          <w:sz w:val="32"/>
          <w:szCs w:val="32"/>
        </w:rPr>
        <w:t>3.一般公共预算财政拨款基本支出决算情况</w:t>
      </w:r>
    </w:p>
    <w:p w:rsidR="00CF140B" w:rsidRDefault="006247E0">
      <w:pPr>
        <w:pStyle w:val="a5"/>
        <w:shd w:val="clear" w:color="auto" w:fill="FFFFFF"/>
        <w:spacing w:line="360" w:lineRule="auto"/>
        <w:ind w:firstLine="585"/>
        <w:jc w:val="both"/>
        <w:rPr>
          <w:rFonts w:ascii="仿宋_GB2312" w:eastAsia="仿宋_GB2312" w:hAnsi="仿宋"/>
          <w:color w:val="000000"/>
          <w:sz w:val="32"/>
          <w:szCs w:val="32"/>
        </w:rPr>
      </w:pPr>
      <w:r>
        <w:rPr>
          <w:rFonts w:ascii="仿宋_GB2312" w:eastAsia="仿宋_GB2312" w:hAnsi="仿宋" w:hint="eastAsia"/>
          <w:sz w:val="32"/>
          <w:szCs w:val="32"/>
        </w:rPr>
        <w:t>2017年度一般公共预算财政拨款基本支出247.7万元，其中：人员经费199.18万元，公用经费48.52万元，用于保障机构正常运转和日常工作需要。</w:t>
      </w:r>
    </w:p>
    <w:p w:rsidR="00CF140B" w:rsidRDefault="006247E0">
      <w:pPr>
        <w:pStyle w:val="a5"/>
        <w:spacing w:before="0" w:beforeAutospacing="0" w:after="0" w:afterAutospacing="0" w:line="360" w:lineRule="auto"/>
        <w:ind w:firstLineChars="200" w:firstLine="640"/>
        <w:jc w:val="both"/>
        <w:rPr>
          <w:rFonts w:ascii="仿宋_GB2312" w:eastAsia="仿宋_GB2312" w:hAnsi="仿宋" w:cs="华文仿宋"/>
          <w:sz w:val="32"/>
          <w:szCs w:val="32"/>
        </w:rPr>
      </w:pPr>
      <w:r>
        <w:rPr>
          <w:rFonts w:ascii="仿宋_GB2312" w:eastAsia="仿宋_GB2312" w:hAnsi="仿宋" w:cs="华文仿宋" w:hint="eastAsia"/>
          <w:sz w:val="32"/>
          <w:szCs w:val="32"/>
        </w:rPr>
        <w:t>4.政府性基金财政拨款收支情况</w:t>
      </w:r>
    </w:p>
    <w:p w:rsidR="00CF140B" w:rsidRDefault="006247E0">
      <w:pPr>
        <w:pStyle w:val="a5"/>
        <w:spacing w:before="0" w:beforeAutospacing="0" w:after="0" w:afterAutospacing="0" w:line="360" w:lineRule="auto"/>
        <w:ind w:firstLineChars="200" w:firstLine="640"/>
        <w:jc w:val="both"/>
        <w:rPr>
          <w:rFonts w:ascii="仿宋_GB2312" w:eastAsia="仿宋_GB2312" w:hAnsi="仿宋" w:cs="华文仿宋"/>
          <w:sz w:val="32"/>
          <w:szCs w:val="32"/>
        </w:rPr>
      </w:pPr>
      <w:r>
        <w:rPr>
          <w:rFonts w:ascii="仿宋_GB2312" w:eastAsia="仿宋_GB2312" w:hAnsi="仿宋" w:cs="华文仿宋" w:hint="eastAsia"/>
          <w:color w:val="000000"/>
          <w:sz w:val="32"/>
          <w:szCs w:val="32"/>
        </w:rPr>
        <w:lastRenderedPageBreak/>
        <w:t>2017年政府性基金财政拨款收入600万元，与上年持平。支出600万元，与上年持平。结转结余0万元，主要用于城市基础设施配套费安排的支出。</w:t>
      </w:r>
    </w:p>
    <w:p w:rsidR="00CF140B" w:rsidRDefault="006247E0">
      <w:pPr>
        <w:pStyle w:val="a5"/>
        <w:spacing w:before="0" w:beforeAutospacing="0" w:after="0" w:afterAutospacing="0" w:line="360" w:lineRule="auto"/>
        <w:ind w:firstLineChars="150" w:firstLine="480"/>
        <w:jc w:val="both"/>
        <w:rPr>
          <w:rFonts w:ascii="仿宋_GB2312" w:eastAsia="仿宋_GB2312" w:hAnsi="仿宋" w:cs="华文仿宋"/>
          <w:sz w:val="32"/>
          <w:szCs w:val="32"/>
        </w:rPr>
      </w:pPr>
      <w:r>
        <w:rPr>
          <w:rFonts w:ascii="仿宋_GB2312" w:eastAsia="仿宋_GB2312" w:hAnsi="仿宋" w:cs="华文仿宋" w:hint="eastAsia"/>
          <w:sz w:val="32"/>
          <w:szCs w:val="32"/>
        </w:rPr>
        <w:t>5.国有资本经营财政拨款收支情况</w:t>
      </w:r>
    </w:p>
    <w:p w:rsidR="00CF140B" w:rsidRDefault="006247E0">
      <w:pPr>
        <w:spacing w:line="360" w:lineRule="auto"/>
        <w:ind w:firstLineChars="200" w:firstLine="640"/>
        <w:rPr>
          <w:rFonts w:ascii="仿宋_GB2312" w:eastAsia="仿宋_GB2312" w:hAnsi="仿宋" w:cs="华文仿宋"/>
          <w:szCs w:val="32"/>
        </w:rPr>
      </w:pPr>
      <w:r>
        <w:rPr>
          <w:rFonts w:ascii="仿宋_GB2312" w:eastAsia="仿宋_GB2312" w:hAnsi="仿宋" w:cs="华文仿宋" w:hint="eastAsia"/>
          <w:szCs w:val="32"/>
        </w:rPr>
        <w:t>本部门无国有资本经营决算拨款收支。</w:t>
      </w:r>
    </w:p>
    <w:p w:rsidR="00CF140B" w:rsidRDefault="006247E0">
      <w:pPr>
        <w:pStyle w:val="a5"/>
        <w:spacing w:before="0" w:beforeAutospacing="0" w:after="0" w:afterAutospacing="0" w:line="360" w:lineRule="auto"/>
        <w:ind w:firstLineChars="150" w:firstLine="480"/>
        <w:jc w:val="both"/>
        <w:rPr>
          <w:rFonts w:ascii="仿宋_GB2312" w:eastAsia="仿宋_GB2312" w:hAnsi="仿宋" w:cs="华文仿宋"/>
          <w:sz w:val="32"/>
          <w:szCs w:val="32"/>
        </w:rPr>
      </w:pPr>
      <w:r>
        <w:rPr>
          <w:rFonts w:ascii="仿宋_GB2312" w:eastAsia="仿宋_GB2312" w:hAnsi="仿宋" w:cs="华文仿宋" w:hint="eastAsia"/>
          <w:sz w:val="32"/>
          <w:szCs w:val="32"/>
        </w:rPr>
        <w:t>6.政府采购支出情况</w:t>
      </w:r>
    </w:p>
    <w:p w:rsidR="00CF140B" w:rsidRDefault="006247E0">
      <w:pPr>
        <w:spacing w:line="360" w:lineRule="auto"/>
        <w:ind w:firstLineChars="200" w:firstLine="640"/>
        <w:rPr>
          <w:rFonts w:ascii="仿宋_GB2312" w:eastAsia="仿宋_GB2312" w:hAnsi="仿宋" w:cs="华文仿宋"/>
          <w:szCs w:val="32"/>
        </w:rPr>
      </w:pPr>
      <w:r>
        <w:rPr>
          <w:rFonts w:ascii="仿宋_GB2312" w:eastAsia="仿宋_GB2312" w:hAnsi="仿宋" w:cs="华文仿宋" w:hint="eastAsia"/>
          <w:szCs w:val="32"/>
        </w:rPr>
        <w:t>本部门2017年无政府采购支出。</w:t>
      </w:r>
    </w:p>
    <w:p w:rsidR="00CF140B" w:rsidRDefault="006247E0">
      <w:pPr>
        <w:spacing w:line="360" w:lineRule="auto"/>
        <w:ind w:firstLineChars="147" w:firstLine="472"/>
        <w:rPr>
          <w:rFonts w:ascii="仿宋_GB2312" w:eastAsia="仿宋_GB2312" w:hAnsi="仿宋" w:cs="楷体_GB2312"/>
          <w:b/>
          <w:szCs w:val="32"/>
        </w:rPr>
      </w:pPr>
      <w:r>
        <w:rPr>
          <w:rFonts w:ascii="仿宋_GB2312" w:eastAsia="仿宋_GB2312" w:hAnsi="仿宋" w:cs="楷体_GB2312" w:hint="eastAsia"/>
          <w:b/>
          <w:szCs w:val="32"/>
        </w:rPr>
        <w:t>(三)</w:t>
      </w:r>
      <w:r w:rsidR="00C80212">
        <w:rPr>
          <w:rFonts w:ascii="仿宋_GB2312" w:eastAsia="仿宋_GB2312" w:hAnsi="仿宋" w:cs="楷体_GB2312" w:hint="eastAsia"/>
          <w:b/>
          <w:szCs w:val="32"/>
        </w:rPr>
        <w:t>2</w:t>
      </w:r>
      <w:r>
        <w:rPr>
          <w:rFonts w:ascii="仿宋_GB2312" w:eastAsia="仿宋_GB2312" w:hAnsi="仿宋" w:cs="楷体_GB2312" w:hint="eastAsia"/>
          <w:b/>
          <w:szCs w:val="32"/>
        </w:rPr>
        <w:t>017年“三公”经费、培训费及会议费支出情况</w:t>
      </w:r>
    </w:p>
    <w:p w:rsidR="00CF140B" w:rsidRDefault="006247E0">
      <w:pPr>
        <w:pStyle w:val="a5"/>
        <w:spacing w:before="0" w:beforeAutospacing="0" w:after="0" w:afterAutospacing="0" w:line="360" w:lineRule="auto"/>
        <w:ind w:firstLineChars="200" w:firstLine="640"/>
        <w:jc w:val="both"/>
        <w:rPr>
          <w:rFonts w:ascii="仿宋_GB2312" w:eastAsia="仿宋_GB2312" w:hAnsi="仿宋" w:cs="楷体_GB2312"/>
          <w:sz w:val="32"/>
          <w:szCs w:val="32"/>
        </w:rPr>
      </w:pPr>
      <w:r>
        <w:rPr>
          <w:rFonts w:ascii="仿宋_GB2312" w:eastAsia="仿宋_GB2312" w:hAnsi="仿宋" w:cs="楷体_GB2312" w:hint="eastAsia"/>
          <w:sz w:val="32"/>
          <w:szCs w:val="32"/>
        </w:rPr>
        <w:t>1.“三公”经费财政拨款支出总体情况说明</w:t>
      </w:r>
    </w:p>
    <w:p w:rsidR="00CF140B" w:rsidRDefault="006247E0">
      <w:pPr>
        <w:pStyle w:val="a5"/>
        <w:spacing w:before="0" w:beforeAutospacing="0" w:after="0" w:afterAutospacing="0" w:line="360" w:lineRule="auto"/>
        <w:ind w:firstLineChars="200" w:firstLine="640"/>
        <w:jc w:val="both"/>
        <w:rPr>
          <w:rFonts w:ascii="仿宋_GB2312" w:eastAsia="仿宋_GB2312" w:hAnsi="仿宋" w:cs="楷体_GB2312"/>
          <w:sz w:val="32"/>
          <w:szCs w:val="32"/>
        </w:rPr>
      </w:pPr>
      <w:r>
        <w:rPr>
          <w:rFonts w:ascii="仿宋_GB2312" w:eastAsia="仿宋_GB2312" w:hAnsi="仿宋" w:hint="eastAsia"/>
          <w:sz w:val="32"/>
          <w:szCs w:val="32"/>
        </w:rPr>
        <w:t>2017年度一般公共预算财政拨款安排的“三公经费”支出0.26万元，其中，因公出国（境）费用0万元，公务用车购置及运行维护费0万元，公务接待费</w:t>
      </w:r>
      <w:r w:rsidR="00A32678">
        <w:rPr>
          <w:rFonts w:ascii="仿宋_GB2312" w:eastAsia="仿宋_GB2312" w:hAnsi="仿宋" w:hint="eastAsia"/>
          <w:sz w:val="32"/>
          <w:szCs w:val="32"/>
        </w:rPr>
        <w:t>0.26</w:t>
      </w:r>
      <w:r>
        <w:rPr>
          <w:rFonts w:ascii="仿宋_GB2312" w:eastAsia="仿宋_GB2312" w:hAnsi="仿宋" w:hint="eastAsia"/>
          <w:sz w:val="32"/>
          <w:szCs w:val="32"/>
        </w:rPr>
        <w:t>万元。2017年度“三公经费”支出比2016</w:t>
      </w:r>
      <w:r w:rsidR="00173C66">
        <w:rPr>
          <w:rFonts w:ascii="仿宋_GB2312" w:eastAsia="仿宋_GB2312" w:hAnsi="仿宋" w:hint="eastAsia"/>
          <w:sz w:val="32"/>
          <w:szCs w:val="32"/>
        </w:rPr>
        <w:t>年增加</w:t>
      </w:r>
      <w:r>
        <w:rPr>
          <w:rFonts w:ascii="仿宋_GB2312" w:eastAsia="仿宋_GB2312" w:hAnsi="仿宋" w:hint="eastAsia"/>
          <w:sz w:val="32"/>
          <w:szCs w:val="32"/>
        </w:rPr>
        <w:t>0.07万元，其中：</w:t>
      </w:r>
    </w:p>
    <w:p w:rsidR="00CF140B" w:rsidRDefault="006247E0">
      <w:pPr>
        <w:pStyle w:val="a5"/>
        <w:spacing w:before="0" w:beforeAutospacing="0" w:after="0" w:afterAutospacing="0" w:line="360" w:lineRule="auto"/>
        <w:ind w:firstLineChars="200" w:firstLine="640"/>
        <w:jc w:val="both"/>
        <w:rPr>
          <w:rFonts w:ascii="仿宋_GB2312" w:eastAsia="仿宋_GB2312" w:hAnsi="仿宋" w:cs="楷体_GB2312"/>
          <w:sz w:val="32"/>
          <w:szCs w:val="32"/>
        </w:rPr>
      </w:pPr>
      <w:r>
        <w:rPr>
          <w:rFonts w:ascii="仿宋_GB2312" w:eastAsia="仿宋_GB2312" w:hAnsi="仿宋" w:hint="eastAsia"/>
          <w:sz w:val="32"/>
          <w:szCs w:val="32"/>
        </w:rPr>
        <w:t>（1）</w:t>
      </w:r>
      <w:r>
        <w:rPr>
          <w:rFonts w:ascii="仿宋_GB2312" w:eastAsia="仿宋_GB2312" w:hAnsi="仿宋" w:hint="eastAsia"/>
          <w:color w:val="000000"/>
          <w:sz w:val="32"/>
          <w:szCs w:val="32"/>
        </w:rPr>
        <w:t xml:space="preserve">2017年我单位因公出国实际支出0万元。 </w:t>
      </w:r>
    </w:p>
    <w:p w:rsidR="00CF140B" w:rsidRDefault="006247E0">
      <w:pPr>
        <w:pStyle w:val="a5"/>
        <w:spacing w:before="0" w:beforeAutospacing="0" w:after="0" w:afterAutospacing="0" w:line="360" w:lineRule="auto"/>
        <w:ind w:firstLineChars="200" w:firstLine="640"/>
        <w:jc w:val="both"/>
        <w:rPr>
          <w:rFonts w:ascii="仿宋_GB2312" w:eastAsia="仿宋_GB2312" w:hAnsi="仿宋" w:cs="楷体_GB2312"/>
          <w:sz w:val="32"/>
          <w:szCs w:val="32"/>
        </w:rPr>
      </w:pPr>
      <w:r>
        <w:rPr>
          <w:rFonts w:ascii="仿宋_GB2312" w:eastAsia="仿宋_GB2312" w:hAnsi="仿宋" w:hint="eastAsia"/>
          <w:sz w:val="32"/>
          <w:szCs w:val="32"/>
        </w:rPr>
        <w:t>（2）</w:t>
      </w:r>
      <w:r>
        <w:rPr>
          <w:rFonts w:ascii="仿宋_GB2312" w:eastAsia="仿宋_GB2312" w:hAnsi="仿宋" w:hint="eastAsia"/>
          <w:color w:val="000000"/>
          <w:sz w:val="32"/>
          <w:szCs w:val="32"/>
        </w:rPr>
        <w:t>2017年购置车辆0台。</w:t>
      </w:r>
    </w:p>
    <w:p w:rsidR="00CF140B" w:rsidRDefault="006247E0">
      <w:pPr>
        <w:pStyle w:val="a5"/>
        <w:spacing w:before="0" w:beforeAutospacing="0" w:after="0" w:afterAutospacing="0" w:line="360" w:lineRule="auto"/>
        <w:ind w:firstLineChars="200" w:firstLine="640"/>
        <w:jc w:val="both"/>
        <w:rPr>
          <w:rFonts w:ascii="仿宋_GB2312" w:eastAsia="仿宋_GB2312" w:hAnsi="仿宋" w:cs="楷体_GB2312"/>
          <w:sz w:val="32"/>
          <w:szCs w:val="32"/>
        </w:rPr>
      </w:pPr>
      <w:r>
        <w:rPr>
          <w:rFonts w:ascii="仿宋_GB2312" w:eastAsia="仿宋_GB2312" w:hAnsi="仿宋" w:hint="eastAsia"/>
          <w:sz w:val="32"/>
          <w:szCs w:val="32"/>
        </w:rPr>
        <w:t>（3）</w:t>
      </w:r>
      <w:r>
        <w:rPr>
          <w:rFonts w:ascii="仿宋_GB2312" w:eastAsia="仿宋_GB2312" w:hAnsi="仿宋" w:hint="eastAsia"/>
          <w:color w:val="000000"/>
          <w:sz w:val="32"/>
          <w:szCs w:val="32"/>
        </w:rPr>
        <w:t>公务接待费用支出0.26万元，较2016年</w:t>
      </w:r>
      <w:r>
        <w:rPr>
          <w:rFonts w:ascii="仿宋_GB2312" w:eastAsia="仿宋_GB2312" w:hAnsi="仿宋" w:hint="eastAsia"/>
          <w:sz w:val="32"/>
          <w:szCs w:val="32"/>
        </w:rPr>
        <w:t>增长</w:t>
      </w:r>
      <w:r>
        <w:rPr>
          <w:rFonts w:ascii="仿宋_GB2312" w:eastAsia="仿宋_GB2312" w:hAnsi="仿宋" w:hint="eastAsia"/>
          <w:color w:val="000000"/>
          <w:sz w:val="32"/>
          <w:szCs w:val="32"/>
        </w:rPr>
        <w:t>0.07万元，累计接待5批次、40人。</w:t>
      </w:r>
      <w:r>
        <w:rPr>
          <w:rFonts w:ascii="仿宋_GB2312" w:eastAsia="仿宋_GB2312" w:hAnsi="仿宋" w:hint="eastAsia"/>
          <w:sz w:val="32"/>
          <w:szCs w:val="32"/>
        </w:rPr>
        <w:t>增长</w:t>
      </w:r>
      <w:r>
        <w:rPr>
          <w:rFonts w:ascii="仿宋_GB2312" w:eastAsia="仿宋_GB2312" w:hAnsi="仿宋" w:hint="eastAsia"/>
          <w:color w:val="000000"/>
          <w:sz w:val="32"/>
          <w:szCs w:val="32"/>
        </w:rPr>
        <w:t>原因招商引资客商人数增加。</w:t>
      </w:r>
    </w:p>
    <w:p w:rsidR="00CF140B" w:rsidRDefault="006247E0">
      <w:pPr>
        <w:pStyle w:val="a5"/>
        <w:spacing w:before="0" w:beforeAutospacing="0" w:after="0" w:afterAutospacing="0" w:line="360" w:lineRule="auto"/>
        <w:ind w:firstLineChars="250" w:firstLine="800"/>
        <w:jc w:val="both"/>
        <w:rPr>
          <w:rFonts w:ascii="仿宋_GB2312" w:eastAsia="仿宋_GB2312" w:hAnsi="仿宋" w:cs="楷体_GB2312"/>
          <w:sz w:val="32"/>
          <w:szCs w:val="32"/>
        </w:rPr>
      </w:pPr>
      <w:r>
        <w:rPr>
          <w:rFonts w:ascii="仿宋_GB2312" w:eastAsia="仿宋_GB2312" w:hAnsi="仿宋" w:hint="eastAsia"/>
          <w:color w:val="000000"/>
          <w:sz w:val="32"/>
          <w:szCs w:val="32"/>
        </w:rPr>
        <w:t>2.</w:t>
      </w:r>
      <w:r>
        <w:rPr>
          <w:rFonts w:ascii="仿宋_GB2312" w:eastAsia="仿宋_GB2312" w:hAnsi="仿宋" w:hint="eastAsia"/>
          <w:sz w:val="32"/>
          <w:szCs w:val="32"/>
        </w:rPr>
        <w:t>培训费支出决算情况</w:t>
      </w:r>
    </w:p>
    <w:p w:rsidR="00CF140B" w:rsidRDefault="006247E0">
      <w:pPr>
        <w:pStyle w:val="a5"/>
        <w:spacing w:before="0" w:beforeAutospacing="0" w:after="0" w:afterAutospacing="0" w:line="360" w:lineRule="auto"/>
        <w:ind w:firstLineChars="300" w:firstLine="960"/>
        <w:jc w:val="both"/>
        <w:rPr>
          <w:rFonts w:ascii="仿宋_GB2312" w:eastAsia="仿宋_GB2312" w:hAnsi="仿宋" w:cs="楷体_GB2312"/>
          <w:sz w:val="32"/>
          <w:szCs w:val="32"/>
        </w:rPr>
      </w:pPr>
      <w:r>
        <w:rPr>
          <w:rFonts w:ascii="仿宋_GB2312" w:eastAsia="仿宋_GB2312" w:hAnsi="仿宋" w:hint="eastAsia"/>
          <w:sz w:val="32"/>
          <w:szCs w:val="32"/>
        </w:rPr>
        <w:t>培训费支出0万元。</w:t>
      </w:r>
    </w:p>
    <w:p w:rsidR="00CF140B" w:rsidRDefault="006247E0">
      <w:pPr>
        <w:pStyle w:val="a5"/>
        <w:spacing w:before="0" w:beforeAutospacing="0" w:after="0" w:afterAutospacing="0" w:line="360" w:lineRule="auto"/>
        <w:ind w:firstLineChars="250" w:firstLine="800"/>
        <w:jc w:val="both"/>
        <w:rPr>
          <w:rFonts w:ascii="仿宋_GB2312" w:eastAsia="仿宋_GB2312" w:hAnsi="仿宋" w:cs="楷体_GB2312"/>
          <w:sz w:val="32"/>
          <w:szCs w:val="32"/>
        </w:rPr>
      </w:pPr>
      <w:r>
        <w:rPr>
          <w:rFonts w:ascii="仿宋_GB2312" w:eastAsia="仿宋_GB2312" w:hAnsi="仿宋" w:hint="eastAsia"/>
          <w:sz w:val="32"/>
          <w:szCs w:val="32"/>
        </w:rPr>
        <w:t>3.会议费支出决算情况</w:t>
      </w:r>
    </w:p>
    <w:p w:rsidR="00CF140B" w:rsidRDefault="006247E0">
      <w:pPr>
        <w:pStyle w:val="a5"/>
        <w:spacing w:before="0" w:beforeAutospacing="0" w:after="0" w:afterAutospacing="0" w:line="360" w:lineRule="auto"/>
        <w:ind w:firstLineChars="300" w:firstLine="960"/>
        <w:jc w:val="both"/>
        <w:rPr>
          <w:rFonts w:ascii="仿宋_GB2312" w:eastAsia="仿宋_GB2312" w:hAnsi="仿宋" w:cs="楷体_GB2312"/>
          <w:sz w:val="32"/>
          <w:szCs w:val="32"/>
        </w:rPr>
      </w:pPr>
      <w:r>
        <w:rPr>
          <w:rFonts w:ascii="仿宋_GB2312" w:eastAsia="仿宋_GB2312" w:hAnsi="仿宋" w:hint="eastAsia"/>
          <w:sz w:val="32"/>
          <w:szCs w:val="32"/>
        </w:rPr>
        <w:t>会议费支出0万元。</w:t>
      </w:r>
    </w:p>
    <w:p w:rsidR="00CF140B" w:rsidRDefault="006247E0">
      <w:pPr>
        <w:spacing w:line="360" w:lineRule="auto"/>
        <w:ind w:firstLineChars="250" w:firstLine="800"/>
        <w:rPr>
          <w:rFonts w:ascii="仿宋_GB2312" w:eastAsia="仿宋_GB2312" w:hAnsi="仿宋" w:cs="华文仿宋"/>
          <w:szCs w:val="32"/>
        </w:rPr>
      </w:pPr>
      <w:r>
        <w:rPr>
          <w:rFonts w:ascii="仿宋_GB2312" w:eastAsia="仿宋_GB2312" w:hAnsi="仿宋" w:cs="黑体" w:hint="eastAsia"/>
          <w:szCs w:val="32"/>
        </w:rPr>
        <w:lastRenderedPageBreak/>
        <w:t>六、2017年度部门绩效管理情况说明</w:t>
      </w:r>
    </w:p>
    <w:p w:rsidR="00CF140B" w:rsidRDefault="006247E0">
      <w:pPr>
        <w:spacing w:line="360" w:lineRule="auto"/>
        <w:ind w:firstLineChars="200" w:firstLine="640"/>
        <w:rPr>
          <w:rFonts w:ascii="仿宋_GB2312" w:eastAsia="仿宋_GB2312" w:hAnsi="仿宋" w:cs="仿宋"/>
          <w:szCs w:val="32"/>
        </w:rPr>
      </w:pPr>
      <w:r>
        <w:rPr>
          <w:rFonts w:ascii="仿宋_GB2312" w:eastAsia="仿宋_GB2312" w:hAnsi="仿宋" w:cs="仿宋" w:hint="eastAsia"/>
          <w:szCs w:val="32"/>
        </w:rPr>
        <w:t>（1）管理制度健全性：严格执行预算资金管理办法、内部财务管理制度、会计核算制度、内部控制制度、进一步加强绩效管理制度等。</w:t>
      </w:r>
    </w:p>
    <w:p w:rsidR="00CF140B" w:rsidRDefault="006247E0">
      <w:pPr>
        <w:spacing w:line="360" w:lineRule="auto"/>
        <w:ind w:firstLineChars="200" w:firstLine="640"/>
        <w:rPr>
          <w:rFonts w:ascii="仿宋_GB2312" w:eastAsia="仿宋_GB2312" w:hAnsi="仿宋" w:cs="仿宋"/>
          <w:szCs w:val="32"/>
        </w:rPr>
      </w:pPr>
      <w:r>
        <w:rPr>
          <w:rFonts w:ascii="仿宋_GB2312" w:eastAsia="仿宋_GB2312" w:hAnsi="仿宋" w:cs="仿宋" w:hint="eastAsia"/>
          <w:szCs w:val="32"/>
        </w:rPr>
        <w:t>（2）资金使用合规性。各项资金均符合使用标准，未挪用、截留和虚列支出等现象。</w:t>
      </w:r>
    </w:p>
    <w:p w:rsidR="00CF140B" w:rsidRDefault="006247E0">
      <w:pPr>
        <w:spacing w:line="360" w:lineRule="auto"/>
        <w:ind w:firstLineChars="200" w:firstLine="640"/>
        <w:rPr>
          <w:rFonts w:ascii="仿宋_GB2312" w:eastAsia="仿宋_GB2312" w:hAnsi="仿宋" w:cs="仿宋"/>
          <w:szCs w:val="32"/>
        </w:rPr>
      </w:pPr>
      <w:r>
        <w:rPr>
          <w:rFonts w:ascii="仿宋_GB2312" w:eastAsia="仿宋_GB2312" w:hAnsi="仿宋" w:cs="仿宋" w:hint="eastAsia"/>
          <w:szCs w:val="32"/>
        </w:rPr>
        <w:t>（3）预决算信息公开性。经济开发区于2017年1月13日在政府网站公开预算。于2018年9月</w:t>
      </w:r>
      <w:r w:rsidR="00CD4E11">
        <w:rPr>
          <w:rFonts w:ascii="仿宋_GB2312" w:eastAsia="仿宋_GB2312" w:hAnsi="仿宋" w:cs="仿宋" w:hint="eastAsia"/>
          <w:szCs w:val="32"/>
        </w:rPr>
        <w:t>3</w:t>
      </w:r>
      <w:r>
        <w:rPr>
          <w:rFonts w:ascii="仿宋_GB2312" w:eastAsia="仿宋_GB2312" w:hAnsi="仿宋" w:cs="仿宋" w:hint="eastAsia"/>
          <w:szCs w:val="32"/>
        </w:rPr>
        <w:t>在政府网站公开2017决算表及三公经费。</w:t>
      </w:r>
    </w:p>
    <w:p w:rsidR="00CF140B" w:rsidRDefault="006247E0">
      <w:pPr>
        <w:spacing w:line="360" w:lineRule="auto"/>
        <w:ind w:firstLineChars="200" w:firstLine="640"/>
        <w:rPr>
          <w:rFonts w:ascii="仿宋_GB2312" w:eastAsia="仿宋_GB2312" w:hAnsi="仿宋" w:cs="仿宋"/>
          <w:szCs w:val="32"/>
        </w:rPr>
      </w:pPr>
      <w:r>
        <w:rPr>
          <w:rFonts w:ascii="仿宋_GB2312" w:eastAsia="仿宋_GB2312" w:hAnsi="仿宋" w:cs="仿宋" w:hint="eastAsia"/>
          <w:szCs w:val="32"/>
        </w:rPr>
        <w:t>（4）基础信息完善性。经济开发区2017年度总账、明细账及相关记账凭证等会计信息真实可靠，会计核算资料准确完整。</w:t>
      </w:r>
    </w:p>
    <w:p w:rsidR="00CF140B" w:rsidRDefault="006247E0">
      <w:pPr>
        <w:pStyle w:val="a5"/>
        <w:spacing w:before="0" w:beforeAutospacing="0" w:after="0" w:afterAutospacing="0" w:line="360" w:lineRule="auto"/>
        <w:ind w:firstLineChars="250" w:firstLine="800"/>
        <w:jc w:val="both"/>
        <w:rPr>
          <w:rFonts w:ascii="仿宋_GB2312" w:eastAsia="仿宋_GB2312" w:hAnsi="仿宋" w:cs="黑体"/>
          <w:bCs/>
          <w:sz w:val="32"/>
          <w:szCs w:val="32"/>
        </w:rPr>
      </w:pPr>
      <w:r>
        <w:rPr>
          <w:rFonts w:ascii="仿宋_GB2312" w:eastAsia="仿宋_GB2312" w:hAnsi="仿宋" w:cs="黑体" w:hint="eastAsia"/>
          <w:bCs/>
          <w:sz w:val="32"/>
          <w:szCs w:val="32"/>
        </w:rPr>
        <w:t>七、2017年其他重要事项情况说明</w:t>
      </w:r>
    </w:p>
    <w:p w:rsidR="00CF140B" w:rsidRDefault="006247E0">
      <w:pPr>
        <w:pStyle w:val="a5"/>
        <w:snapToGrid w:val="0"/>
        <w:spacing w:before="0" w:beforeAutospacing="0" w:after="0" w:afterAutospacing="0" w:line="360" w:lineRule="auto"/>
        <w:ind w:firstLineChars="200" w:firstLine="643"/>
        <w:jc w:val="both"/>
        <w:rPr>
          <w:rFonts w:ascii="仿宋_GB2312" w:eastAsia="仿宋_GB2312" w:hAnsi="仿宋" w:cs="楷体_GB2312"/>
          <w:b/>
          <w:bCs/>
          <w:sz w:val="32"/>
          <w:szCs w:val="32"/>
        </w:rPr>
      </w:pPr>
      <w:r>
        <w:rPr>
          <w:rFonts w:ascii="仿宋_GB2312" w:eastAsia="仿宋_GB2312" w:hAnsi="仿宋" w:cs="楷体_GB2312" w:hint="eastAsia"/>
          <w:b/>
          <w:bCs/>
          <w:sz w:val="32"/>
          <w:szCs w:val="32"/>
        </w:rPr>
        <w:t>（一）机关运行经费支出情况</w:t>
      </w:r>
    </w:p>
    <w:p w:rsidR="00CF140B" w:rsidRDefault="006247E0">
      <w:pPr>
        <w:pStyle w:val="a5"/>
        <w:snapToGrid w:val="0"/>
        <w:spacing w:before="0" w:beforeAutospacing="0" w:after="0" w:afterAutospacing="0" w:line="360" w:lineRule="auto"/>
        <w:ind w:firstLineChars="200" w:firstLine="640"/>
        <w:jc w:val="both"/>
        <w:rPr>
          <w:rFonts w:ascii="仿宋_GB2312" w:eastAsia="仿宋_GB2312" w:hAnsi="仿宋"/>
          <w:sz w:val="32"/>
          <w:szCs w:val="32"/>
        </w:rPr>
      </w:pPr>
      <w:r>
        <w:rPr>
          <w:rFonts w:ascii="仿宋_GB2312" w:eastAsia="仿宋_GB2312" w:hAnsi="仿宋" w:hint="eastAsia"/>
          <w:sz w:val="32"/>
          <w:szCs w:val="32"/>
        </w:rPr>
        <w:t>1.机关运行经费支出情况</w:t>
      </w:r>
    </w:p>
    <w:p w:rsidR="00CF140B" w:rsidRDefault="006247E0">
      <w:pPr>
        <w:pStyle w:val="a5"/>
        <w:snapToGrid w:val="0"/>
        <w:spacing w:before="0" w:beforeAutospacing="0" w:after="0" w:afterAutospacing="0" w:line="360" w:lineRule="auto"/>
        <w:ind w:firstLineChars="200" w:firstLine="640"/>
        <w:jc w:val="both"/>
        <w:rPr>
          <w:rFonts w:ascii="仿宋_GB2312" w:eastAsia="仿宋_GB2312" w:hAnsi="仿宋" w:cs="楷体_GB2312"/>
          <w:b/>
          <w:bCs/>
          <w:sz w:val="32"/>
          <w:szCs w:val="32"/>
        </w:rPr>
      </w:pPr>
      <w:r>
        <w:rPr>
          <w:rFonts w:ascii="仿宋_GB2312" w:eastAsia="仿宋_GB2312" w:hAnsi="仿宋" w:hint="eastAsia"/>
          <w:sz w:val="32"/>
          <w:szCs w:val="32"/>
        </w:rPr>
        <w:t>2017年本部门机关运行经费支出247.7万元，用于维持机关日常运转所必需的公用支出。其中：参照公务员法管理的事业单位1户，合计247.7万元，占机关运行经费的100%。2017年机关运行经费支出比2016年同口增加36.43万元，主要原因2017年度目标责任奖金上浮。</w:t>
      </w:r>
    </w:p>
    <w:p w:rsidR="00CF140B" w:rsidRDefault="006247E0">
      <w:pPr>
        <w:spacing w:line="360" w:lineRule="auto"/>
        <w:ind w:firstLineChars="200" w:firstLine="643"/>
        <w:rPr>
          <w:rFonts w:ascii="仿宋_GB2312" w:eastAsia="仿宋_GB2312" w:hAnsi="仿宋" w:cs="楷体_GB2312"/>
          <w:b/>
          <w:bCs/>
          <w:szCs w:val="32"/>
        </w:rPr>
      </w:pPr>
      <w:r>
        <w:rPr>
          <w:rFonts w:ascii="仿宋_GB2312" w:eastAsia="仿宋_GB2312" w:hAnsi="仿宋" w:cs="楷体_GB2312" w:hint="eastAsia"/>
          <w:b/>
          <w:bCs/>
          <w:szCs w:val="32"/>
        </w:rPr>
        <w:t>（二）国有资产占用及购置情况说明</w:t>
      </w:r>
    </w:p>
    <w:p w:rsidR="00CF140B" w:rsidRDefault="006247E0">
      <w:pPr>
        <w:spacing w:line="360" w:lineRule="auto"/>
        <w:ind w:firstLineChars="200" w:firstLine="640"/>
        <w:rPr>
          <w:rFonts w:ascii="仿宋_GB2312" w:eastAsia="仿宋_GB2312" w:hAnsi="仿宋" w:cs="宋体"/>
          <w:szCs w:val="32"/>
        </w:rPr>
      </w:pPr>
      <w:r>
        <w:rPr>
          <w:rFonts w:ascii="仿宋_GB2312" w:eastAsia="仿宋_GB2312" w:hAnsi="仿宋" w:cs="宋体" w:hint="eastAsia"/>
          <w:szCs w:val="32"/>
        </w:rPr>
        <w:t>截至2017年12月31日，本部门共有车辆0辆，其中，</w:t>
      </w:r>
      <w:r>
        <w:rPr>
          <w:rFonts w:ascii="仿宋_GB2312" w:eastAsia="仿宋_GB2312" w:hAnsi="仿宋" w:cs="宋体" w:hint="eastAsia"/>
          <w:szCs w:val="32"/>
        </w:rPr>
        <w:lastRenderedPageBreak/>
        <w:t>一般公务用车0辆、一般执法执勤用车0辆、特种专业技术用车0辆、其他用车0辆，</w:t>
      </w:r>
    </w:p>
    <w:p w:rsidR="00CF140B" w:rsidRDefault="006247E0">
      <w:pPr>
        <w:spacing w:line="360" w:lineRule="auto"/>
        <w:ind w:firstLineChars="200" w:firstLine="640"/>
        <w:rPr>
          <w:rFonts w:ascii="仿宋_GB2312" w:eastAsia="仿宋_GB2312" w:hAnsi="仿宋" w:cs="黑体"/>
          <w:szCs w:val="32"/>
        </w:rPr>
      </w:pPr>
      <w:r>
        <w:rPr>
          <w:rFonts w:ascii="仿宋_GB2312" w:eastAsia="仿宋_GB2312" w:hAnsi="仿宋" w:cs="黑体" w:hint="eastAsia"/>
          <w:szCs w:val="32"/>
        </w:rPr>
        <w:t>八、专业名词解释</w:t>
      </w:r>
    </w:p>
    <w:p w:rsidR="00CF140B" w:rsidRDefault="006247E0">
      <w:pPr>
        <w:spacing w:line="360" w:lineRule="auto"/>
        <w:ind w:firstLineChars="200" w:firstLine="640"/>
        <w:rPr>
          <w:rFonts w:ascii="仿宋_GB2312" w:eastAsia="仿宋_GB2312" w:hAnsi="仿宋" w:cs="华文仿宋"/>
          <w:szCs w:val="32"/>
        </w:rPr>
      </w:pPr>
      <w:r>
        <w:rPr>
          <w:rFonts w:ascii="仿宋_GB2312" w:eastAsia="仿宋_GB2312" w:hAnsi="仿宋" w:cs="华文仿宋" w:hint="eastAsia"/>
          <w:szCs w:val="32"/>
        </w:rPr>
        <w:t>1．基本支出：指为保障机构正常运转、完成日常工作任务而发生的各项支出。</w:t>
      </w:r>
    </w:p>
    <w:p w:rsidR="00CF140B" w:rsidRDefault="006247E0">
      <w:pPr>
        <w:spacing w:line="360" w:lineRule="auto"/>
        <w:ind w:firstLineChars="200" w:firstLine="640"/>
        <w:rPr>
          <w:rFonts w:ascii="仿宋_GB2312" w:eastAsia="仿宋_GB2312" w:hAnsi="仿宋" w:cs="华文仿宋"/>
          <w:szCs w:val="32"/>
        </w:rPr>
      </w:pPr>
      <w:r>
        <w:rPr>
          <w:rFonts w:ascii="仿宋_GB2312" w:eastAsia="仿宋_GB2312" w:hAnsi="仿宋" w:cs="华文仿宋" w:hint="eastAsia"/>
          <w:szCs w:val="32"/>
        </w:rPr>
        <w:t>2．项目支出：指单位为完成特定的行政工作任务或事业发展目标所发生的各项支出。</w:t>
      </w:r>
    </w:p>
    <w:p w:rsidR="00CF140B" w:rsidRDefault="006247E0">
      <w:pPr>
        <w:spacing w:line="360" w:lineRule="auto"/>
        <w:ind w:firstLineChars="200" w:firstLine="640"/>
        <w:rPr>
          <w:rFonts w:ascii="仿宋_GB2312" w:eastAsia="仿宋_GB2312" w:hAnsi="仿宋" w:cs="华文仿宋"/>
          <w:szCs w:val="32"/>
        </w:rPr>
      </w:pPr>
      <w:r>
        <w:rPr>
          <w:rFonts w:ascii="仿宋_GB2312" w:eastAsia="仿宋_GB2312" w:hAnsi="仿宋" w:cs="华文仿宋" w:hint="eastAsia"/>
          <w:szCs w:val="32"/>
        </w:rPr>
        <w:t>3．“三公”经费：指部门使用一般公共预算财政拨款安排的因公出国（境）费、公务用车购置及运行费和公务接待费支出。</w:t>
      </w:r>
    </w:p>
    <w:p w:rsidR="00CF140B" w:rsidRDefault="006247E0">
      <w:pPr>
        <w:spacing w:line="360" w:lineRule="auto"/>
        <w:ind w:firstLineChars="200" w:firstLine="640"/>
        <w:rPr>
          <w:rFonts w:ascii="仿宋_GB2312" w:eastAsia="仿宋_GB2312" w:hAnsi="仿宋" w:cs="华文仿宋"/>
          <w:szCs w:val="32"/>
        </w:rPr>
      </w:pPr>
      <w:r>
        <w:rPr>
          <w:rFonts w:ascii="仿宋_GB2312" w:eastAsia="仿宋_GB2312" w:hAnsi="仿宋" w:cs="华文仿宋" w:hint="eastAsia"/>
          <w:szCs w:val="32"/>
        </w:rPr>
        <w:t>4．机关运行经费：指行政单位和参照公务员法管理的事业单位使用一般公共预算财政拨款安排的日常公用经费支出。</w:t>
      </w:r>
    </w:p>
    <w:p w:rsidR="00CF140B" w:rsidRDefault="006247E0">
      <w:pPr>
        <w:pStyle w:val="a5"/>
        <w:shd w:val="clear" w:color="auto" w:fill="FFFFFF"/>
        <w:spacing w:before="0" w:beforeAutospacing="0" w:after="0" w:afterAutospacing="0" w:line="360" w:lineRule="auto"/>
        <w:ind w:firstLine="585"/>
        <w:jc w:val="both"/>
        <w:rPr>
          <w:rStyle w:val="a6"/>
          <w:rFonts w:ascii="仿宋_GB2312" w:eastAsia="仿宋_GB2312" w:hAnsi="仿宋" w:cs="黑体"/>
          <w:color w:val="000000"/>
          <w:sz w:val="32"/>
          <w:szCs w:val="32"/>
        </w:rPr>
      </w:pPr>
      <w:r>
        <w:rPr>
          <w:rStyle w:val="a6"/>
          <w:rFonts w:ascii="仿宋_GB2312" w:eastAsia="仿宋_GB2312" w:hAnsi="仿宋" w:cs="黑体" w:hint="eastAsia"/>
          <w:b w:val="0"/>
          <w:bCs w:val="0"/>
          <w:color w:val="000000"/>
          <w:sz w:val="32"/>
          <w:szCs w:val="32"/>
        </w:rPr>
        <w:t>九、2017年部门决算公开报表</w:t>
      </w:r>
    </w:p>
    <w:p w:rsidR="00CF140B" w:rsidRDefault="00CF140B">
      <w:pPr>
        <w:spacing w:line="360" w:lineRule="auto"/>
        <w:ind w:right="1280"/>
        <w:rPr>
          <w:rFonts w:ascii="仿宋_GB2312" w:eastAsia="仿宋_GB2312" w:hAnsi="仿宋" w:cs="华文仿宋"/>
          <w:szCs w:val="32"/>
        </w:rPr>
      </w:pPr>
    </w:p>
    <w:p w:rsidR="00CF140B" w:rsidRDefault="00CF140B">
      <w:pPr>
        <w:spacing w:line="360" w:lineRule="auto"/>
        <w:rPr>
          <w:rFonts w:ascii="仿宋_GB2312" w:eastAsia="仿宋_GB2312" w:hAnsi="仿宋" w:cs="华文仿宋"/>
          <w:szCs w:val="32"/>
        </w:rPr>
      </w:pPr>
    </w:p>
    <w:sectPr w:rsidR="00CF140B" w:rsidSect="00CF140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altName w:val="黑体"/>
    <w:charset w:val="86"/>
    <w:family w:val="script"/>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方正小标宋简体">
    <w:altName w:val="微软雅黑"/>
    <w:charset w:val="86"/>
    <w:family w:val="auto"/>
    <w:pitch w:val="default"/>
    <w:sig w:usb0="00000000" w:usb1="00000000" w:usb2="00000000" w:usb3="00000000" w:csb0="00040000" w:csb1="00000000"/>
  </w:font>
  <w:font w:name="华文仿宋">
    <w:altName w:val="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C60E6DC"/>
    <w:multiLevelType w:val="singleLevel"/>
    <w:tmpl w:val="8C60E6DC"/>
    <w:lvl w:ilvl="0">
      <w:start w:val="2"/>
      <w:numFmt w:val="decimal"/>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01E02"/>
    <w:rsid w:val="00023F61"/>
    <w:rsid w:val="000631FE"/>
    <w:rsid w:val="00093FB6"/>
    <w:rsid w:val="00101E02"/>
    <w:rsid w:val="00112989"/>
    <w:rsid w:val="00172EFE"/>
    <w:rsid w:val="00173C66"/>
    <w:rsid w:val="00274041"/>
    <w:rsid w:val="002C704F"/>
    <w:rsid w:val="003052A1"/>
    <w:rsid w:val="00372320"/>
    <w:rsid w:val="0037381E"/>
    <w:rsid w:val="003778FC"/>
    <w:rsid w:val="003E3DDC"/>
    <w:rsid w:val="0049529A"/>
    <w:rsid w:val="00555365"/>
    <w:rsid w:val="005677F1"/>
    <w:rsid w:val="005A53D7"/>
    <w:rsid w:val="005C22BA"/>
    <w:rsid w:val="005F28CB"/>
    <w:rsid w:val="006119A3"/>
    <w:rsid w:val="006247E0"/>
    <w:rsid w:val="00626D24"/>
    <w:rsid w:val="00647164"/>
    <w:rsid w:val="006F097D"/>
    <w:rsid w:val="00705EDB"/>
    <w:rsid w:val="00735E0A"/>
    <w:rsid w:val="00760F9A"/>
    <w:rsid w:val="0079547E"/>
    <w:rsid w:val="007D0D72"/>
    <w:rsid w:val="00806E2D"/>
    <w:rsid w:val="0081658A"/>
    <w:rsid w:val="0088754C"/>
    <w:rsid w:val="008C17BA"/>
    <w:rsid w:val="008C3522"/>
    <w:rsid w:val="008D26F8"/>
    <w:rsid w:val="00947D75"/>
    <w:rsid w:val="009F487B"/>
    <w:rsid w:val="00A32678"/>
    <w:rsid w:val="00A4271C"/>
    <w:rsid w:val="00A47639"/>
    <w:rsid w:val="00B418B7"/>
    <w:rsid w:val="00B55CD7"/>
    <w:rsid w:val="00B86A25"/>
    <w:rsid w:val="00BA3E5A"/>
    <w:rsid w:val="00BD152C"/>
    <w:rsid w:val="00BE0B7C"/>
    <w:rsid w:val="00C60340"/>
    <w:rsid w:val="00C728BD"/>
    <w:rsid w:val="00C80212"/>
    <w:rsid w:val="00CD1AF4"/>
    <w:rsid w:val="00CD4E11"/>
    <w:rsid w:val="00CF140B"/>
    <w:rsid w:val="00D17957"/>
    <w:rsid w:val="00D33700"/>
    <w:rsid w:val="00DF2174"/>
    <w:rsid w:val="00DF7B31"/>
    <w:rsid w:val="00E15B5C"/>
    <w:rsid w:val="00E348C8"/>
    <w:rsid w:val="00E53E97"/>
    <w:rsid w:val="00E616A7"/>
    <w:rsid w:val="00EB72D5"/>
    <w:rsid w:val="00F11A83"/>
    <w:rsid w:val="00F45200"/>
    <w:rsid w:val="00F87721"/>
    <w:rsid w:val="00FA735D"/>
    <w:rsid w:val="015D58FD"/>
    <w:rsid w:val="01C746C6"/>
    <w:rsid w:val="0A0E1646"/>
    <w:rsid w:val="0FDE51C3"/>
    <w:rsid w:val="13403F7B"/>
    <w:rsid w:val="139A1695"/>
    <w:rsid w:val="1A3031D1"/>
    <w:rsid w:val="1C287AD1"/>
    <w:rsid w:val="1E1C7231"/>
    <w:rsid w:val="21FD5768"/>
    <w:rsid w:val="231827EB"/>
    <w:rsid w:val="23F77372"/>
    <w:rsid w:val="28DE08C7"/>
    <w:rsid w:val="299C7739"/>
    <w:rsid w:val="2AB117E3"/>
    <w:rsid w:val="2E6318DB"/>
    <w:rsid w:val="3159166E"/>
    <w:rsid w:val="316F0D5B"/>
    <w:rsid w:val="348A2841"/>
    <w:rsid w:val="3548736E"/>
    <w:rsid w:val="3DF939EF"/>
    <w:rsid w:val="3F7C3B40"/>
    <w:rsid w:val="41EC1ECC"/>
    <w:rsid w:val="42BA0293"/>
    <w:rsid w:val="45336D98"/>
    <w:rsid w:val="4C4A388C"/>
    <w:rsid w:val="4DF92132"/>
    <w:rsid w:val="4F104EB8"/>
    <w:rsid w:val="4F3B1704"/>
    <w:rsid w:val="4FA3438C"/>
    <w:rsid w:val="4FFC73B1"/>
    <w:rsid w:val="52D21252"/>
    <w:rsid w:val="53646FB6"/>
    <w:rsid w:val="55700C69"/>
    <w:rsid w:val="57BC2E39"/>
    <w:rsid w:val="5C5E4D31"/>
    <w:rsid w:val="5E440D48"/>
    <w:rsid w:val="60CA1F9A"/>
    <w:rsid w:val="62572A73"/>
    <w:rsid w:val="63EF275F"/>
    <w:rsid w:val="63FB1E6F"/>
    <w:rsid w:val="66975563"/>
    <w:rsid w:val="69CB374A"/>
    <w:rsid w:val="6A59679C"/>
    <w:rsid w:val="6A923491"/>
    <w:rsid w:val="6E6F3391"/>
    <w:rsid w:val="74983629"/>
    <w:rsid w:val="75DF75A3"/>
    <w:rsid w:val="7842087C"/>
    <w:rsid w:val="796E7003"/>
    <w:rsid w:val="79C8501E"/>
    <w:rsid w:val="7A6B5A95"/>
    <w:rsid w:val="7B642AAB"/>
    <w:rsid w:val="7B800A50"/>
    <w:rsid w:val="7CA512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140B"/>
    <w:pPr>
      <w:widowControl w:val="0"/>
      <w:jc w:val="both"/>
    </w:pPr>
    <w:rPr>
      <w:rFonts w:ascii="Times New Roman" w:eastAsia="方正仿宋简体" w:hAnsi="Times New Roman" w:cs="Times New Roman"/>
      <w:kern w:val="2"/>
      <w:sz w:val="32"/>
    </w:rPr>
  </w:style>
  <w:style w:type="paragraph" w:styleId="1">
    <w:name w:val="heading 1"/>
    <w:basedOn w:val="a"/>
    <w:next w:val="a"/>
    <w:link w:val="1Char"/>
    <w:qFormat/>
    <w:rsid w:val="00CF140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CF140B"/>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semiHidden/>
    <w:unhideWhenUsed/>
    <w:qFormat/>
    <w:rsid w:val="00CF140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5">
    <w:name w:val="Normal (Web)"/>
    <w:basedOn w:val="a"/>
    <w:uiPriority w:val="99"/>
    <w:unhideWhenUsed/>
    <w:qFormat/>
    <w:rsid w:val="00CF140B"/>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CF140B"/>
    <w:rPr>
      <w:b/>
      <w:bCs/>
    </w:rPr>
  </w:style>
  <w:style w:type="character" w:customStyle="1" w:styleId="Char0">
    <w:name w:val="页眉 Char"/>
    <w:basedOn w:val="a0"/>
    <w:link w:val="a4"/>
    <w:uiPriority w:val="99"/>
    <w:semiHidden/>
    <w:qFormat/>
    <w:rsid w:val="00CF140B"/>
    <w:rPr>
      <w:sz w:val="18"/>
      <w:szCs w:val="18"/>
    </w:rPr>
  </w:style>
  <w:style w:type="character" w:customStyle="1" w:styleId="Char">
    <w:name w:val="页脚 Char"/>
    <w:basedOn w:val="a0"/>
    <w:link w:val="a3"/>
    <w:uiPriority w:val="99"/>
    <w:semiHidden/>
    <w:qFormat/>
    <w:rsid w:val="00CF140B"/>
    <w:rPr>
      <w:sz w:val="18"/>
      <w:szCs w:val="18"/>
    </w:rPr>
  </w:style>
  <w:style w:type="character" w:customStyle="1" w:styleId="1Char">
    <w:name w:val="标题 1 Char"/>
    <w:basedOn w:val="a0"/>
    <w:link w:val="1"/>
    <w:qFormat/>
    <w:rsid w:val="00CF140B"/>
    <w:rPr>
      <w:rFonts w:ascii="宋体" w:eastAsia="宋体" w:hAnsi="宋体" w:cs="宋体"/>
      <w:b/>
      <w:bCs/>
      <w:kern w:val="36"/>
      <w:sz w:val="48"/>
      <w:szCs w:val="48"/>
    </w:rPr>
  </w:style>
  <w:style w:type="paragraph" w:styleId="a7">
    <w:name w:val="Balloon Text"/>
    <w:basedOn w:val="a"/>
    <w:link w:val="Char1"/>
    <w:uiPriority w:val="99"/>
    <w:semiHidden/>
    <w:unhideWhenUsed/>
    <w:rsid w:val="006247E0"/>
    <w:rPr>
      <w:sz w:val="18"/>
      <w:szCs w:val="18"/>
    </w:rPr>
  </w:style>
  <w:style w:type="character" w:customStyle="1" w:styleId="Char1">
    <w:name w:val="批注框文本 Char"/>
    <w:basedOn w:val="a0"/>
    <w:link w:val="a7"/>
    <w:uiPriority w:val="99"/>
    <w:semiHidden/>
    <w:rsid w:val="006247E0"/>
    <w:rPr>
      <w:rFonts w:ascii="Times New Roman" w:eastAsia="方正仿宋简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numbering" Target="numbering.xml"/><Relationship Id="rId7" Type="http://schemas.openxmlformats.org/officeDocument/2006/relationships/chart" Target="charts/chart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___1.xlsx"/></Relationships>
</file>

<file path=word/charts/_rels/chart2.xml.rels><?xml version="1.0" encoding="UTF-8" standalone="yes"?>
<Relationships xmlns="http://schemas.openxmlformats.org/package/2006/relationships"><Relationship Id="rId1" Type="http://schemas.openxmlformats.org/officeDocument/2006/relationships/oleObject" Target="file:///C:\Users\TELLHOW\AppData\Local\Temp\wps.Wp7636\Chart3%20in%20Wps.xlsx" TargetMode="Externa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___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人员编制</a:t>
            </a:r>
          </a:p>
        </c:rich>
      </c:tx>
      <c:spPr>
        <a:noFill/>
        <a:ln>
          <a:noFill/>
        </a:ln>
        <a:effectLst/>
      </c:spPr>
    </c:title>
    <c:plotArea>
      <c:layout/>
      <c:pieChart>
        <c:varyColors val="1"/>
        <c:ser>
          <c:idx val="0"/>
          <c:order val="0"/>
          <c:tx>
            <c:strRef>
              <c:f>Sheet1!$B$1</c:f>
              <c:strCache>
                <c:ptCount val="1"/>
                <c:pt idx="0">
                  <c:v>人数</c:v>
                </c:pt>
              </c:strCache>
            </c:strRef>
          </c:tx>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bestFit"/>
            <c:showVal val="1"/>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在职</c:v>
                </c:pt>
                <c:pt idx="1">
                  <c:v>缺口</c:v>
                </c:pt>
              </c:strCache>
            </c:strRef>
          </c:cat>
          <c:val>
            <c:numRef>
              <c:f>Sheet1!$B$2:$B$3</c:f>
              <c:numCache>
                <c:formatCode>General</c:formatCode>
                <c:ptCount val="2"/>
                <c:pt idx="0">
                  <c:v>14</c:v>
                </c:pt>
                <c:pt idx="1">
                  <c:v>1</c:v>
                </c:pt>
              </c:numCache>
            </c:numRef>
          </c:val>
        </c:ser>
        <c:firstSliceAng val="0"/>
      </c:pieChart>
      <c:spPr>
        <a:noFill/>
        <a:ln>
          <a:noFill/>
        </a:ln>
        <a:effectLst/>
      </c:spPr>
    </c:plotArea>
    <c:legend>
      <c:legendPos val="b"/>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收入构成（万元）</a:t>
            </a:r>
          </a:p>
        </c:rich>
      </c:tx>
      <c:spPr>
        <a:noFill/>
        <a:ln>
          <a:noFill/>
        </a:ln>
        <a:effectLst/>
      </c:spPr>
    </c:title>
    <c:plotArea>
      <c:layout/>
      <c:barChart>
        <c:barDir val="col"/>
        <c:grouping val="stacked"/>
        <c:ser>
          <c:idx val="0"/>
          <c:order val="0"/>
          <c:tx>
            <c:strRef>
              <c:f>'[Chart3 in Wps.xlsx]Sheet1'!$B$1</c:f>
              <c:strCache>
                <c:ptCount val="1"/>
                <c:pt idx="0">
                  <c:v>系列 1</c:v>
                </c:pt>
              </c:strCache>
            </c:strRef>
          </c:tx>
          <c:spPr>
            <a:solidFill>
              <a:schemeClr val="accent1"/>
            </a:solidFill>
            <a:ln>
              <a:noFill/>
            </a:ln>
            <a:effectLst/>
          </c:spPr>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ctr"/>
            <c:showVal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'[Chart3 in Wps.xlsx]Sheet1'!$A$2:$A$5</c:f>
              <c:strCache>
                <c:ptCount val="4"/>
                <c:pt idx="0">
                  <c:v>财政拨款</c:v>
                </c:pt>
                <c:pt idx="1">
                  <c:v>事业收入</c:v>
                </c:pt>
                <c:pt idx="2">
                  <c:v>经营收入</c:v>
                </c:pt>
                <c:pt idx="3">
                  <c:v>其他收入</c:v>
                </c:pt>
              </c:strCache>
            </c:strRef>
          </c:cat>
          <c:val>
            <c:numRef>
              <c:f>'[Chart3 in Wps.xlsx]Sheet1'!$B$2:$B$5</c:f>
              <c:numCache>
                <c:formatCode>General</c:formatCode>
                <c:ptCount val="4"/>
                <c:pt idx="0">
                  <c:v>817.11</c:v>
                </c:pt>
                <c:pt idx="1">
                  <c:v>0</c:v>
                </c:pt>
                <c:pt idx="2">
                  <c:v>0</c:v>
                </c:pt>
                <c:pt idx="3">
                  <c:v>0</c:v>
                </c:pt>
              </c:numCache>
            </c:numRef>
          </c:val>
        </c:ser>
        <c:ser>
          <c:idx val="1"/>
          <c:order val="1"/>
          <c:tx>
            <c:strRef>
              <c:f>'[Chart3 in Wps.xlsx]Sheet1'!$C$1</c:f>
              <c:strCache>
                <c:ptCount val="1"/>
                <c:pt idx="0">
                  <c:v>系列 2</c:v>
                </c:pt>
              </c:strCache>
            </c:strRef>
          </c:tx>
          <c:spPr>
            <a:solidFill>
              <a:schemeClr val="accent2"/>
            </a:solidFill>
            <a:ln>
              <a:noFill/>
            </a:ln>
            <a:effectLst/>
          </c:spPr>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ctr"/>
            <c:showVal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'[Chart3 in Wps.xlsx]Sheet1'!$A$2:$A$5</c:f>
              <c:strCache>
                <c:ptCount val="4"/>
                <c:pt idx="0">
                  <c:v>财政拨款</c:v>
                </c:pt>
                <c:pt idx="1">
                  <c:v>事业收入</c:v>
                </c:pt>
                <c:pt idx="2">
                  <c:v>经营收入</c:v>
                </c:pt>
                <c:pt idx="3">
                  <c:v>其他收入</c:v>
                </c:pt>
              </c:strCache>
            </c:strRef>
          </c:cat>
          <c:val>
            <c:numRef>
              <c:f>'[Chart3 in Wps.xlsx]Sheet1'!$C$2:$C$5</c:f>
              <c:numCache>
                <c:formatCode>General</c:formatCode>
                <c:ptCount val="4"/>
                <c:pt idx="0">
                  <c:v>600</c:v>
                </c:pt>
                <c:pt idx="1">
                  <c:v>0</c:v>
                </c:pt>
                <c:pt idx="2">
                  <c:v>0</c:v>
                </c:pt>
                <c:pt idx="3">
                  <c:v>0</c:v>
                </c:pt>
              </c:numCache>
            </c:numRef>
          </c:val>
        </c:ser>
        <c:overlap val="100"/>
        <c:axId val="131083648"/>
        <c:axId val="154012672"/>
      </c:barChart>
      <c:catAx>
        <c:axId val="131083648"/>
        <c:scaling>
          <c:orientation val="minMax"/>
        </c:scaling>
        <c:axPos val="b"/>
        <c:maj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54012672"/>
        <c:crosses val="autoZero"/>
        <c:auto val="1"/>
        <c:lblAlgn val="ctr"/>
        <c:lblOffset val="100"/>
      </c:catAx>
      <c:valAx>
        <c:axId val="154012672"/>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31083648"/>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defTabSz="914400">
              <a:defRPr lang="zh-CN" sz="1440" b="0" i="0" u="none" strike="noStrike" kern="1200" spc="0" baseline="0">
                <a:solidFill>
                  <a:schemeClr val="tx1">
                    <a:lumMod val="65000"/>
                    <a:lumOff val="35000"/>
                  </a:schemeClr>
                </a:solidFill>
                <a:latin typeface="+mn-lt"/>
                <a:ea typeface="+mn-ea"/>
                <a:cs typeface="+mn-cs"/>
              </a:defRPr>
            </a:pPr>
            <a:r>
              <a:t>费用支出（万元）</a:t>
            </a:r>
          </a:p>
        </c:rich>
      </c:tx>
      <c:spPr>
        <a:noFill/>
        <a:ln>
          <a:noFill/>
        </a:ln>
        <a:effectLst/>
      </c:spPr>
    </c:title>
    <c:plotArea>
      <c:layout>
        <c:manualLayout>
          <c:layoutTarget val="inner"/>
          <c:xMode val="edge"/>
          <c:yMode val="edge"/>
          <c:x val="9.3247505632443217E-2"/>
          <c:y val="0.21678350515463901"/>
          <c:w val="0.81768908915352601"/>
          <c:h val="0.58888430698739958"/>
        </c:manualLayout>
      </c:layout>
      <c:ofPieChart>
        <c:ofPieType val="pie"/>
        <c:varyColors val="1"/>
        <c:ser>
          <c:idx val="0"/>
          <c:order val="0"/>
          <c:tx>
            <c:strRef>
              <c:f>Sheet1!$B$1</c:f>
              <c:strCache>
                <c:ptCount val="1"/>
                <c:pt idx="0">
                  <c:v>支出</c:v>
                </c:pt>
              </c:strCache>
            </c:strRef>
          </c:tx>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dPt>
            <c:idx val="2"/>
            <c:spPr>
              <a:solidFill>
                <a:schemeClr val="accent3"/>
              </a:solidFill>
              <a:ln w="19050">
                <a:solidFill>
                  <a:schemeClr val="lt1"/>
                </a:solidFill>
              </a:ln>
              <a:effectLst/>
            </c:spPr>
          </c:dPt>
          <c:dPt>
            <c:idx val="3"/>
            <c:spPr>
              <a:solidFill>
                <a:schemeClr val="accent4"/>
              </a:solidFill>
              <a:ln w="19050">
                <a:solidFill>
                  <a:schemeClr val="lt1"/>
                </a:solidFill>
              </a:ln>
              <a:effectLst/>
            </c:spPr>
          </c:dPt>
          <c:dPt>
            <c:idx val="4"/>
            <c:spPr>
              <a:solidFill>
                <a:schemeClr val="accent5"/>
              </a:solidFill>
              <a:ln w="19050">
                <a:solidFill>
                  <a:schemeClr val="lt1"/>
                </a:solidFill>
              </a:ln>
              <a:effectLst/>
            </c:spPr>
          </c:dPt>
          <c:dLbls>
            <c:dLbl>
              <c:idx val="0"/>
              <c:layout>
                <c:manualLayout>
                  <c:x val="8.7818064462088494E-2"/>
                  <c:y val="0.16836725904879801"/>
                </c:manualLayout>
              </c:layout>
              <c:dLblPos val="bestFit"/>
              <c:showVal val="1"/>
              <c:showPercent val="1"/>
              <c:extLst>
                <c:ext xmlns:c15="http://schemas.microsoft.com/office/drawing/2012/chart" uri="{CE6537A1-D6FC-4f65-9D91-7224C49458BB}">
                  <c15:layout/>
                </c:ext>
              </c:extLst>
            </c:dLbl>
            <c:dLbl>
              <c:idx val="1"/>
              <c:layout>
                <c:manualLayout>
                  <c:x val="3.0154896004421807E-2"/>
                  <c:y val="-9.8734136633083683E-2"/>
                </c:manualLayout>
              </c:layout>
              <c:dLblPos val="bestFit"/>
              <c:showVal val="1"/>
              <c:showPercent val="1"/>
              <c:extLst>
                <c:ext xmlns:c15="http://schemas.microsoft.com/office/drawing/2012/chart" uri="{CE6537A1-D6FC-4f65-9D91-7224C49458BB}">
                  <c15:layout/>
                </c:ext>
              </c:extLst>
            </c:dLbl>
            <c:dLbl>
              <c:idx val="2"/>
              <c:layout>
                <c:manualLayout>
                  <c:x val="7.9176054071451632E-2"/>
                  <c:y val="0.26253516828354301"/>
                </c:manualLayout>
              </c:layout>
              <c:dLblPos val="bestFit"/>
              <c:showVal val="1"/>
              <c:showPercent val="1"/>
              <c:extLst>
                <c:ext xmlns:c15="http://schemas.microsoft.com/office/drawing/2012/chart" uri="{CE6537A1-D6FC-4f65-9D91-7224C49458BB}">
                  <c15:layout/>
                </c:ext>
              </c:extLst>
            </c:dLbl>
            <c:dLbl>
              <c:idx val="3"/>
              <c:layout>
                <c:manualLayout>
                  <c:x val="-5.7751022990026928E-2"/>
                  <c:y val="-0.188052756415751"/>
                </c:manualLayout>
              </c:layout>
              <c:dLblPos val="bestFit"/>
              <c:showVal val="1"/>
              <c:showPercent val="1"/>
              <c:extLst>
                <c:ext xmlns:c15="http://schemas.microsoft.com/office/drawing/2012/chart" uri="{CE6537A1-D6FC-4f65-9D91-7224C49458BB}">
                  <c15:layout/>
                </c:ext>
              </c:extLst>
            </c:dLbl>
            <c:dLbl>
              <c:idx val="4"/>
              <c:layout>
                <c:manualLayout>
                  <c:x val="2.6392018023817212E-2"/>
                  <c:y val="5.0171821305841913E-2"/>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65000"/>
                            <a:lumOff val="35000"/>
                          </a:schemeClr>
                        </a:solidFill>
                        <a:latin typeface="+mn-lt"/>
                        <a:ea typeface="+mn-ea"/>
                        <a:cs typeface="+mn-cs"/>
                      </a:defRPr>
                    </a:pPr>
                    <a:r>
                      <a:t>247</a:t>
                    </a:r>
                    <a:r>
                      <a:rPr lang="en-US" altLang="zh-CN"/>
                      <a:t>.</a:t>
                    </a:r>
                    <a:r>
                      <a:t>7, 17.5%</a:t>
                    </a:r>
                  </a:p>
                </c:rich>
              </c:tx>
              <c:numFmt formatCode="0.0%" sourceLinked="0"/>
              <c:spPr>
                <a:noFill/>
                <a:ln>
                  <a:noFill/>
                </a:ln>
                <a:effectLst/>
              </c:spPr>
              <c:dLblPos val="bestFit"/>
              <c:showVal val="1"/>
              <c:showPercent val="1"/>
              <c:extLst>
                <c:ext xmlns:c15="http://schemas.microsoft.com/office/drawing/2012/chart" uri="{CE6537A1-D6FC-4f65-9D91-7224C49458BB}">
                  <c15:layout/>
                </c:ext>
              </c:extLst>
            </c:dLbl>
            <c:numFmt formatCode="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dLblPos val="bestFit"/>
            <c:showVal val="1"/>
            <c:showPercent val="1"/>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项目支出</c:v>
                </c:pt>
                <c:pt idx="1">
                  <c:v>年末结转和结余</c:v>
                </c:pt>
                <c:pt idx="2">
                  <c:v>人员经费</c:v>
                </c:pt>
                <c:pt idx="3">
                  <c:v>公用经费</c:v>
                </c:pt>
              </c:strCache>
            </c:strRef>
          </c:cat>
          <c:val>
            <c:numRef>
              <c:f>Sheet1!$B$2:$B$5</c:f>
              <c:numCache>
                <c:formatCode>General</c:formatCode>
                <c:ptCount val="4"/>
                <c:pt idx="0">
                  <c:v>1009.41</c:v>
                </c:pt>
                <c:pt idx="1">
                  <c:v>160</c:v>
                </c:pt>
                <c:pt idx="2">
                  <c:v>199.18</c:v>
                </c:pt>
                <c:pt idx="3">
                  <c:v>48.52</c:v>
                </c:pt>
              </c:numCache>
            </c:numRef>
          </c:val>
        </c:ser>
        <c:gapWidth val="100"/>
        <c:secondPieSize val="75"/>
        <c:serLines>
          <c:spPr>
            <a:ln w="9525" cap="flat" cmpd="sng" algn="ctr">
              <a:solidFill>
                <a:schemeClr val="tx1">
                  <a:lumMod val="35000"/>
                  <a:lumOff val="65000"/>
                </a:schemeClr>
              </a:solidFill>
              <a:round/>
            </a:ln>
            <a:effectLst/>
          </c:spPr>
        </c:serLines>
      </c:ofPieChart>
      <c:spPr>
        <a:noFill/>
        <a:ln>
          <a:noFill/>
        </a:ln>
        <a:effectLst/>
      </c:spPr>
    </c:plotArea>
    <c:legend>
      <c:legendPos val="b"/>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AB9EED-DBA4-42B3-9225-984279A11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11</Pages>
  <Words>664</Words>
  <Characters>3785</Characters>
  <Application>Microsoft Office Word</Application>
  <DocSecurity>0</DocSecurity>
  <Lines>31</Lines>
  <Paragraphs>8</Paragraphs>
  <ScaleCrop>false</ScaleCrop>
  <Company>微软中国</Company>
  <LinksUpToDate>false</LinksUpToDate>
  <CharactersWithSpaces>4441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10</cp:revision>
  <cp:lastPrinted>2018-09-21T01:46:00Z</cp:lastPrinted>
  <dcterms:created xsi:type="dcterms:W3CDTF">2018-10-26T00:55:00Z</dcterms:created>
  <dcterms:modified xsi:type="dcterms:W3CDTF">2019-01-29T08:21:00Z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